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39"/>
        <w:spacing w:after="0"/>
        <w:rPr>
          <w:sz w:val="20"/>
          <w:szCs w:val="20"/>
          <w:color w:val="auto"/>
        </w:rPr>
      </w:pPr>
      <w:r>
        <w:rPr>
          <w:rFonts w:ascii="Times New Roman" w:cs="Times New Roman" w:eastAsia="Times New Roman" w:hAnsi="Times New Roman"/>
          <w:sz w:val="26"/>
          <w:szCs w:val="26"/>
          <w:b w:val="1"/>
          <w:bCs w:val="1"/>
          <w:color w:val="auto"/>
        </w:rPr>
        <w:drawing>
          <wp:anchor simplePos="0" relativeHeight="251657728" behindDoc="1" locked="0" layoutInCell="0" allowOverlap="1">
            <wp:simplePos x="0" y="0"/>
            <wp:positionH relativeFrom="page">
              <wp:posOffset>518160</wp:posOffset>
            </wp:positionH>
            <wp:positionV relativeFrom="page">
              <wp:posOffset>690880</wp:posOffset>
            </wp:positionV>
            <wp:extent cx="6885940" cy="6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885940" cy="6985"/>
                    </a:xfrm>
                    <a:prstGeom prst="rect">
                      <a:avLst/>
                    </a:prstGeom>
                    <a:noFill/>
                  </pic:spPr>
                </pic:pic>
              </a:graphicData>
            </a:graphic>
          </wp:anchor>
        </w:drawing>
        <w:drawing>
          <wp:anchor simplePos="0" relativeHeight="251657728" behindDoc="1" locked="0" layoutInCell="0" allowOverlap="1">
            <wp:simplePos x="0" y="0"/>
            <wp:positionH relativeFrom="page">
              <wp:posOffset>518160</wp:posOffset>
            </wp:positionH>
            <wp:positionV relativeFrom="page">
              <wp:posOffset>711200</wp:posOffset>
            </wp:positionV>
            <wp:extent cx="6885940"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885940" cy="6985"/>
                    </a:xfrm>
                    <a:prstGeom prst="rect">
                      <a:avLst/>
                    </a:prstGeom>
                    <a:noFill/>
                  </pic:spPr>
                </pic:pic>
              </a:graphicData>
            </a:graphic>
          </wp:anchor>
        </w:drawing>
        <w:t>UNITED STATES</w:t>
      </w:r>
    </w:p>
    <w:p>
      <w:pPr>
        <w:spacing w:after="0" w:line="41"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26"/>
          <w:szCs w:val="26"/>
          <w:b w:val="1"/>
          <w:bCs w:val="1"/>
          <w:color w:val="auto"/>
        </w:rPr>
        <w:t>SECURITIES AND EXCHANGE COMMISSION</w:t>
      </w:r>
    </w:p>
    <w:p>
      <w:pPr>
        <w:spacing w:after="0" w:line="10"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17"/>
          <w:szCs w:val="17"/>
          <w:b w:val="1"/>
          <w:bCs w:val="1"/>
          <w:color w:val="auto"/>
        </w:rPr>
        <w:t>WASHINGTON, DC 20549</w:t>
      </w:r>
    </w:p>
    <w:p>
      <w:pPr>
        <w:spacing w:after="0" w:line="5" w:lineRule="exact"/>
        <w:rPr>
          <w:sz w:val="24"/>
          <w:szCs w:val="24"/>
          <w:color w:val="auto"/>
        </w:rPr>
      </w:pPr>
    </w:p>
    <w:p>
      <w:pPr>
        <w:ind w:left="4100"/>
        <w:spacing w:after="0"/>
        <w:rPr>
          <w:sz w:val="20"/>
          <w:szCs w:val="20"/>
          <w:color w:val="auto"/>
        </w:rPr>
      </w:pPr>
      <w:r>
        <w:rPr>
          <w:rFonts w:ascii="Times New Roman" w:cs="Times New Roman" w:eastAsia="Times New Roman" w:hAnsi="Times New Roman"/>
          <w:sz w:val="14"/>
          <w:szCs w:val="14"/>
          <w:color w:val="auto"/>
        </w:rPr>
        <w:t>________________________________________________</w:t>
      </w:r>
    </w:p>
    <w:p>
      <w:pPr>
        <w:spacing w:after="0" w:line="119"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26"/>
          <w:szCs w:val="26"/>
          <w:b w:val="1"/>
          <w:bCs w:val="1"/>
          <w:color w:val="auto"/>
        </w:rPr>
        <w:t>FORM 10-Q</w:t>
      </w:r>
    </w:p>
    <w:p>
      <w:pPr>
        <w:spacing w:after="0" w:line="39" w:lineRule="exact"/>
        <w:rPr>
          <w:sz w:val="24"/>
          <w:szCs w:val="24"/>
          <w:color w:val="auto"/>
        </w:rPr>
      </w:pPr>
    </w:p>
    <w:p>
      <w:pPr>
        <w:ind w:left="4100"/>
        <w:spacing w:after="0"/>
        <w:rPr>
          <w:sz w:val="20"/>
          <w:szCs w:val="20"/>
          <w:color w:val="auto"/>
        </w:rPr>
      </w:pPr>
      <w:r>
        <w:rPr>
          <w:rFonts w:ascii="Times New Roman" w:cs="Times New Roman" w:eastAsia="Times New Roman" w:hAnsi="Times New Roman"/>
          <w:sz w:val="14"/>
          <w:szCs w:val="14"/>
          <w:color w:val="auto"/>
        </w:rPr>
        <w:t>________________________________________________</w:t>
      </w:r>
    </w:p>
    <w:p>
      <w:pPr>
        <w:spacing w:after="0" w:line="3" w:lineRule="exact"/>
        <w:rPr>
          <w:sz w:val="24"/>
          <w:szCs w:val="24"/>
          <w:color w:val="auto"/>
        </w:rPr>
      </w:pPr>
    </w:p>
    <w:p>
      <w:pPr>
        <w:ind w:left="320"/>
        <w:spacing w:after="0"/>
        <w:rPr>
          <w:sz w:val="20"/>
          <w:szCs w:val="20"/>
          <w:color w:val="auto"/>
        </w:rPr>
      </w:pPr>
      <w:r>
        <w:rPr>
          <w:rFonts w:ascii="Times New Roman" w:cs="Times New Roman" w:eastAsia="Times New Roman" w:hAnsi="Times New Roman"/>
          <w:sz w:val="11"/>
          <w:szCs w:val="11"/>
          <w:b w:val="1"/>
          <w:bCs w:val="1"/>
          <w:color w:val="auto"/>
        </w:rPr>
        <w:t>(Mark One)</w:t>
      </w:r>
    </w:p>
    <w:p>
      <w:pPr>
        <w:spacing w:after="0" w:line="43" w:lineRule="exact"/>
        <w:rPr>
          <w:sz w:val="24"/>
          <w:szCs w:val="24"/>
          <w:color w:val="auto"/>
        </w:rPr>
      </w:pPr>
    </w:p>
    <w:p>
      <w:pPr>
        <w:ind w:left="820" w:hanging="494"/>
        <w:spacing w:after="0"/>
        <w:tabs>
          <w:tab w:leader="none" w:pos="820" w:val="left"/>
        </w:tabs>
        <w:numPr>
          <w:ilvl w:val="0"/>
          <w:numId w:val="1"/>
        </w:numPr>
        <w:rPr>
          <w:rFonts w:ascii="MS PGothic" w:cs="MS PGothic" w:eastAsia="MS PGothic" w:hAnsi="MS PGothic"/>
          <w:sz w:val="14"/>
          <w:szCs w:val="14"/>
          <w:color w:val="auto"/>
          <w:highlight w:val="black"/>
        </w:rPr>
      </w:pPr>
      <w:r>
        <w:rPr>
          <w:rFonts w:ascii="Times New Roman" w:cs="Times New Roman" w:eastAsia="Times New Roman" w:hAnsi="Times New Roman"/>
          <w:sz w:val="14"/>
          <w:szCs w:val="14"/>
          <w:b w:val="1"/>
          <w:bCs w:val="1"/>
          <w:color w:val="auto"/>
        </w:rPr>
        <w:t>QUARTERLY REPORT PURSUANT TO SECTION 13 OR 15(d) OF THE SECURITIES EXCHANGE ACT OF 1934</w:t>
      </w:r>
    </w:p>
    <w:p>
      <w:pPr>
        <w:spacing w:after="0" w:line="233"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14"/>
          <w:szCs w:val="14"/>
          <w:b w:val="1"/>
          <w:bCs w:val="1"/>
          <w:color w:val="auto"/>
        </w:rPr>
        <w:t>For the quarterly period ended March 31, 2024</w:t>
      </w:r>
    </w:p>
    <w:p>
      <w:pPr>
        <w:spacing w:after="0" w:line="148" w:lineRule="exact"/>
        <w:rPr>
          <w:sz w:val="24"/>
          <w:szCs w:val="24"/>
          <w:color w:val="auto"/>
        </w:rPr>
      </w:pPr>
    </w:p>
    <w:p>
      <w:pPr>
        <w:ind w:left="780"/>
        <w:spacing w:after="0"/>
        <w:rPr>
          <w:sz w:val="20"/>
          <w:szCs w:val="20"/>
          <w:color w:val="auto"/>
        </w:rPr>
      </w:pPr>
      <w:r>
        <w:rPr>
          <w:rFonts w:ascii="Times New Roman" w:cs="Times New Roman" w:eastAsia="Times New Roman" w:hAnsi="Times New Roman"/>
          <w:sz w:val="14"/>
          <w:szCs w:val="14"/>
          <w:b w:val="1"/>
          <w:bCs w:val="1"/>
          <w:color w:val="auto"/>
        </w:rPr>
        <w:t>OR</w:t>
      </w:r>
    </w:p>
    <w:p>
      <w:pPr>
        <w:spacing w:after="0" w:line="201" w:lineRule="exact"/>
        <w:rPr>
          <w:sz w:val="24"/>
          <w:szCs w:val="24"/>
          <w:color w:val="auto"/>
        </w:rPr>
      </w:pPr>
    </w:p>
    <w:p>
      <w:pPr>
        <w:ind w:left="820" w:hanging="494"/>
        <w:spacing w:after="0"/>
        <w:tabs>
          <w:tab w:leader="none" w:pos="820" w:val="left"/>
        </w:tabs>
        <w:numPr>
          <w:ilvl w:val="0"/>
          <w:numId w:val="2"/>
        </w:numPr>
        <w:rPr>
          <w:rFonts w:ascii="MS PGothic" w:cs="MS PGothic" w:eastAsia="MS PGothic" w:hAnsi="MS PGothic"/>
          <w:sz w:val="14"/>
          <w:szCs w:val="14"/>
          <w:color w:val="auto"/>
          <w:highlight w:val="black"/>
        </w:rPr>
      </w:pPr>
      <w:r>
        <w:rPr>
          <w:rFonts w:ascii="Times New Roman" w:cs="Times New Roman" w:eastAsia="Times New Roman" w:hAnsi="Times New Roman"/>
          <w:sz w:val="14"/>
          <w:szCs w:val="14"/>
          <w:b w:val="1"/>
          <w:bCs w:val="1"/>
          <w:color w:val="auto"/>
        </w:rPr>
        <w:t>TRANSITION REPORT PURSUANT TO SECTION 13 OR 15(d) OF THE SECURITIES EXCHANGE ACT OF 1934</w:t>
      </w:r>
    </w:p>
    <w:p>
      <w:pPr>
        <w:spacing w:after="0" w:line="233" w:lineRule="exact"/>
        <w:rPr>
          <w:sz w:val="24"/>
          <w:szCs w:val="24"/>
          <w:color w:val="auto"/>
        </w:rPr>
      </w:pPr>
    </w:p>
    <w:tbl>
      <w:tblPr>
        <w:tblLayout w:type="fixed"/>
        <w:tblInd w:w="2160" w:type="dxa"/>
        <w:tblCellMar>
          <w:top w:w="0" w:type="dxa"/>
          <w:left w:w="0" w:type="dxa"/>
          <w:bottom w:w="0" w:type="dxa"/>
          <w:right w:w="0" w:type="dxa"/>
        </w:tblCellMar>
      </w:tblPr>
      <w:tr>
        <w:trPr>
          <w:trHeight w:val="186"/>
        </w:trPr>
        <w:tc>
          <w:tcPr>
            <w:tcW w:w="1900" w:type="dxa"/>
            <w:vAlign w:val="bottom"/>
          </w:tcPr>
          <w:p>
            <w:pPr>
              <w:spacing w:after="0"/>
              <w:rPr>
                <w:sz w:val="16"/>
                <w:szCs w:val="16"/>
                <w:color w:val="auto"/>
              </w:rPr>
            </w:pPr>
          </w:p>
        </w:tc>
        <w:tc>
          <w:tcPr>
            <w:tcW w:w="5000" w:type="dxa"/>
            <w:vAlign w:val="bottom"/>
          </w:tcPr>
          <w:p>
            <w:pPr>
              <w:jc w:val="center"/>
              <w:ind w:right="1448"/>
              <w:spacing w:after="0"/>
              <w:rPr>
                <w:sz w:val="20"/>
                <w:szCs w:val="20"/>
                <w:color w:val="auto"/>
              </w:rPr>
            </w:pPr>
            <w:r>
              <w:rPr>
                <w:rFonts w:ascii="Times New Roman" w:cs="Times New Roman" w:eastAsia="Times New Roman" w:hAnsi="Times New Roman"/>
                <w:sz w:val="14"/>
                <w:szCs w:val="14"/>
                <w:b w:val="1"/>
                <w:bCs w:val="1"/>
                <w:color w:val="auto"/>
              </w:rPr>
              <w:t>For the transition period from ______ to ______</w:t>
            </w:r>
          </w:p>
        </w:tc>
      </w:tr>
      <w:tr>
        <w:trPr>
          <w:trHeight w:val="241"/>
        </w:trPr>
        <w:tc>
          <w:tcPr>
            <w:tcW w:w="1900" w:type="dxa"/>
            <w:vAlign w:val="bottom"/>
          </w:tcPr>
          <w:p>
            <w:pPr>
              <w:spacing w:after="0"/>
              <w:rPr>
                <w:sz w:val="21"/>
                <w:szCs w:val="21"/>
                <w:color w:val="auto"/>
              </w:rPr>
            </w:pPr>
          </w:p>
        </w:tc>
        <w:tc>
          <w:tcPr>
            <w:tcW w:w="5000" w:type="dxa"/>
            <w:vAlign w:val="bottom"/>
          </w:tcPr>
          <w:p>
            <w:pPr>
              <w:jc w:val="center"/>
              <w:ind w:right="1448"/>
              <w:spacing w:after="0"/>
              <w:rPr>
                <w:sz w:val="20"/>
                <w:szCs w:val="20"/>
                <w:color w:val="auto"/>
              </w:rPr>
            </w:pPr>
            <w:r>
              <w:rPr>
                <w:rFonts w:ascii="Times New Roman" w:cs="Times New Roman" w:eastAsia="Times New Roman" w:hAnsi="Times New Roman"/>
                <w:sz w:val="14"/>
                <w:szCs w:val="14"/>
                <w:b w:val="1"/>
                <w:bCs w:val="1"/>
                <w:color w:val="auto"/>
              </w:rPr>
              <w:t xml:space="preserve">Commission File Number: </w:t>
            </w:r>
            <w:r>
              <w:rPr>
                <w:rFonts w:ascii="Times New Roman" w:cs="Times New Roman" w:eastAsia="Times New Roman" w:hAnsi="Times New Roman"/>
                <w:sz w:val="14"/>
                <w:szCs w:val="14"/>
                <w:b w:val="1"/>
                <w:bCs w:val="1"/>
                <w:color w:val="222222"/>
              </w:rPr>
              <w:t>001-38636</w:t>
            </w:r>
          </w:p>
        </w:tc>
      </w:tr>
      <w:tr>
        <w:trPr>
          <w:trHeight w:val="184"/>
        </w:trPr>
        <w:tc>
          <w:tcPr>
            <w:tcW w:w="1900" w:type="dxa"/>
            <w:vAlign w:val="bottom"/>
          </w:tcPr>
          <w:p>
            <w:pPr>
              <w:spacing w:after="0"/>
              <w:rPr>
                <w:sz w:val="16"/>
                <w:szCs w:val="16"/>
                <w:color w:val="auto"/>
              </w:rPr>
            </w:pPr>
          </w:p>
        </w:tc>
        <w:tc>
          <w:tcPr>
            <w:tcW w:w="5000" w:type="dxa"/>
            <w:vAlign w:val="bottom"/>
          </w:tcPr>
          <w:p>
            <w:pPr>
              <w:jc w:val="center"/>
              <w:ind w:right="1448"/>
              <w:spacing w:after="0"/>
              <w:rPr>
                <w:sz w:val="20"/>
                <w:szCs w:val="20"/>
                <w:color w:val="auto"/>
              </w:rPr>
            </w:pPr>
            <w:r>
              <w:rPr>
                <w:rFonts w:ascii="Times New Roman" w:cs="Times New Roman" w:eastAsia="Times New Roman" w:hAnsi="Times New Roman"/>
                <w:sz w:val="14"/>
                <w:szCs w:val="14"/>
                <w:color w:val="auto"/>
              </w:rPr>
              <w:t>________________________________________________</w:t>
            </w:r>
          </w:p>
        </w:tc>
      </w:tr>
      <w:tr>
        <w:trPr>
          <w:trHeight w:val="529"/>
        </w:trPr>
        <w:tc>
          <w:tcPr>
            <w:tcW w:w="1900" w:type="dxa"/>
            <w:vAlign w:val="bottom"/>
          </w:tcPr>
          <w:p>
            <w:pPr>
              <w:spacing w:after="0"/>
              <w:rPr>
                <w:sz w:val="24"/>
                <w:szCs w:val="24"/>
                <w:color w:val="auto"/>
              </w:rPr>
            </w:pPr>
          </w:p>
        </w:tc>
        <w:tc>
          <w:tcPr>
            <w:tcW w:w="5000" w:type="dxa"/>
            <w:vAlign w:val="bottom"/>
          </w:tcPr>
          <w:p>
            <w:pPr>
              <w:jc w:val="center"/>
              <w:ind w:right="1468"/>
              <w:spacing w:after="0"/>
              <w:rPr>
                <w:sz w:val="20"/>
                <w:szCs w:val="20"/>
                <w:color w:val="auto"/>
              </w:rPr>
            </w:pPr>
            <w:r>
              <w:rPr>
                <w:rFonts w:ascii="Times New Roman" w:cs="Times New Roman" w:eastAsia="Times New Roman" w:hAnsi="Times New Roman"/>
                <w:sz w:val="34"/>
                <w:szCs w:val="34"/>
                <w:b w:val="1"/>
                <w:bCs w:val="1"/>
                <w:color w:val="auto"/>
              </w:rPr>
              <w:t>Garrett Motion Inc.</w:t>
            </w:r>
          </w:p>
        </w:tc>
      </w:tr>
      <w:tr>
        <w:trPr>
          <w:trHeight w:val="170"/>
        </w:trPr>
        <w:tc>
          <w:tcPr>
            <w:tcW w:w="1900" w:type="dxa"/>
            <w:vAlign w:val="bottom"/>
          </w:tcPr>
          <w:p>
            <w:pPr>
              <w:spacing w:after="0"/>
              <w:rPr>
                <w:sz w:val="14"/>
                <w:szCs w:val="14"/>
                <w:color w:val="auto"/>
              </w:rPr>
            </w:pPr>
          </w:p>
        </w:tc>
        <w:tc>
          <w:tcPr>
            <w:tcW w:w="5000" w:type="dxa"/>
            <w:vAlign w:val="bottom"/>
          </w:tcPr>
          <w:p>
            <w:pPr>
              <w:jc w:val="center"/>
              <w:ind w:right="1448"/>
              <w:spacing w:after="0"/>
              <w:rPr>
                <w:sz w:val="20"/>
                <w:szCs w:val="20"/>
                <w:color w:val="auto"/>
              </w:rPr>
            </w:pPr>
            <w:r>
              <w:rPr>
                <w:rFonts w:ascii="Times New Roman" w:cs="Times New Roman" w:eastAsia="Times New Roman" w:hAnsi="Times New Roman"/>
                <w:sz w:val="14"/>
                <w:szCs w:val="14"/>
                <w:color w:val="auto"/>
              </w:rPr>
              <w:t>(Exact Name of Registrant as Specified in its Charter)</w:t>
            </w:r>
          </w:p>
        </w:tc>
      </w:tr>
      <w:tr>
        <w:trPr>
          <w:trHeight w:val="184"/>
        </w:trPr>
        <w:tc>
          <w:tcPr>
            <w:tcW w:w="1900" w:type="dxa"/>
            <w:vAlign w:val="bottom"/>
          </w:tcPr>
          <w:p>
            <w:pPr>
              <w:spacing w:after="0"/>
              <w:rPr>
                <w:sz w:val="16"/>
                <w:szCs w:val="16"/>
                <w:color w:val="auto"/>
              </w:rPr>
            </w:pPr>
          </w:p>
        </w:tc>
        <w:tc>
          <w:tcPr>
            <w:tcW w:w="5000" w:type="dxa"/>
            <w:vAlign w:val="bottom"/>
          </w:tcPr>
          <w:p>
            <w:pPr>
              <w:jc w:val="center"/>
              <w:ind w:right="1448"/>
              <w:spacing w:after="0"/>
              <w:rPr>
                <w:sz w:val="20"/>
                <w:szCs w:val="20"/>
                <w:color w:val="auto"/>
              </w:rPr>
            </w:pPr>
            <w:r>
              <w:rPr>
                <w:rFonts w:ascii="Times New Roman" w:cs="Times New Roman" w:eastAsia="Times New Roman" w:hAnsi="Times New Roman"/>
                <w:sz w:val="14"/>
                <w:szCs w:val="14"/>
                <w:color w:val="auto"/>
              </w:rPr>
              <w:t>________________________________________________</w:t>
            </w:r>
          </w:p>
        </w:tc>
      </w:tr>
      <w:tr>
        <w:trPr>
          <w:trHeight w:val="362"/>
        </w:trPr>
        <w:tc>
          <w:tcPr>
            <w:tcW w:w="1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Delaware</w:t>
            </w:r>
          </w:p>
        </w:tc>
        <w:tc>
          <w:tcPr>
            <w:tcW w:w="50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82-4873189</w:t>
            </w:r>
          </w:p>
        </w:tc>
      </w:tr>
      <w:tr>
        <w:trPr>
          <w:trHeight w:val="107"/>
        </w:trPr>
        <w:tc>
          <w:tcPr>
            <w:tcW w:w="1900" w:type="dxa"/>
            <w:vAlign w:val="bottom"/>
          </w:tcPr>
          <w:p>
            <w:pPr>
              <w:jc w:val="center"/>
              <w:spacing w:after="0" w:line="107" w:lineRule="exact"/>
              <w:rPr>
                <w:sz w:val="20"/>
                <w:szCs w:val="20"/>
                <w:color w:val="auto"/>
              </w:rPr>
            </w:pPr>
            <w:r>
              <w:rPr>
                <w:rFonts w:ascii="Times New Roman" w:cs="Times New Roman" w:eastAsia="Times New Roman" w:hAnsi="Times New Roman"/>
                <w:sz w:val="10"/>
                <w:szCs w:val="10"/>
                <w:color w:val="auto"/>
                <w:w w:val="98"/>
              </w:rPr>
              <w:t>(State or other jurisdiction of</w:t>
            </w:r>
          </w:p>
        </w:tc>
        <w:tc>
          <w:tcPr>
            <w:tcW w:w="5000" w:type="dxa"/>
            <w:vAlign w:val="bottom"/>
          </w:tcPr>
          <w:p>
            <w:pPr>
              <w:jc w:val="center"/>
              <w:ind w:left="4208"/>
              <w:spacing w:after="0" w:line="107" w:lineRule="exact"/>
              <w:rPr>
                <w:sz w:val="20"/>
                <w:szCs w:val="20"/>
                <w:color w:val="auto"/>
              </w:rPr>
            </w:pPr>
            <w:r>
              <w:rPr>
                <w:rFonts w:ascii="Times New Roman" w:cs="Times New Roman" w:eastAsia="Times New Roman" w:hAnsi="Times New Roman"/>
                <w:sz w:val="10"/>
                <w:szCs w:val="10"/>
                <w:color w:val="auto"/>
                <w:w w:val="99"/>
              </w:rPr>
              <w:t>(I.R.S. Employer</w:t>
            </w:r>
          </w:p>
        </w:tc>
      </w:tr>
      <w:tr>
        <w:trPr>
          <w:trHeight w:val="129"/>
        </w:trPr>
        <w:tc>
          <w:tcPr>
            <w:tcW w:w="19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9"/>
              </w:rPr>
              <w:t>incorporation or organization)</w:t>
            </w:r>
          </w:p>
        </w:tc>
        <w:tc>
          <w:tcPr>
            <w:tcW w:w="5000" w:type="dxa"/>
            <w:vAlign w:val="bottom"/>
          </w:tcPr>
          <w:p>
            <w:pPr>
              <w:jc w:val="center"/>
              <w:ind w:left="4188"/>
              <w:spacing w:after="0"/>
              <w:rPr>
                <w:sz w:val="20"/>
                <w:szCs w:val="20"/>
                <w:color w:val="auto"/>
              </w:rPr>
            </w:pPr>
            <w:r>
              <w:rPr>
                <w:rFonts w:ascii="Times New Roman" w:cs="Times New Roman" w:eastAsia="Times New Roman" w:hAnsi="Times New Roman"/>
                <w:sz w:val="10"/>
                <w:szCs w:val="10"/>
                <w:color w:val="auto"/>
                <w:w w:val="99"/>
              </w:rPr>
              <w:t>Identification No.)</w:t>
            </w:r>
          </w:p>
        </w:tc>
      </w:tr>
      <w:tr>
        <w:trPr>
          <w:trHeight w:val="329"/>
        </w:trPr>
        <w:tc>
          <w:tcPr>
            <w:tcW w:w="1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La Pièce 16, Rolle, Switzerland</w:t>
            </w:r>
          </w:p>
        </w:tc>
        <w:tc>
          <w:tcPr>
            <w:tcW w:w="5000" w:type="dxa"/>
            <w:vAlign w:val="bottom"/>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1180</w:t>
            </w:r>
          </w:p>
        </w:tc>
      </w:tr>
      <w:tr>
        <w:trPr>
          <w:trHeight w:val="148"/>
        </w:trPr>
        <w:tc>
          <w:tcPr>
            <w:tcW w:w="190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9"/>
              </w:rPr>
              <w:t>(Address of principal executive offices)</w:t>
            </w:r>
          </w:p>
        </w:tc>
        <w:tc>
          <w:tcPr>
            <w:tcW w:w="5000" w:type="dxa"/>
            <w:vAlign w:val="bottom"/>
          </w:tcPr>
          <w:p>
            <w:pPr>
              <w:jc w:val="center"/>
              <w:ind w:left="4188"/>
              <w:spacing w:after="0"/>
              <w:rPr>
                <w:sz w:val="20"/>
                <w:szCs w:val="20"/>
                <w:color w:val="auto"/>
              </w:rPr>
            </w:pPr>
            <w:r>
              <w:rPr>
                <w:rFonts w:ascii="Times New Roman" w:cs="Times New Roman" w:eastAsia="Times New Roman" w:hAnsi="Times New Roman"/>
                <w:sz w:val="10"/>
                <w:szCs w:val="10"/>
                <w:b w:val="1"/>
                <w:bCs w:val="1"/>
                <w:color w:val="auto"/>
                <w:w w:val="99"/>
              </w:rPr>
              <w:t>(Zip Code)</w:t>
            </w:r>
          </w:p>
        </w:tc>
      </w:tr>
      <w:tr>
        <w:trPr>
          <w:trHeight w:val="391"/>
        </w:trPr>
        <w:tc>
          <w:tcPr>
            <w:tcW w:w="1900" w:type="dxa"/>
            <w:vAlign w:val="bottom"/>
          </w:tcPr>
          <w:p>
            <w:pPr>
              <w:spacing w:after="0"/>
              <w:rPr>
                <w:sz w:val="24"/>
                <w:szCs w:val="24"/>
                <w:color w:val="auto"/>
              </w:rPr>
            </w:pPr>
          </w:p>
        </w:tc>
        <w:tc>
          <w:tcPr>
            <w:tcW w:w="5000" w:type="dxa"/>
            <w:vAlign w:val="bottom"/>
          </w:tcPr>
          <w:p>
            <w:pPr>
              <w:jc w:val="center"/>
              <w:ind w:right="1448"/>
              <w:spacing w:after="0"/>
              <w:rPr>
                <w:sz w:val="20"/>
                <w:szCs w:val="20"/>
                <w:color w:val="auto"/>
              </w:rPr>
            </w:pPr>
            <w:r>
              <w:rPr>
                <w:rFonts w:ascii="Times New Roman" w:cs="Times New Roman" w:eastAsia="Times New Roman" w:hAnsi="Times New Roman"/>
                <w:sz w:val="14"/>
                <w:szCs w:val="14"/>
                <w:b w:val="1"/>
                <w:bCs w:val="1"/>
                <w:color w:val="auto"/>
              </w:rPr>
              <w:t>+41 21 695 30 00</w:t>
            </w:r>
          </w:p>
        </w:tc>
      </w:tr>
      <w:tr>
        <w:trPr>
          <w:trHeight w:val="131"/>
        </w:trPr>
        <w:tc>
          <w:tcPr>
            <w:tcW w:w="1900" w:type="dxa"/>
            <w:vAlign w:val="bottom"/>
          </w:tcPr>
          <w:p>
            <w:pPr>
              <w:spacing w:after="0"/>
              <w:rPr>
                <w:sz w:val="11"/>
                <w:szCs w:val="11"/>
                <w:color w:val="auto"/>
              </w:rPr>
            </w:pPr>
          </w:p>
        </w:tc>
        <w:tc>
          <w:tcPr>
            <w:tcW w:w="5000" w:type="dxa"/>
            <w:vAlign w:val="bottom"/>
          </w:tcPr>
          <w:p>
            <w:pPr>
              <w:jc w:val="center"/>
              <w:ind w:right="1448"/>
              <w:spacing w:after="0"/>
              <w:rPr>
                <w:sz w:val="20"/>
                <w:szCs w:val="20"/>
                <w:color w:val="auto"/>
              </w:rPr>
            </w:pPr>
            <w:r>
              <w:rPr>
                <w:rFonts w:ascii="Times New Roman" w:cs="Times New Roman" w:eastAsia="Times New Roman" w:hAnsi="Times New Roman"/>
                <w:sz w:val="10"/>
                <w:szCs w:val="10"/>
                <w:b w:val="1"/>
                <w:bCs w:val="1"/>
                <w:color w:val="auto"/>
                <w:w w:val="98"/>
              </w:rPr>
              <w:t>(Registrant’s telephone number, including area code)</w:t>
            </w:r>
          </w:p>
        </w:tc>
      </w:tr>
    </w:tbl>
    <w:p>
      <w:pPr>
        <w:spacing w:after="0" w:line="200" w:lineRule="exact"/>
        <w:rPr>
          <w:sz w:val="24"/>
          <w:szCs w:val="24"/>
          <w:color w:val="auto"/>
        </w:rPr>
      </w:pPr>
    </w:p>
    <w:p>
      <w:pPr>
        <w:spacing w:after="0" w:line="268" w:lineRule="exact"/>
        <w:rPr>
          <w:sz w:val="24"/>
          <w:szCs w:val="24"/>
          <w:color w:val="auto"/>
        </w:rPr>
      </w:pPr>
    </w:p>
    <w:p>
      <w:pPr>
        <w:ind w:left="320"/>
        <w:spacing w:after="0"/>
        <w:rPr>
          <w:sz w:val="20"/>
          <w:szCs w:val="20"/>
          <w:color w:val="auto"/>
        </w:rPr>
      </w:pPr>
      <w:r>
        <w:rPr>
          <w:rFonts w:ascii="Times New Roman" w:cs="Times New Roman" w:eastAsia="Times New Roman" w:hAnsi="Times New Roman"/>
          <w:sz w:val="13"/>
          <w:szCs w:val="13"/>
          <w:b w:val="1"/>
          <w:bCs w:val="1"/>
          <w:color w:val="auto"/>
        </w:rPr>
        <w:t>Securities registered pursuant to Section 12(b) of the Act:</w:t>
      </w:r>
    </w:p>
    <w:p>
      <w:pPr>
        <w:spacing w:after="0" w:line="152" w:lineRule="exact"/>
        <w:rPr>
          <w:sz w:val="24"/>
          <w:szCs w:val="24"/>
          <w:color w:val="auto"/>
        </w:rPr>
      </w:pPr>
    </w:p>
    <w:tbl>
      <w:tblPr>
        <w:tblLayout w:type="fixed"/>
        <w:tblInd w:w="330" w:type="dxa"/>
        <w:tblCellMar>
          <w:top w:w="0" w:type="dxa"/>
          <w:left w:w="0" w:type="dxa"/>
          <w:bottom w:w="0" w:type="dxa"/>
          <w:right w:w="0" w:type="dxa"/>
        </w:tblCellMar>
      </w:tblPr>
      <w:tr>
        <w:trPr>
          <w:trHeight w:val="179"/>
        </w:trPr>
        <w:tc>
          <w:tcPr>
            <w:tcW w:w="4460" w:type="dxa"/>
            <w:vAlign w:val="bottom"/>
            <w:tcBorders>
              <w:top w:val="single" w:sz="8" w:color="auto"/>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Title of each class</w:t>
            </w:r>
          </w:p>
        </w:tc>
        <w:tc>
          <w:tcPr>
            <w:tcW w:w="23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Trading Symbol(s)</w:t>
            </w:r>
          </w:p>
        </w:tc>
        <w:tc>
          <w:tcPr>
            <w:tcW w:w="4200" w:type="dxa"/>
            <w:vAlign w:val="bottom"/>
            <w:tcBorders>
              <w:top w:val="single" w:sz="8" w:color="auto"/>
            </w:tcBorders>
          </w:tcPr>
          <w:p>
            <w:pPr>
              <w:jc w:val="center"/>
              <w:ind w:left="153"/>
              <w:spacing w:after="0"/>
              <w:rPr>
                <w:sz w:val="20"/>
                <w:szCs w:val="20"/>
                <w:color w:val="auto"/>
              </w:rPr>
            </w:pPr>
            <w:r>
              <w:rPr>
                <w:rFonts w:ascii="Times New Roman" w:cs="Times New Roman" w:eastAsia="Times New Roman" w:hAnsi="Times New Roman"/>
                <w:sz w:val="13"/>
                <w:szCs w:val="13"/>
                <w:b w:val="1"/>
                <w:bCs w:val="1"/>
                <w:color w:val="auto"/>
                <w:w w:val="98"/>
              </w:rPr>
              <w:t>Name of each exchange on which registered</w:t>
            </w:r>
          </w:p>
        </w:tc>
      </w:tr>
      <w:tr>
        <w:trPr>
          <w:trHeight w:val="24"/>
        </w:trPr>
        <w:tc>
          <w:tcPr>
            <w:tcW w:w="4460" w:type="dxa"/>
            <w:vAlign w:val="bottom"/>
            <w:tcBorders>
              <w:left w:val="single" w:sz="8" w:color="auto"/>
              <w:bottom w:val="single" w:sz="8" w:color="auto"/>
              <w:right w:val="single" w:sz="8" w:color="auto"/>
            </w:tcBorders>
          </w:tcPr>
          <w:p>
            <w:pPr>
              <w:spacing w:after="0"/>
              <w:rPr>
                <w:sz w:val="2"/>
                <w:szCs w:val="2"/>
                <w:color w:val="auto"/>
              </w:rPr>
            </w:pPr>
          </w:p>
        </w:tc>
        <w:tc>
          <w:tcPr>
            <w:tcW w:w="2380" w:type="dxa"/>
            <w:vAlign w:val="bottom"/>
            <w:tcBorders>
              <w:bottom w:val="single" w:sz="8" w:color="auto"/>
              <w:right w:val="single" w:sz="8" w:color="auto"/>
            </w:tcBorders>
          </w:tcPr>
          <w:p>
            <w:pPr>
              <w:spacing w:after="0"/>
              <w:rPr>
                <w:sz w:val="2"/>
                <w:szCs w:val="2"/>
                <w:color w:val="auto"/>
              </w:rPr>
            </w:pPr>
          </w:p>
        </w:tc>
        <w:tc>
          <w:tcPr>
            <w:tcW w:w="4200" w:type="dxa"/>
            <w:vAlign w:val="bottom"/>
            <w:tcBorders>
              <w:bottom w:val="single" w:sz="8" w:color="auto"/>
            </w:tcBorders>
          </w:tcPr>
          <w:p>
            <w:pPr>
              <w:spacing w:after="0"/>
              <w:rPr>
                <w:sz w:val="2"/>
                <w:szCs w:val="2"/>
                <w:color w:val="auto"/>
              </w:rPr>
            </w:pPr>
          </w:p>
        </w:tc>
      </w:tr>
      <w:tr>
        <w:trPr>
          <w:trHeight w:val="187"/>
        </w:trPr>
        <w:tc>
          <w:tcPr>
            <w:tcW w:w="44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Common Stock, $0.001 par value per share</w:t>
            </w:r>
          </w:p>
        </w:tc>
        <w:tc>
          <w:tcPr>
            <w:tcW w:w="23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GTX</w:t>
            </w:r>
          </w:p>
        </w:tc>
        <w:tc>
          <w:tcPr>
            <w:tcW w:w="4200" w:type="dxa"/>
            <w:vAlign w:val="bottom"/>
            <w:tcBorders>
              <w:bottom w:val="single" w:sz="8" w:color="auto"/>
            </w:tcBorders>
          </w:tcPr>
          <w:p>
            <w:pPr>
              <w:jc w:val="center"/>
              <w:ind w:left="153"/>
              <w:spacing w:after="0"/>
              <w:rPr>
                <w:sz w:val="20"/>
                <w:szCs w:val="20"/>
                <w:color w:val="auto"/>
              </w:rPr>
            </w:pPr>
            <w:r>
              <w:rPr>
                <w:rFonts w:ascii="Times New Roman" w:cs="Times New Roman" w:eastAsia="Times New Roman" w:hAnsi="Times New Roman"/>
                <w:sz w:val="14"/>
                <w:szCs w:val="14"/>
                <w:color w:val="auto"/>
              </w:rPr>
              <w:t>The Nasdaq Stock Market LLC</w:t>
            </w:r>
          </w:p>
        </w:tc>
      </w:tr>
    </w:tbl>
    <w:p>
      <w:pPr>
        <w:spacing w:after="0" w:line="202" w:lineRule="exact"/>
        <w:rPr>
          <w:sz w:val="24"/>
          <w:szCs w:val="24"/>
          <w:color w:val="auto"/>
        </w:rPr>
      </w:pPr>
    </w:p>
    <w:p>
      <w:pPr>
        <w:ind w:right="240" w:firstLine="307"/>
        <w:spacing w:after="0" w:line="173"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102" w:lineRule="exact"/>
        <w:rPr>
          <w:sz w:val="24"/>
          <w:szCs w:val="24"/>
          <w:color w:val="auto"/>
        </w:rPr>
      </w:pPr>
    </w:p>
    <w:p>
      <w:pPr>
        <w:ind w:right="560" w:firstLine="307"/>
        <w:spacing w:after="0" w:line="173"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102" w:lineRule="exact"/>
        <w:rPr>
          <w:sz w:val="24"/>
          <w:szCs w:val="24"/>
          <w:color w:val="auto"/>
        </w:rPr>
      </w:pPr>
    </w:p>
    <w:p>
      <w:pPr>
        <w:ind w:right="380" w:firstLine="319"/>
        <w:spacing w:after="0" w:line="282" w:lineRule="auto"/>
        <w:rPr>
          <w:sz w:val="20"/>
          <w:szCs w:val="20"/>
          <w:color w:val="auto"/>
        </w:rPr>
      </w:pPr>
      <w:r>
        <w:rPr>
          <w:rFonts w:ascii="Times New Roman" w:cs="Times New Roman" w:eastAsia="Times New Roman" w:hAnsi="Times New Roman"/>
          <w:sz w:val="13"/>
          <w:szCs w:val="13"/>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10" w:lineRule="exact"/>
        <w:rPr>
          <w:sz w:val="24"/>
          <w:szCs w:val="24"/>
          <w:color w:val="auto"/>
        </w:rPr>
      </w:pPr>
    </w:p>
    <w:tbl>
      <w:tblPr>
        <w:tblLayout w:type="fixed"/>
        <w:tblInd w:w="320" w:type="dxa"/>
        <w:tblCellMar>
          <w:top w:w="0" w:type="dxa"/>
          <w:left w:w="0" w:type="dxa"/>
          <w:bottom w:w="0" w:type="dxa"/>
          <w:right w:w="0" w:type="dxa"/>
        </w:tblCellMar>
      </w:tblPr>
      <w:tr>
        <w:trPr>
          <w:trHeight w:val="215"/>
        </w:trPr>
        <w:tc>
          <w:tcPr>
            <w:tcW w:w="2540" w:type="dxa"/>
            <w:vAlign w:val="bottom"/>
          </w:tcPr>
          <w:p>
            <w:pPr>
              <w:spacing w:after="0"/>
              <w:rPr>
                <w:sz w:val="20"/>
                <w:szCs w:val="20"/>
                <w:color w:val="auto"/>
              </w:rPr>
            </w:pPr>
            <w:r>
              <w:rPr>
                <w:rFonts w:ascii="Times New Roman" w:cs="Times New Roman" w:eastAsia="Times New Roman" w:hAnsi="Times New Roman"/>
                <w:sz w:val="13"/>
                <w:szCs w:val="13"/>
                <w:color w:val="auto"/>
              </w:rPr>
              <w:t>Large accelerated filer</w:t>
            </w:r>
          </w:p>
        </w:tc>
        <w:tc>
          <w:tcPr>
            <w:tcW w:w="2560" w:type="dxa"/>
            <w:vAlign w:val="bottom"/>
          </w:tcPr>
          <w:p>
            <w:pPr>
              <w:ind w:left="1120"/>
              <w:spacing w:after="0" w:line="131" w:lineRule="exact"/>
              <w:rPr>
                <w:sz w:val="20"/>
                <w:szCs w:val="20"/>
                <w:color w:val="auto"/>
              </w:rPr>
            </w:pPr>
            <w:r>
              <w:rPr>
                <w:rFonts w:ascii="MS PGothic" w:cs="MS PGothic" w:eastAsia="MS PGothic" w:hAnsi="MS PGothic"/>
                <w:sz w:val="13"/>
                <w:szCs w:val="13"/>
                <w:color w:val="auto"/>
                <w:highlight w:val="black"/>
              </w:rPr>
              <w:t>☒</w:t>
            </w:r>
          </w:p>
        </w:tc>
        <w:tc>
          <w:tcPr>
            <w:tcW w:w="2720" w:type="dxa"/>
            <w:vAlign w:val="bottom"/>
          </w:tcPr>
          <w:p>
            <w:pPr>
              <w:ind w:left="1320"/>
              <w:spacing w:after="0"/>
              <w:rPr>
                <w:sz w:val="20"/>
                <w:szCs w:val="20"/>
                <w:color w:val="auto"/>
              </w:rPr>
            </w:pPr>
            <w:r>
              <w:rPr>
                <w:rFonts w:ascii="Times New Roman" w:cs="Times New Roman" w:eastAsia="Times New Roman" w:hAnsi="Times New Roman"/>
                <w:sz w:val="13"/>
                <w:szCs w:val="13"/>
                <w:color w:val="auto"/>
              </w:rPr>
              <w:t>Accelerated filer</w:t>
            </w:r>
          </w:p>
        </w:tc>
      </w:tr>
      <w:tr>
        <w:trPr>
          <w:trHeight w:val="309"/>
        </w:trPr>
        <w:tc>
          <w:tcPr>
            <w:tcW w:w="2540" w:type="dxa"/>
            <w:vAlign w:val="bottom"/>
          </w:tcPr>
          <w:p>
            <w:pPr>
              <w:spacing w:after="0"/>
              <w:rPr>
                <w:sz w:val="20"/>
                <w:szCs w:val="20"/>
                <w:color w:val="auto"/>
              </w:rPr>
            </w:pPr>
            <w:r>
              <w:rPr>
                <w:rFonts w:ascii="Times New Roman" w:cs="Times New Roman" w:eastAsia="Times New Roman" w:hAnsi="Times New Roman"/>
                <w:sz w:val="13"/>
                <w:szCs w:val="13"/>
                <w:color w:val="auto"/>
              </w:rPr>
              <w:t>Non-accelerated filer</w:t>
            </w:r>
          </w:p>
        </w:tc>
        <w:tc>
          <w:tcPr>
            <w:tcW w:w="2560" w:type="dxa"/>
            <w:vAlign w:val="bottom"/>
          </w:tcPr>
          <w:p>
            <w:pPr>
              <w:ind w:left="1120"/>
              <w:spacing w:after="0" w:line="131" w:lineRule="exact"/>
              <w:rPr>
                <w:sz w:val="20"/>
                <w:szCs w:val="20"/>
                <w:color w:val="auto"/>
              </w:rPr>
            </w:pPr>
            <w:r>
              <w:rPr>
                <w:rFonts w:ascii="MS PGothic" w:cs="MS PGothic" w:eastAsia="MS PGothic" w:hAnsi="MS PGothic"/>
                <w:sz w:val="13"/>
                <w:szCs w:val="13"/>
                <w:color w:val="auto"/>
              </w:rPr>
              <w:t>☐</w:t>
            </w:r>
          </w:p>
        </w:tc>
        <w:tc>
          <w:tcPr>
            <w:tcW w:w="2720" w:type="dxa"/>
            <w:vAlign w:val="bottom"/>
          </w:tcPr>
          <w:p>
            <w:pPr>
              <w:ind w:left="1320"/>
              <w:spacing w:after="0"/>
              <w:rPr>
                <w:sz w:val="20"/>
                <w:szCs w:val="20"/>
                <w:color w:val="auto"/>
              </w:rPr>
            </w:pPr>
            <w:r>
              <w:rPr>
                <w:rFonts w:ascii="Times New Roman" w:cs="Times New Roman" w:eastAsia="Times New Roman" w:hAnsi="Times New Roman"/>
                <w:sz w:val="13"/>
                <w:szCs w:val="13"/>
                <w:color w:val="auto"/>
                <w:w w:val="96"/>
              </w:rPr>
              <w:t>Smaller reporting company</w:t>
            </w:r>
          </w:p>
        </w:tc>
      </w:tr>
      <w:tr>
        <w:trPr>
          <w:trHeight w:val="309"/>
        </w:trPr>
        <w:tc>
          <w:tcPr>
            <w:tcW w:w="2540" w:type="dxa"/>
            <w:vAlign w:val="bottom"/>
          </w:tcPr>
          <w:p>
            <w:pPr>
              <w:spacing w:after="0"/>
              <w:rPr>
                <w:sz w:val="20"/>
                <w:szCs w:val="20"/>
                <w:color w:val="auto"/>
              </w:rPr>
            </w:pPr>
            <w:r>
              <w:rPr>
                <w:rFonts w:ascii="Times New Roman" w:cs="Times New Roman" w:eastAsia="Times New Roman" w:hAnsi="Times New Roman"/>
                <w:sz w:val="13"/>
                <w:szCs w:val="13"/>
                <w:color w:val="auto"/>
              </w:rPr>
              <w:t>Emerging growth company</w:t>
            </w:r>
          </w:p>
        </w:tc>
        <w:tc>
          <w:tcPr>
            <w:tcW w:w="2560" w:type="dxa"/>
            <w:vAlign w:val="bottom"/>
          </w:tcPr>
          <w:p>
            <w:pPr>
              <w:ind w:left="1120"/>
              <w:spacing w:after="0" w:line="131" w:lineRule="exact"/>
              <w:rPr>
                <w:sz w:val="20"/>
                <w:szCs w:val="20"/>
                <w:color w:val="auto"/>
              </w:rPr>
            </w:pPr>
            <w:r>
              <w:rPr>
                <w:rFonts w:ascii="MS PGothic" w:cs="MS PGothic" w:eastAsia="MS PGothic" w:hAnsi="MS PGothic"/>
                <w:sz w:val="13"/>
                <w:szCs w:val="13"/>
                <w:color w:val="auto"/>
              </w:rPr>
              <w:t>☐</w:t>
            </w:r>
          </w:p>
        </w:tc>
        <w:tc>
          <w:tcPr>
            <w:tcW w:w="2720" w:type="dxa"/>
            <w:vAlign w:val="bottom"/>
          </w:tcPr>
          <w:p>
            <w:pPr>
              <w:spacing w:after="0"/>
              <w:rPr>
                <w:sz w:val="24"/>
                <w:szCs w:val="24"/>
                <w:color w:val="auto"/>
              </w:rPr>
            </w:pPr>
          </w:p>
        </w:tc>
      </w:tr>
    </w:tbl>
    <w:p>
      <w:pPr>
        <w:spacing w:after="0" w:line="208" w:lineRule="exact"/>
        <w:rPr>
          <w:sz w:val="24"/>
          <w:szCs w:val="24"/>
          <w:color w:val="auto"/>
        </w:rPr>
      </w:pPr>
    </w:p>
    <w:p>
      <w:pPr>
        <w:ind w:right="80" w:firstLine="319"/>
        <w:spacing w:after="0" w:line="167" w:lineRule="exact"/>
        <w:rPr>
          <w:sz w:val="20"/>
          <w:szCs w:val="20"/>
          <w:color w:val="auto"/>
        </w:rPr>
      </w:pPr>
      <w:r>
        <w:rPr>
          <w:rFonts w:ascii="Times New Roman" w:cs="Times New Roman" w:eastAsia="Times New Roman" w:hAnsi="Times New Roman"/>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spacing w:after="0" w:line="85" w:lineRule="exact"/>
        <w:rPr>
          <w:sz w:val="24"/>
          <w:szCs w:val="24"/>
          <w:color w:val="auto"/>
        </w:rPr>
      </w:pPr>
    </w:p>
    <w:p>
      <w:pPr>
        <w:ind w:left="320"/>
        <w:spacing w:after="0" w:line="150"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is a shell company (as defined in Rule 12b-2 of the Exchange Act).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167" w:lineRule="exact"/>
        <w:rPr>
          <w:sz w:val="24"/>
          <w:szCs w:val="24"/>
          <w:color w:val="auto"/>
        </w:rPr>
      </w:pPr>
    </w:p>
    <w:p>
      <w:pPr>
        <w:ind w:right="220" w:firstLine="307"/>
        <w:spacing w:after="0" w:line="173"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has filed all documents and reports required to be filed by Sections 12, 13 or 15(d) of the Securities Exchange Act of 1934 subsequent to the distribution of securities under a plan confirmed by a court.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102" w:lineRule="exact"/>
        <w:rPr>
          <w:sz w:val="24"/>
          <w:szCs w:val="24"/>
          <w:color w:val="auto"/>
        </w:rPr>
      </w:pPr>
    </w:p>
    <w:p>
      <w:pPr>
        <w:ind w:left="320"/>
        <w:spacing w:after="0"/>
        <w:rPr>
          <w:sz w:val="20"/>
          <w:szCs w:val="20"/>
          <w:color w:val="auto"/>
        </w:rPr>
      </w:pPr>
      <w:r>
        <w:rPr>
          <w:rFonts w:ascii="Times New Roman" w:cs="Times New Roman" w:eastAsia="Times New Roman" w:hAnsi="Times New Roman"/>
          <w:sz w:val="13"/>
          <w:szCs w:val="13"/>
          <w:color w:val="auto"/>
        </w:rPr>
        <w:t>As of April 19, 2024, the registrant had 225,990,207 shares of Common Stock, $0.001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656590</wp:posOffset>
            </wp:positionV>
            <wp:extent cx="7186930"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86930" cy="38735"/>
                    </a:xfrm>
                    <a:prstGeom prst="rect">
                      <a:avLst/>
                    </a:prstGeom>
                    <a:noFill/>
                  </pic:spPr>
                </pic:pic>
              </a:graphicData>
            </a:graphic>
          </wp:anchor>
        </w:drawing>
        <w:drawing>
          <wp:anchor simplePos="0" relativeHeight="251657728" behindDoc="1" locked="0" layoutInCell="0" allowOverlap="1">
            <wp:simplePos x="0" y="0"/>
            <wp:positionH relativeFrom="column">
              <wp:posOffset>199390</wp:posOffset>
            </wp:positionH>
            <wp:positionV relativeFrom="paragraph">
              <wp:posOffset>135255</wp:posOffset>
            </wp:positionV>
            <wp:extent cx="7014210" cy="69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14210" cy="6985"/>
                    </a:xfrm>
                    <a:prstGeom prst="rect">
                      <a:avLst/>
                    </a:prstGeom>
                    <a:noFill/>
                  </pic:spPr>
                </pic:pic>
              </a:graphicData>
            </a:graphic>
          </wp:anchor>
        </w:drawing>
        <w:drawing>
          <wp:anchor simplePos="0" relativeHeight="251657728" behindDoc="1" locked="0" layoutInCell="0" allowOverlap="1">
            <wp:simplePos x="0" y="0"/>
            <wp:positionH relativeFrom="column">
              <wp:posOffset>199390</wp:posOffset>
            </wp:positionH>
            <wp:positionV relativeFrom="paragraph">
              <wp:posOffset>155575</wp:posOffset>
            </wp:positionV>
            <wp:extent cx="7014210" cy="69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14210" cy="6985"/>
                    </a:xfrm>
                    <a:prstGeom prst="rect">
                      <a:avLst/>
                    </a:prstGeom>
                    <a:noFill/>
                  </pic:spPr>
                </pic:pic>
              </a:graphicData>
            </a:graphic>
          </wp:anchor>
        </w:drawing>
      </w:r>
    </w:p>
    <w:p>
      <w:pPr>
        <w:sectPr>
          <w:pgSz w:w="11900" w:h="16838" w:orient="portrait"/>
          <w:cols w:equalWidth="0" w:num="1">
            <w:col w:w="11360"/>
          </w:cols>
          <w:pgMar w:left="300" w:top="1188" w:right="2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186"/>
        </w:trPr>
        <w:tc>
          <w:tcPr>
            <w:tcW w:w="6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120" w:type="dxa"/>
            <w:vAlign w:val="bottom"/>
            <w:gridSpan w:val="9"/>
          </w:tcPr>
          <w:p>
            <w:pPr>
              <w:ind w:left="20"/>
              <w:spacing w:after="0"/>
              <w:rPr>
                <w:sz w:val="20"/>
                <w:szCs w:val="20"/>
                <w:color w:val="auto"/>
              </w:rPr>
            </w:pPr>
            <w:r>
              <w:rPr>
                <w:rFonts w:ascii="Times New Roman" w:cs="Times New Roman" w:eastAsia="Times New Roman" w:hAnsi="Times New Roman"/>
                <w:sz w:val="14"/>
                <w:szCs w:val="14"/>
                <w:b w:val="1"/>
                <w:bCs w:val="1"/>
                <w:color w:val="auto"/>
              </w:rPr>
              <w:t>Table of Contents</w:t>
            </w:r>
          </w:p>
        </w:tc>
      </w:tr>
      <w:tr>
        <w:trPr>
          <w:trHeight w:val="353"/>
        </w:trPr>
        <w:tc>
          <w:tcPr>
            <w:tcW w:w="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74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160"/>
        </w:trPr>
        <w:tc>
          <w:tcPr>
            <w:tcW w:w="1520" w:type="dxa"/>
            <w:vAlign w:val="bottom"/>
            <w:gridSpan w:val="2"/>
          </w:tcPr>
          <w:p>
            <w:pPr>
              <w:spacing w:after="0" w:line="160" w:lineRule="exact"/>
              <w:rPr>
                <w:sz w:val="20"/>
                <w:szCs w:val="20"/>
                <w:color w:val="auto"/>
              </w:rPr>
            </w:pPr>
            <w:r>
              <w:rPr>
                <w:rFonts w:ascii="Times New Roman" w:cs="Times New Roman" w:eastAsia="Times New Roman" w:hAnsi="Times New Roman"/>
                <w:sz w:val="14"/>
                <w:szCs w:val="14"/>
                <w:b w:val="1"/>
                <w:bCs w:val="1"/>
                <w:color w:val="auto"/>
              </w:rPr>
              <w:t>PART I.</w:t>
            </w:r>
          </w:p>
        </w:tc>
        <w:tc>
          <w:tcPr>
            <w:tcW w:w="1780" w:type="dxa"/>
            <w:vAlign w:val="bottom"/>
            <w:tcBorders>
              <w:bottom w:val="single" w:sz="8" w:color="0000FF"/>
            </w:tcBorders>
            <w:gridSpan w:val="8"/>
          </w:tcPr>
          <w:p>
            <w:pPr>
              <w:spacing w:after="0" w:line="160" w:lineRule="exact"/>
              <w:rPr>
                <w:sz w:val="20"/>
                <w:szCs w:val="20"/>
                <w:color w:val="auto"/>
              </w:rPr>
            </w:pPr>
            <w:r>
              <w:rPr>
                <w:rFonts w:ascii="Times New Roman" w:cs="Times New Roman" w:eastAsia="Times New Roman" w:hAnsi="Times New Roman"/>
                <w:sz w:val="14"/>
                <w:szCs w:val="14"/>
                <w:color w:val="0000FF"/>
                <w:w w:val="99"/>
              </w:rPr>
              <w:t>FINANCIAL INFORMATION</w:t>
            </w:r>
          </w:p>
        </w:tc>
        <w:tc>
          <w:tcPr>
            <w:tcW w:w="7740" w:type="dxa"/>
            <w:vAlign w:val="bottom"/>
            <w:gridSpan w:val="14"/>
          </w:tcPr>
          <w:p>
            <w:pPr>
              <w:spacing w:after="0"/>
              <w:rPr>
                <w:sz w:val="13"/>
                <w:szCs w:val="13"/>
                <w:color w:val="auto"/>
              </w:rPr>
            </w:pPr>
          </w:p>
        </w:tc>
      </w:tr>
      <w:tr>
        <w:trPr>
          <w:trHeight w:val="182"/>
        </w:trPr>
        <w:tc>
          <w:tcPr>
            <w:tcW w:w="15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Item 1.</w:t>
            </w:r>
          </w:p>
        </w:tc>
        <w:tc>
          <w:tcPr>
            <w:tcW w:w="9520" w:type="dxa"/>
            <w:vAlign w:val="bottom"/>
            <w:gridSpan w:val="22"/>
          </w:tcPr>
          <w:p>
            <w:pPr>
              <w:spacing w:after="0"/>
              <w:rPr>
                <w:sz w:val="20"/>
                <w:szCs w:val="20"/>
                <w:color w:val="auto"/>
              </w:rPr>
            </w:pPr>
            <w:r>
              <w:rPr>
                <w:rFonts w:ascii="Times New Roman" w:cs="Times New Roman" w:eastAsia="Times New Roman" w:hAnsi="Times New Roman"/>
                <w:sz w:val="14"/>
                <w:szCs w:val="14"/>
                <w:color w:val="0000FF"/>
              </w:rPr>
              <w:t>Financial Statements (Unaudited)</w:t>
            </w:r>
          </w:p>
        </w:tc>
      </w:tr>
      <w:tr>
        <w:trPr>
          <w:trHeight w:val="20"/>
        </w:trPr>
        <w:tc>
          <w:tcPr>
            <w:tcW w:w="6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20" w:type="dxa"/>
            <w:vAlign w:val="bottom"/>
            <w:tcBorders>
              <w:right w:val="single" w:sz="8" w:color="0000FF"/>
            </w:tcBorders>
            <w:gridSpan w:val="2"/>
            <w:shd w:val="clear" w:color="auto" w:fill="0000FF"/>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420" w:type="dxa"/>
            <w:vAlign w:val="bottom"/>
            <w:gridSpan w:val="2"/>
          </w:tcPr>
          <w:p>
            <w:pPr>
              <w:spacing w:after="0" w:line="20" w:lineRule="exact"/>
              <w:rPr>
                <w:sz w:val="1"/>
                <w:szCs w:val="1"/>
                <w:color w:val="auto"/>
              </w:rPr>
            </w:pPr>
          </w:p>
        </w:tc>
      </w:tr>
      <w:tr>
        <w:trPr>
          <w:trHeight w:val="182"/>
        </w:trPr>
        <w:tc>
          <w:tcPr>
            <w:tcW w:w="6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400" w:type="dxa"/>
            <w:vAlign w:val="bottom"/>
            <w:tcBorders>
              <w:bottom w:val="single" w:sz="8" w:color="0000FF"/>
            </w:tcBorders>
            <w:gridSpan w:val="13"/>
          </w:tcPr>
          <w:p>
            <w:pPr>
              <w:spacing w:after="0"/>
              <w:rPr>
                <w:sz w:val="20"/>
                <w:szCs w:val="20"/>
                <w:color w:val="auto"/>
              </w:rPr>
            </w:pPr>
            <w:r>
              <w:rPr>
                <w:rFonts w:ascii="Times New Roman" w:cs="Times New Roman" w:eastAsia="Times New Roman" w:hAnsi="Times New Roman"/>
                <w:sz w:val="14"/>
                <w:szCs w:val="14"/>
                <w:color w:val="0000FF"/>
              </w:rPr>
              <w:t>Consolidated Interim Statements of Operations (Unaudited)</w:t>
            </w:r>
          </w:p>
        </w:tc>
        <w:tc>
          <w:tcPr>
            <w:tcW w:w="6120" w:type="dxa"/>
            <w:vAlign w:val="bottom"/>
            <w:gridSpan w:val="9"/>
          </w:tcPr>
          <w:p>
            <w:pPr>
              <w:spacing w:after="0"/>
              <w:rPr>
                <w:sz w:val="15"/>
                <w:szCs w:val="15"/>
                <w:color w:val="auto"/>
              </w:rPr>
            </w:pPr>
          </w:p>
        </w:tc>
      </w:tr>
      <w:tr>
        <w:trPr>
          <w:trHeight w:val="182"/>
        </w:trPr>
        <w:tc>
          <w:tcPr>
            <w:tcW w:w="6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9520" w:type="dxa"/>
            <w:vAlign w:val="bottom"/>
            <w:gridSpan w:val="22"/>
          </w:tcPr>
          <w:p>
            <w:pPr>
              <w:spacing w:after="0"/>
              <w:rPr>
                <w:sz w:val="20"/>
                <w:szCs w:val="20"/>
                <w:color w:val="auto"/>
              </w:rPr>
            </w:pPr>
            <w:r>
              <w:rPr>
                <w:rFonts w:ascii="Times New Roman" w:cs="Times New Roman" w:eastAsia="Times New Roman" w:hAnsi="Times New Roman"/>
                <w:sz w:val="14"/>
                <w:szCs w:val="14"/>
                <w:color w:val="0000FF"/>
              </w:rPr>
              <w:t>Consolidated Interim Statements of Comprehensive Income (Unaudited)</w:t>
            </w:r>
          </w:p>
        </w:tc>
      </w:tr>
      <w:tr>
        <w:trPr>
          <w:trHeight w:val="182"/>
        </w:trPr>
        <w:tc>
          <w:tcPr>
            <w:tcW w:w="6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120" w:type="dxa"/>
            <w:vAlign w:val="bottom"/>
            <w:tcBorders>
              <w:top w:val="single" w:sz="8" w:color="0000FF"/>
            </w:tcBorders>
            <w:gridSpan w:val="19"/>
          </w:tcPr>
          <w:p>
            <w:pPr>
              <w:spacing w:after="0"/>
              <w:rPr>
                <w:sz w:val="20"/>
                <w:szCs w:val="20"/>
                <w:color w:val="auto"/>
              </w:rPr>
            </w:pPr>
            <w:r>
              <w:rPr>
                <w:rFonts w:ascii="Times New Roman" w:cs="Times New Roman" w:eastAsia="Times New Roman" w:hAnsi="Times New Roman"/>
                <w:sz w:val="14"/>
                <w:szCs w:val="14"/>
                <w:color w:val="0000FF"/>
              </w:rPr>
              <w:t>Consolidated Interim Balance Sheets (Unaudited)</w:t>
            </w:r>
          </w:p>
        </w:tc>
        <w:tc>
          <w:tcPr>
            <w:tcW w:w="5400" w:type="dxa"/>
            <w:vAlign w:val="bottom"/>
            <w:gridSpan w:val="3"/>
          </w:tcPr>
          <w:p>
            <w:pPr>
              <w:spacing w:after="0"/>
              <w:rPr>
                <w:sz w:val="15"/>
                <w:szCs w:val="15"/>
                <w:color w:val="auto"/>
              </w:rPr>
            </w:pPr>
          </w:p>
        </w:tc>
      </w:tr>
      <w:tr>
        <w:trPr>
          <w:trHeight w:val="20"/>
        </w:trPr>
        <w:tc>
          <w:tcPr>
            <w:tcW w:w="6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20" w:type="dxa"/>
            <w:vAlign w:val="bottom"/>
            <w:tcBorders>
              <w:right w:val="single" w:sz="8" w:color="0000FF"/>
            </w:tcBorders>
            <w:gridSpan w:val="2"/>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4420" w:type="dxa"/>
            <w:vAlign w:val="bottom"/>
            <w:gridSpan w:val="2"/>
          </w:tcPr>
          <w:p>
            <w:pPr>
              <w:spacing w:after="0" w:line="20" w:lineRule="exact"/>
              <w:rPr>
                <w:sz w:val="1"/>
                <w:szCs w:val="1"/>
                <w:color w:val="auto"/>
              </w:rPr>
            </w:pPr>
          </w:p>
        </w:tc>
      </w:tr>
      <w:tr>
        <w:trPr>
          <w:trHeight w:val="182"/>
        </w:trPr>
        <w:tc>
          <w:tcPr>
            <w:tcW w:w="6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460" w:type="dxa"/>
            <w:vAlign w:val="bottom"/>
            <w:tcBorders>
              <w:bottom w:val="single" w:sz="8" w:color="0000FF"/>
            </w:tcBorders>
            <w:gridSpan w:val="16"/>
          </w:tcPr>
          <w:p>
            <w:pPr>
              <w:spacing w:after="0"/>
              <w:rPr>
                <w:sz w:val="20"/>
                <w:szCs w:val="20"/>
                <w:color w:val="auto"/>
              </w:rPr>
            </w:pPr>
            <w:r>
              <w:rPr>
                <w:rFonts w:ascii="Times New Roman" w:cs="Times New Roman" w:eastAsia="Times New Roman" w:hAnsi="Times New Roman"/>
                <w:sz w:val="14"/>
                <w:szCs w:val="14"/>
                <w:color w:val="0000FF"/>
              </w:rPr>
              <w:t>Consolidated Interim Statements of Cash Flows (Unaudited)</w:t>
            </w:r>
          </w:p>
        </w:tc>
        <w:tc>
          <w:tcPr>
            <w:tcW w:w="6060" w:type="dxa"/>
            <w:vAlign w:val="bottom"/>
            <w:gridSpan w:val="6"/>
          </w:tcPr>
          <w:p>
            <w:pPr>
              <w:spacing w:after="0"/>
              <w:rPr>
                <w:sz w:val="15"/>
                <w:szCs w:val="15"/>
                <w:color w:val="auto"/>
              </w:rPr>
            </w:pPr>
          </w:p>
        </w:tc>
      </w:tr>
      <w:tr>
        <w:trPr>
          <w:trHeight w:val="182"/>
        </w:trPr>
        <w:tc>
          <w:tcPr>
            <w:tcW w:w="6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680" w:type="dxa"/>
            <w:vAlign w:val="bottom"/>
            <w:tcBorders>
              <w:bottom w:val="single" w:sz="8" w:color="0000FF"/>
            </w:tcBorders>
            <w:gridSpan w:val="18"/>
          </w:tcPr>
          <w:p>
            <w:pPr>
              <w:spacing w:after="0"/>
              <w:rPr>
                <w:sz w:val="20"/>
                <w:szCs w:val="20"/>
                <w:color w:val="auto"/>
              </w:rPr>
            </w:pPr>
            <w:r>
              <w:rPr>
                <w:rFonts w:ascii="Times New Roman" w:cs="Times New Roman" w:eastAsia="Times New Roman" w:hAnsi="Times New Roman"/>
                <w:sz w:val="14"/>
                <w:szCs w:val="14"/>
                <w:color w:val="0000FF"/>
              </w:rPr>
              <w:t>Consolidated Interim Statements of Equity (Deficit) (Unaudited)</w:t>
            </w:r>
          </w:p>
        </w:tc>
        <w:tc>
          <w:tcPr>
            <w:tcW w:w="5840" w:type="dxa"/>
            <w:vAlign w:val="bottom"/>
            <w:gridSpan w:val="4"/>
          </w:tcPr>
          <w:p>
            <w:pPr>
              <w:spacing w:after="0"/>
              <w:rPr>
                <w:sz w:val="15"/>
                <w:szCs w:val="15"/>
                <w:color w:val="auto"/>
              </w:rPr>
            </w:pPr>
          </w:p>
        </w:tc>
      </w:tr>
      <w:tr>
        <w:trPr>
          <w:trHeight w:val="182"/>
        </w:trPr>
        <w:tc>
          <w:tcPr>
            <w:tcW w:w="6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9520" w:type="dxa"/>
            <w:vAlign w:val="bottom"/>
            <w:gridSpan w:val="22"/>
          </w:tcPr>
          <w:p>
            <w:pPr>
              <w:spacing w:after="0"/>
              <w:rPr>
                <w:sz w:val="20"/>
                <w:szCs w:val="20"/>
                <w:color w:val="auto"/>
              </w:rPr>
            </w:pPr>
            <w:r>
              <w:rPr>
                <w:rFonts w:ascii="Times New Roman" w:cs="Times New Roman" w:eastAsia="Times New Roman" w:hAnsi="Times New Roman"/>
                <w:sz w:val="14"/>
                <w:szCs w:val="14"/>
                <w:color w:val="0000FF"/>
              </w:rPr>
              <w:t xml:space="preserve">Notes to Consolidated Interim Financial Statements </w:t>
            </w:r>
            <w:r>
              <w:rPr>
                <w:rFonts w:ascii="Times New Roman" w:cs="Times New Roman" w:eastAsia="Times New Roman" w:hAnsi="Times New Roman"/>
                <w:sz w:val="14"/>
                <w:szCs w:val="14"/>
                <w:color w:val="000000"/>
              </w:rPr>
              <w:t>(</w:t>
            </w:r>
            <w:r>
              <w:rPr>
                <w:rFonts w:ascii="Times New Roman" w:cs="Times New Roman" w:eastAsia="Times New Roman" w:hAnsi="Times New Roman"/>
                <w:sz w:val="14"/>
                <w:szCs w:val="14"/>
                <w:color w:val="0000FF"/>
              </w:rPr>
              <w:t>Unaudited</w:t>
            </w:r>
            <w:r>
              <w:rPr>
                <w:rFonts w:ascii="Times New Roman" w:cs="Times New Roman" w:eastAsia="Times New Roman" w:hAnsi="Times New Roman"/>
                <w:sz w:val="14"/>
                <w:szCs w:val="14"/>
                <w:color w:val="000000"/>
              </w:rPr>
              <w:t>)</w:t>
            </w:r>
          </w:p>
        </w:tc>
      </w:tr>
      <w:tr>
        <w:trPr>
          <w:trHeight w:val="20"/>
        </w:trPr>
        <w:tc>
          <w:tcPr>
            <w:tcW w:w="6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20" w:type="dxa"/>
            <w:vAlign w:val="bottom"/>
            <w:tcBorders>
              <w:right w:val="single" w:sz="8" w:color="0000FF"/>
            </w:tcBorders>
            <w:gridSpan w:val="2"/>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1500" w:type="dxa"/>
            <w:vAlign w:val="bottom"/>
            <w:gridSpan w:val="3"/>
          </w:tcPr>
          <w:p>
            <w:pPr>
              <w:spacing w:after="0" w:line="20" w:lineRule="exact"/>
              <w:rPr>
                <w:sz w:val="1"/>
                <w:szCs w:val="1"/>
                <w:color w:val="auto"/>
              </w:rPr>
            </w:pPr>
          </w:p>
        </w:tc>
        <w:tc>
          <w:tcPr>
            <w:tcW w:w="4420" w:type="dxa"/>
            <w:vAlign w:val="bottom"/>
            <w:gridSpan w:val="2"/>
          </w:tcPr>
          <w:p>
            <w:pPr>
              <w:spacing w:after="0" w:line="20" w:lineRule="exact"/>
              <w:rPr>
                <w:sz w:val="1"/>
                <w:szCs w:val="1"/>
                <w:color w:val="auto"/>
              </w:rPr>
            </w:pPr>
          </w:p>
        </w:tc>
      </w:tr>
      <w:tr>
        <w:trPr>
          <w:trHeight w:val="182"/>
        </w:trPr>
        <w:tc>
          <w:tcPr>
            <w:tcW w:w="15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Item 2.</w:t>
            </w:r>
          </w:p>
        </w:tc>
        <w:tc>
          <w:tcPr>
            <w:tcW w:w="5100" w:type="dxa"/>
            <w:vAlign w:val="bottom"/>
            <w:tcBorders>
              <w:bottom w:val="single" w:sz="8" w:color="0000FF"/>
            </w:tcBorders>
            <w:gridSpan w:val="20"/>
          </w:tcPr>
          <w:p>
            <w:pPr>
              <w:spacing w:after="0"/>
              <w:rPr>
                <w:sz w:val="20"/>
                <w:szCs w:val="20"/>
                <w:color w:val="auto"/>
              </w:rPr>
            </w:pPr>
            <w:r>
              <w:rPr>
                <w:rFonts w:ascii="Times New Roman" w:cs="Times New Roman" w:eastAsia="Times New Roman" w:hAnsi="Times New Roman"/>
                <w:sz w:val="14"/>
                <w:szCs w:val="14"/>
                <w:color w:val="0000FF"/>
              </w:rPr>
              <w:t>Management’s Discussion and Analysis of Financial Condition and Results of Operations</w:t>
            </w:r>
          </w:p>
        </w:tc>
        <w:tc>
          <w:tcPr>
            <w:tcW w:w="4420" w:type="dxa"/>
            <w:vAlign w:val="bottom"/>
            <w:gridSpan w:val="2"/>
          </w:tcPr>
          <w:p>
            <w:pPr>
              <w:spacing w:after="0"/>
              <w:rPr>
                <w:sz w:val="15"/>
                <w:szCs w:val="15"/>
                <w:color w:val="auto"/>
              </w:rPr>
            </w:pPr>
          </w:p>
        </w:tc>
      </w:tr>
      <w:tr>
        <w:trPr>
          <w:trHeight w:val="182"/>
        </w:trPr>
        <w:tc>
          <w:tcPr>
            <w:tcW w:w="15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Item 3.</w:t>
            </w:r>
          </w:p>
        </w:tc>
        <w:tc>
          <w:tcPr>
            <w:tcW w:w="3440" w:type="dxa"/>
            <w:vAlign w:val="bottom"/>
            <w:tcBorders>
              <w:bottom w:val="single" w:sz="8" w:color="0000FF"/>
            </w:tcBorders>
            <w:gridSpan w:val="15"/>
          </w:tcPr>
          <w:p>
            <w:pPr>
              <w:spacing w:after="0"/>
              <w:rPr>
                <w:sz w:val="20"/>
                <w:szCs w:val="20"/>
                <w:color w:val="auto"/>
              </w:rPr>
            </w:pPr>
            <w:r>
              <w:rPr>
                <w:rFonts w:ascii="Times New Roman" w:cs="Times New Roman" w:eastAsia="Times New Roman" w:hAnsi="Times New Roman"/>
                <w:sz w:val="14"/>
                <w:szCs w:val="14"/>
                <w:color w:val="0000FF"/>
              </w:rPr>
              <w:t>Quantitative and Qualitative Disclosures About Market Risk</w:t>
            </w:r>
          </w:p>
        </w:tc>
        <w:tc>
          <w:tcPr>
            <w:tcW w:w="6080" w:type="dxa"/>
            <w:vAlign w:val="bottom"/>
            <w:gridSpan w:val="7"/>
          </w:tcPr>
          <w:p>
            <w:pPr>
              <w:spacing w:after="0"/>
              <w:rPr>
                <w:sz w:val="15"/>
                <w:szCs w:val="15"/>
                <w:color w:val="auto"/>
              </w:rPr>
            </w:pPr>
          </w:p>
        </w:tc>
      </w:tr>
      <w:tr>
        <w:trPr>
          <w:trHeight w:val="182"/>
        </w:trPr>
        <w:tc>
          <w:tcPr>
            <w:tcW w:w="15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Item 4.</w:t>
            </w:r>
          </w:p>
        </w:tc>
        <w:tc>
          <w:tcPr>
            <w:tcW w:w="142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4"/>
                <w:szCs w:val="14"/>
                <w:color w:val="0000FF"/>
              </w:rPr>
              <w:t>Controls and Procedures</w:t>
            </w:r>
          </w:p>
        </w:tc>
        <w:tc>
          <w:tcPr>
            <w:tcW w:w="8100" w:type="dxa"/>
            <w:vAlign w:val="bottom"/>
            <w:gridSpan w:val="16"/>
          </w:tcPr>
          <w:p>
            <w:pPr>
              <w:spacing w:after="0"/>
              <w:rPr>
                <w:sz w:val="15"/>
                <w:szCs w:val="15"/>
                <w:color w:val="auto"/>
              </w:rPr>
            </w:pPr>
          </w:p>
        </w:tc>
      </w:tr>
      <w:tr>
        <w:trPr>
          <w:trHeight w:val="182"/>
        </w:trPr>
        <w:tc>
          <w:tcPr>
            <w:tcW w:w="15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PART II.</w:t>
            </w:r>
          </w:p>
        </w:tc>
        <w:tc>
          <w:tcPr>
            <w:tcW w:w="9520" w:type="dxa"/>
            <w:vAlign w:val="bottom"/>
            <w:gridSpan w:val="22"/>
          </w:tcPr>
          <w:p>
            <w:pPr>
              <w:spacing w:after="0"/>
              <w:rPr>
                <w:sz w:val="20"/>
                <w:szCs w:val="20"/>
                <w:color w:val="auto"/>
              </w:rPr>
            </w:pPr>
            <w:r>
              <w:rPr>
                <w:rFonts w:ascii="Times New Roman" w:cs="Times New Roman" w:eastAsia="Times New Roman" w:hAnsi="Times New Roman"/>
                <w:sz w:val="14"/>
                <w:szCs w:val="14"/>
                <w:color w:val="0000FF"/>
              </w:rPr>
              <w:t>OTHER INFORMATION</w:t>
            </w:r>
          </w:p>
        </w:tc>
      </w:tr>
      <w:tr>
        <w:trPr>
          <w:trHeight w:val="182"/>
        </w:trPr>
        <w:tc>
          <w:tcPr>
            <w:tcW w:w="15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Item 1.</w:t>
            </w:r>
          </w:p>
        </w:tc>
        <w:tc>
          <w:tcPr>
            <w:tcW w:w="1060" w:type="dxa"/>
            <w:vAlign w:val="bottom"/>
            <w:tcBorders>
              <w:top w:val="single" w:sz="8" w:color="0000FF"/>
              <w:bottom w:val="single" w:sz="8" w:color="0000FF"/>
            </w:tcBorders>
            <w:gridSpan w:val="4"/>
          </w:tcPr>
          <w:p>
            <w:pPr>
              <w:spacing w:after="0"/>
              <w:rPr>
                <w:sz w:val="20"/>
                <w:szCs w:val="20"/>
                <w:color w:val="auto"/>
              </w:rPr>
            </w:pPr>
            <w:r>
              <w:rPr>
                <w:rFonts w:ascii="Times New Roman" w:cs="Times New Roman" w:eastAsia="Times New Roman" w:hAnsi="Times New Roman"/>
                <w:sz w:val="14"/>
                <w:szCs w:val="14"/>
                <w:color w:val="0000FF"/>
              </w:rPr>
              <w:t>Legal Proceedings</w:t>
            </w:r>
          </w:p>
        </w:tc>
        <w:tc>
          <w:tcPr>
            <w:tcW w:w="420" w:type="dxa"/>
            <w:vAlign w:val="bottom"/>
            <w:tcBorders>
              <w:top w:val="single" w:sz="8" w:color="0000FF"/>
            </w:tcBorders>
            <w:gridSpan w:val="3"/>
          </w:tcPr>
          <w:p>
            <w:pPr>
              <w:spacing w:after="0"/>
              <w:rPr>
                <w:sz w:val="15"/>
                <w:szCs w:val="15"/>
                <w:color w:val="auto"/>
              </w:rPr>
            </w:pPr>
          </w:p>
        </w:tc>
        <w:tc>
          <w:tcPr>
            <w:tcW w:w="8040" w:type="dxa"/>
            <w:vAlign w:val="bottom"/>
            <w:gridSpan w:val="15"/>
          </w:tcPr>
          <w:p>
            <w:pPr>
              <w:spacing w:after="0"/>
              <w:rPr>
                <w:sz w:val="15"/>
                <w:szCs w:val="15"/>
                <w:color w:val="auto"/>
              </w:rPr>
            </w:pPr>
          </w:p>
        </w:tc>
      </w:tr>
      <w:tr>
        <w:trPr>
          <w:trHeight w:val="182"/>
        </w:trPr>
        <w:tc>
          <w:tcPr>
            <w:tcW w:w="15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Item 1A.</w:t>
            </w:r>
          </w:p>
        </w:tc>
        <w:tc>
          <w:tcPr>
            <w:tcW w:w="72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4"/>
                <w:szCs w:val="14"/>
                <w:color w:val="0000FF"/>
                <w:w w:val="99"/>
              </w:rPr>
              <w:t>Risk Factors</w:t>
            </w:r>
          </w:p>
        </w:tc>
        <w:tc>
          <w:tcPr>
            <w:tcW w:w="8800" w:type="dxa"/>
            <w:vAlign w:val="bottom"/>
            <w:gridSpan w:val="20"/>
          </w:tcPr>
          <w:p>
            <w:pPr>
              <w:spacing w:after="0"/>
              <w:rPr>
                <w:sz w:val="15"/>
                <w:szCs w:val="15"/>
                <w:color w:val="auto"/>
              </w:rPr>
            </w:pPr>
          </w:p>
        </w:tc>
      </w:tr>
      <w:tr>
        <w:trPr>
          <w:trHeight w:val="182"/>
        </w:trPr>
        <w:tc>
          <w:tcPr>
            <w:tcW w:w="15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Item 2.</w:t>
            </w:r>
          </w:p>
        </w:tc>
        <w:tc>
          <w:tcPr>
            <w:tcW w:w="9520" w:type="dxa"/>
            <w:vAlign w:val="bottom"/>
            <w:gridSpan w:val="22"/>
          </w:tcPr>
          <w:p>
            <w:pPr>
              <w:spacing w:after="0"/>
              <w:rPr>
                <w:sz w:val="20"/>
                <w:szCs w:val="20"/>
                <w:color w:val="auto"/>
              </w:rPr>
            </w:pPr>
            <w:r>
              <w:rPr>
                <w:rFonts w:ascii="Times New Roman" w:cs="Times New Roman" w:eastAsia="Times New Roman" w:hAnsi="Times New Roman"/>
                <w:sz w:val="14"/>
                <w:szCs w:val="14"/>
                <w:color w:val="0000FF"/>
              </w:rPr>
              <w:t>Unregistered Sales of Equity Securities and Use of Proceeds</w:t>
            </w:r>
          </w:p>
        </w:tc>
      </w:tr>
      <w:tr>
        <w:trPr>
          <w:trHeight w:val="182"/>
        </w:trPr>
        <w:tc>
          <w:tcPr>
            <w:tcW w:w="15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Item 3.</w:t>
            </w:r>
          </w:p>
        </w:tc>
        <w:tc>
          <w:tcPr>
            <w:tcW w:w="1900" w:type="dxa"/>
            <w:vAlign w:val="bottom"/>
            <w:tcBorders>
              <w:top w:val="single" w:sz="8" w:color="0000FF"/>
              <w:bottom w:val="single" w:sz="8" w:color="0000FF"/>
            </w:tcBorders>
            <w:gridSpan w:val="9"/>
          </w:tcPr>
          <w:p>
            <w:pPr>
              <w:spacing w:after="0"/>
              <w:rPr>
                <w:sz w:val="20"/>
                <w:szCs w:val="20"/>
                <w:color w:val="auto"/>
              </w:rPr>
            </w:pPr>
            <w:r>
              <w:rPr>
                <w:rFonts w:ascii="Times New Roman" w:cs="Times New Roman" w:eastAsia="Times New Roman" w:hAnsi="Times New Roman"/>
                <w:sz w:val="14"/>
                <w:szCs w:val="14"/>
                <w:color w:val="0000FF"/>
              </w:rPr>
              <w:t>Defaults Upon Senior Securities</w:t>
            </w:r>
          </w:p>
        </w:tc>
        <w:tc>
          <w:tcPr>
            <w:tcW w:w="1520" w:type="dxa"/>
            <w:vAlign w:val="bottom"/>
            <w:tcBorders>
              <w:top w:val="single" w:sz="8" w:color="0000FF"/>
            </w:tcBorders>
            <w:gridSpan w:val="5"/>
          </w:tcPr>
          <w:p>
            <w:pPr>
              <w:spacing w:after="0"/>
              <w:rPr>
                <w:sz w:val="15"/>
                <w:szCs w:val="15"/>
                <w:color w:val="auto"/>
              </w:rPr>
            </w:pPr>
          </w:p>
        </w:tc>
        <w:tc>
          <w:tcPr>
            <w:tcW w:w="6100" w:type="dxa"/>
            <w:vAlign w:val="bottom"/>
            <w:gridSpan w:val="8"/>
          </w:tcPr>
          <w:p>
            <w:pPr>
              <w:spacing w:after="0"/>
              <w:rPr>
                <w:sz w:val="15"/>
                <w:szCs w:val="15"/>
                <w:color w:val="auto"/>
              </w:rPr>
            </w:pPr>
          </w:p>
        </w:tc>
      </w:tr>
      <w:tr>
        <w:trPr>
          <w:trHeight w:val="182"/>
        </w:trPr>
        <w:tc>
          <w:tcPr>
            <w:tcW w:w="15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Item 4.</w:t>
            </w:r>
          </w:p>
        </w:tc>
        <w:tc>
          <w:tcPr>
            <w:tcW w:w="140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4"/>
                <w:szCs w:val="14"/>
                <w:color w:val="0000FF"/>
              </w:rPr>
              <w:t>Mine Safety Disclosures</w:t>
            </w:r>
          </w:p>
        </w:tc>
        <w:tc>
          <w:tcPr>
            <w:tcW w:w="8120" w:type="dxa"/>
            <w:vAlign w:val="bottom"/>
            <w:gridSpan w:val="17"/>
          </w:tcPr>
          <w:p>
            <w:pPr>
              <w:spacing w:after="0"/>
              <w:rPr>
                <w:sz w:val="15"/>
                <w:szCs w:val="15"/>
                <w:color w:val="auto"/>
              </w:rPr>
            </w:pPr>
          </w:p>
        </w:tc>
      </w:tr>
      <w:tr>
        <w:trPr>
          <w:trHeight w:val="182"/>
        </w:trPr>
        <w:tc>
          <w:tcPr>
            <w:tcW w:w="15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Item 5.</w:t>
            </w:r>
          </w:p>
        </w:tc>
        <w:tc>
          <w:tcPr>
            <w:tcW w:w="104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4"/>
                <w:szCs w:val="14"/>
                <w:color w:val="0000FF"/>
                <w:w w:val="99"/>
              </w:rPr>
              <w:t>Other Information</w:t>
            </w:r>
          </w:p>
        </w:tc>
        <w:tc>
          <w:tcPr>
            <w:tcW w:w="8480" w:type="dxa"/>
            <w:vAlign w:val="bottom"/>
            <w:gridSpan w:val="19"/>
          </w:tcPr>
          <w:p>
            <w:pPr>
              <w:spacing w:after="0"/>
              <w:rPr>
                <w:sz w:val="15"/>
                <w:szCs w:val="15"/>
                <w:color w:val="auto"/>
              </w:rPr>
            </w:pPr>
          </w:p>
        </w:tc>
      </w:tr>
      <w:tr>
        <w:trPr>
          <w:trHeight w:val="182"/>
        </w:trPr>
        <w:tc>
          <w:tcPr>
            <w:tcW w:w="15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Item 6.</w:t>
            </w:r>
          </w:p>
        </w:tc>
        <w:tc>
          <w:tcPr>
            <w:tcW w:w="9520" w:type="dxa"/>
            <w:vAlign w:val="bottom"/>
            <w:gridSpan w:val="22"/>
          </w:tcPr>
          <w:p>
            <w:pPr>
              <w:spacing w:after="0"/>
              <w:rPr>
                <w:sz w:val="20"/>
                <w:szCs w:val="20"/>
                <w:color w:val="auto"/>
              </w:rPr>
            </w:pPr>
            <w:r>
              <w:rPr>
                <w:rFonts w:ascii="Times New Roman" w:cs="Times New Roman" w:eastAsia="Times New Roman" w:hAnsi="Times New Roman"/>
                <w:sz w:val="14"/>
                <w:szCs w:val="14"/>
                <w:color w:val="0000FF"/>
              </w:rPr>
              <w:t>Exhibits</w:t>
            </w:r>
          </w:p>
        </w:tc>
      </w:tr>
      <w:tr>
        <w:trPr>
          <w:trHeight w:val="182"/>
        </w:trPr>
        <w:tc>
          <w:tcPr>
            <w:tcW w:w="1520" w:type="dxa"/>
            <w:vAlign w:val="bottom"/>
            <w:gridSpan w:val="2"/>
          </w:tcPr>
          <w:p>
            <w:pPr>
              <w:spacing w:after="0"/>
              <w:rPr>
                <w:sz w:val="20"/>
                <w:szCs w:val="20"/>
                <w:color w:val="auto"/>
              </w:rPr>
            </w:pPr>
            <w:r>
              <w:rPr>
                <w:rFonts w:ascii="Times New Roman" w:cs="Times New Roman" w:eastAsia="Times New Roman" w:hAnsi="Times New Roman"/>
                <w:sz w:val="14"/>
                <w:szCs w:val="14"/>
                <w:color w:val="0000FF"/>
              </w:rPr>
              <w:t>Signatures</w:t>
            </w:r>
          </w:p>
        </w:tc>
        <w:tc>
          <w:tcPr>
            <w:tcW w:w="480" w:type="dxa"/>
            <w:vAlign w:val="bottom"/>
            <w:tcBorders>
              <w:top w:val="single" w:sz="8" w:color="0000FF"/>
            </w:tcBorders>
          </w:tcPr>
          <w:p>
            <w:pPr>
              <w:spacing w:after="0"/>
              <w:rPr>
                <w:sz w:val="15"/>
                <w:szCs w:val="15"/>
                <w:color w:val="auto"/>
              </w:rPr>
            </w:pPr>
          </w:p>
        </w:tc>
        <w:tc>
          <w:tcPr>
            <w:tcW w:w="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68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20"/>
        </w:trPr>
        <w:tc>
          <w:tcPr>
            <w:tcW w:w="600" w:type="dxa"/>
            <w:vAlign w:val="bottom"/>
            <w:shd w:val="clear" w:color="auto" w:fill="0000FF"/>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33"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52070</wp:posOffset>
            </wp:positionV>
            <wp:extent cx="7186930"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040"/>
          </w:cols>
          <w:pgMar w:left="620" w:top="762" w:right="239" w:bottom="1440" w:gutter="0" w:footer="0" w:header="0"/>
        </w:sectPr>
      </w:pPr>
    </w:p>
    <w:bookmarkStart w:id="2" w:name="page3"/>
    <w:bookmarkEnd w:id="2"/>
    <w:p>
      <w:pPr>
        <w:jc w:val="center"/>
        <w:ind w:right="-319"/>
        <w:spacing w:after="0"/>
        <w:rPr>
          <w:sz w:val="20"/>
          <w:szCs w:val="20"/>
          <w:color w:val="auto"/>
        </w:rPr>
      </w:pPr>
      <w:r>
        <w:rPr>
          <w:rFonts w:ascii="Times New Roman" w:cs="Times New Roman" w:eastAsia="Times New Roman" w:hAnsi="Times New Roman"/>
          <w:sz w:val="14"/>
          <w:szCs w:val="14"/>
          <w:b w:val="1"/>
          <w:bCs w:val="1"/>
          <w:color w:val="auto"/>
        </w:rPr>
        <w:t>PART I—FINANCIAL INFORMATION</w:t>
      </w:r>
    </w:p>
    <w:p>
      <w:pPr>
        <w:spacing w:after="0" w:line="14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color w:val="auto"/>
        </w:rPr>
        <w:t>Item 1. Financial Statements</w:t>
      </w:r>
    </w:p>
    <w:p>
      <w:pPr>
        <w:spacing w:after="0" w:line="158"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4"/>
          <w:szCs w:val="14"/>
          <w:b w:val="1"/>
          <w:bCs w:val="1"/>
          <w:color w:val="auto"/>
        </w:rPr>
        <w:t>GARRETT MOTION INC.</w:t>
      </w:r>
    </w:p>
    <w:p>
      <w:pPr>
        <w:spacing w:after="0" w:line="25"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4"/>
          <w:szCs w:val="14"/>
          <w:b w:val="1"/>
          <w:bCs w:val="1"/>
          <w:color w:val="auto"/>
        </w:rPr>
        <w:t>CONSOLIDATED INTERIM STATEMENTS OF OPERATIONS</w:t>
      </w:r>
    </w:p>
    <w:p>
      <w:pPr>
        <w:spacing w:after="0" w:line="9"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172" w:lineRule="exact"/>
        <w:rPr>
          <w:sz w:val="20"/>
          <w:szCs w:val="20"/>
          <w:color w:val="auto"/>
        </w:rPr>
      </w:pPr>
    </w:p>
    <w:p>
      <w:pPr>
        <w:jc w:val="center"/>
        <w:ind w:left="8000"/>
        <w:spacing w:after="0"/>
        <w:rPr>
          <w:sz w:val="20"/>
          <w:szCs w:val="20"/>
          <w:color w:val="auto"/>
        </w:rPr>
      </w:pPr>
      <w:r>
        <w:rPr>
          <w:rFonts w:ascii="Times New Roman" w:cs="Times New Roman" w:eastAsia="Times New Roman" w:hAnsi="Times New Roman"/>
          <w:sz w:val="11"/>
          <w:szCs w:val="11"/>
          <w:b w:val="1"/>
          <w:bCs w:val="1"/>
          <w:color w:val="auto"/>
        </w:rPr>
        <w:t>Three Months Ended</w:t>
      </w:r>
    </w:p>
    <w:p>
      <w:pPr>
        <w:spacing w:after="0" w:line="15" w:lineRule="exact"/>
        <w:rPr>
          <w:sz w:val="20"/>
          <w:szCs w:val="20"/>
          <w:color w:val="auto"/>
        </w:rPr>
      </w:pPr>
    </w:p>
    <w:p>
      <w:pPr>
        <w:jc w:val="center"/>
        <w:ind w:left="8000"/>
        <w:spacing w:after="0"/>
        <w:rPr>
          <w:sz w:val="20"/>
          <w:szCs w:val="20"/>
          <w:color w:val="auto"/>
        </w:rPr>
      </w:pPr>
      <w:r>
        <w:rPr>
          <w:rFonts w:ascii="Times New Roman" w:cs="Times New Roman" w:eastAsia="Times New Roman" w:hAnsi="Times New Roman"/>
          <w:sz w:val="11"/>
          <w:szCs w:val="11"/>
          <w:b w:val="1"/>
          <w:bCs w:val="1"/>
          <w:color w:val="auto"/>
        </w:rPr>
        <w:t>March 31,</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8020" w:type="dxa"/>
            <w:vAlign w:val="bottom"/>
          </w:tcPr>
          <w:p>
            <w:pPr>
              <w:spacing w:after="0"/>
              <w:rPr>
                <w:sz w:val="14"/>
                <w:szCs w:val="14"/>
                <w:color w:val="auto"/>
              </w:rPr>
            </w:pPr>
          </w:p>
        </w:tc>
        <w:tc>
          <w:tcPr>
            <w:tcW w:w="300" w:type="dxa"/>
            <w:vAlign w:val="bottom"/>
            <w:tcBorders>
              <w:top w:val="single" w:sz="8" w:color="auto"/>
              <w:bottom w:val="single" w:sz="8" w:color="auto"/>
            </w:tcBorders>
          </w:tcPr>
          <w:p>
            <w:pPr>
              <w:spacing w:after="0"/>
              <w:rPr>
                <w:sz w:val="14"/>
                <w:szCs w:val="14"/>
                <w:color w:val="auto"/>
              </w:rPr>
            </w:pPr>
          </w:p>
        </w:tc>
        <w:tc>
          <w:tcPr>
            <w:tcW w:w="1300" w:type="dxa"/>
            <w:vAlign w:val="bottom"/>
            <w:tcBorders>
              <w:top w:val="single" w:sz="8" w:color="auto"/>
              <w:bottom w:val="single" w:sz="8" w:color="auto"/>
            </w:tcBorders>
          </w:tcPr>
          <w:p>
            <w:pPr>
              <w:jc w:val="right"/>
              <w:ind w:right="611"/>
              <w:spacing w:after="0"/>
              <w:rPr>
                <w:sz w:val="20"/>
                <w:szCs w:val="20"/>
                <w:color w:val="auto"/>
              </w:rPr>
            </w:pPr>
            <w:r>
              <w:rPr>
                <w:rFonts w:ascii="Times New Roman" w:cs="Times New Roman" w:eastAsia="Times New Roman" w:hAnsi="Times New Roman"/>
                <w:sz w:val="11"/>
                <w:szCs w:val="11"/>
                <w:b w:val="1"/>
                <w:bCs w:val="1"/>
                <w:color w:val="auto"/>
              </w:rPr>
              <w:t>2024</w:t>
            </w:r>
          </w:p>
        </w:tc>
        <w:tc>
          <w:tcPr>
            <w:tcW w:w="80" w:type="dxa"/>
            <w:vAlign w:val="bottom"/>
            <w:tcBorders>
              <w:top w:val="single" w:sz="8" w:color="auto"/>
              <w:bottom w:val="single" w:sz="8" w:color="auto"/>
            </w:tcBorders>
          </w:tcPr>
          <w:p>
            <w:pPr>
              <w:spacing w:after="0"/>
              <w:rPr>
                <w:sz w:val="14"/>
                <w:szCs w:val="14"/>
                <w:color w:val="auto"/>
              </w:rPr>
            </w:pPr>
          </w:p>
        </w:tc>
        <w:tc>
          <w:tcPr>
            <w:tcW w:w="380" w:type="dxa"/>
            <w:vAlign w:val="bottom"/>
            <w:tcBorders>
              <w:top w:val="single" w:sz="8" w:color="auto"/>
              <w:bottom w:val="single" w:sz="8" w:color="auto"/>
            </w:tcBorders>
          </w:tcPr>
          <w:p>
            <w:pPr>
              <w:spacing w:after="0"/>
              <w:rPr>
                <w:sz w:val="14"/>
                <w:szCs w:val="14"/>
                <w:color w:val="auto"/>
              </w:rPr>
            </w:pPr>
          </w:p>
        </w:tc>
        <w:tc>
          <w:tcPr>
            <w:tcW w:w="1200" w:type="dxa"/>
            <w:vAlign w:val="bottom"/>
            <w:tcBorders>
              <w:top w:val="single" w:sz="8" w:color="auto"/>
              <w:bottom w:val="single" w:sz="8" w:color="auto"/>
            </w:tcBorders>
          </w:tcPr>
          <w:p>
            <w:pPr>
              <w:jc w:val="right"/>
              <w:ind w:right="610"/>
              <w:spacing w:after="0"/>
              <w:rPr>
                <w:sz w:val="20"/>
                <w:szCs w:val="20"/>
                <w:color w:val="auto"/>
              </w:rPr>
            </w:pPr>
            <w:r>
              <w:rPr>
                <w:rFonts w:ascii="Times New Roman" w:cs="Times New Roman" w:eastAsia="Times New Roman" w:hAnsi="Times New Roman"/>
                <w:sz w:val="11"/>
                <w:szCs w:val="11"/>
                <w:b w:val="1"/>
                <w:bCs w:val="1"/>
                <w:color w:val="auto"/>
              </w:rPr>
              <w:t>2023</w:t>
            </w:r>
          </w:p>
        </w:tc>
      </w:tr>
      <w:tr>
        <w:trPr>
          <w:trHeight w:val="161"/>
        </w:trPr>
        <w:tc>
          <w:tcPr>
            <w:tcW w:w="80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960" w:type="dxa"/>
            <w:vAlign w:val="bottom"/>
            <w:gridSpan w:val="4"/>
          </w:tcPr>
          <w:p>
            <w:pPr>
              <w:jc w:val="right"/>
              <w:ind w:right="430"/>
              <w:spacing w:after="0"/>
              <w:rPr>
                <w:sz w:val="20"/>
                <w:szCs w:val="20"/>
                <w:color w:val="auto"/>
              </w:rPr>
            </w:pPr>
            <w:r>
              <w:rPr>
                <w:rFonts w:ascii="Times New Roman" w:cs="Times New Roman" w:eastAsia="Times New Roman" w:hAnsi="Times New Roman"/>
                <w:sz w:val="11"/>
                <w:szCs w:val="11"/>
                <w:b w:val="1"/>
                <w:bCs w:val="1"/>
                <w:color w:val="auto"/>
              </w:rPr>
              <w:t>(Dollars in millions, except per share amounts)</w:t>
            </w:r>
          </w:p>
        </w:tc>
      </w:tr>
      <w:tr>
        <w:trPr>
          <w:trHeight w:val="212"/>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sales (Note 3)</w:t>
            </w:r>
          </w:p>
        </w:tc>
        <w:tc>
          <w:tcPr>
            <w:tcW w:w="300" w:type="dxa"/>
            <w:vAlign w:val="bottom"/>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915</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970</w:t>
            </w:r>
          </w:p>
        </w:tc>
      </w:tr>
      <w:tr>
        <w:trPr>
          <w:trHeight w:val="197"/>
        </w:trPr>
        <w:tc>
          <w:tcPr>
            <w:tcW w:w="8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Cost of goods sold</w:t>
            </w:r>
          </w:p>
        </w:tc>
        <w:tc>
          <w:tcPr>
            <w:tcW w:w="3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743</w:t>
            </w:r>
          </w:p>
        </w:tc>
        <w:tc>
          <w:tcPr>
            <w:tcW w:w="8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781</w:t>
            </w:r>
          </w:p>
        </w:tc>
      </w:tr>
      <w:tr>
        <w:trPr>
          <w:trHeight w:val="199"/>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Gross profit</w:t>
            </w:r>
          </w:p>
        </w:tc>
        <w:tc>
          <w:tcPr>
            <w:tcW w:w="300" w:type="dxa"/>
            <w:vAlign w:val="bottom"/>
            <w:tcBorders>
              <w:bottom w:val="single" w:sz="8" w:color="auto"/>
            </w:tcBorders>
            <w:shd w:val="clear" w:color="auto" w:fill="CCEEFF"/>
          </w:tcPr>
          <w:p>
            <w:pPr>
              <w:spacing w:after="0"/>
              <w:rPr>
                <w:sz w:val="17"/>
                <w:szCs w:val="17"/>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172</w:t>
            </w:r>
          </w:p>
        </w:tc>
        <w:tc>
          <w:tcPr>
            <w:tcW w:w="8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189</w:t>
            </w:r>
          </w:p>
        </w:tc>
      </w:tr>
      <w:tr>
        <w:trPr>
          <w:trHeight w:val="187"/>
        </w:trPr>
        <w:tc>
          <w:tcPr>
            <w:tcW w:w="8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Selling, general and administrative expenses</w:t>
            </w:r>
          </w:p>
        </w:tc>
        <w:tc>
          <w:tcPr>
            <w:tcW w:w="30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w:t>
            </w:r>
          </w:p>
        </w:tc>
      </w:tr>
      <w:tr>
        <w:trPr>
          <w:trHeight w:val="208"/>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expense, net</w:t>
            </w:r>
          </w:p>
        </w:tc>
        <w:tc>
          <w:tcPr>
            <w:tcW w:w="3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r>
      <w:tr>
        <w:trPr>
          <w:trHeight w:val="197"/>
        </w:trPr>
        <w:tc>
          <w:tcPr>
            <w:tcW w:w="8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Interest expense</w:t>
            </w:r>
          </w:p>
        </w:tc>
        <w:tc>
          <w:tcPr>
            <w:tcW w:w="30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w:t>
            </w:r>
          </w:p>
        </w:tc>
      </w:tr>
      <w:tr>
        <w:trPr>
          <w:trHeight w:val="208"/>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Non-operating income</w:t>
            </w:r>
          </w:p>
        </w:tc>
        <w:tc>
          <w:tcPr>
            <w:tcW w:w="30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8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r>
      <w:tr>
        <w:trPr>
          <w:trHeight w:val="187"/>
        </w:trPr>
        <w:tc>
          <w:tcPr>
            <w:tcW w:w="8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Income before taxes</w:t>
            </w:r>
          </w:p>
        </w:tc>
        <w:tc>
          <w:tcPr>
            <w:tcW w:w="3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81</w:t>
            </w:r>
          </w:p>
        </w:tc>
        <w:tc>
          <w:tcPr>
            <w:tcW w:w="8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108</w:t>
            </w:r>
          </w:p>
        </w:tc>
      </w:tr>
      <w:tr>
        <w:trPr>
          <w:trHeight w:val="199"/>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Tax expense (Note 5)</w:t>
            </w:r>
          </w:p>
        </w:tc>
        <w:tc>
          <w:tcPr>
            <w:tcW w:w="300" w:type="dxa"/>
            <w:vAlign w:val="bottom"/>
            <w:tcBorders>
              <w:bottom w:val="single" w:sz="8" w:color="auto"/>
            </w:tcBorders>
            <w:shd w:val="clear" w:color="auto" w:fill="CCEEFF"/>
          </w:tcPr>
          <w:p>
            <w:pPr>
              <w:spacing w:after="0"/>
              <w:rPr>
                <w:sz w:val="17"/>
                <w:szCs w:val="17"/>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8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w:t>
            </w:r>
          </w:p>
        </w:tc>
      </w:tr>
      <w:tr>
        <w:trPr>
          <w:trHeight w:val="187"/>
        </w:trPr>
        <w:tc>
          <w:tcPr>
            <w:tcW w:w="8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3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66</w:t>
            </w:r>
          </w:p>
        </w:tc>
        <w:tc>
          <w:tcPr>
            <w:tcW w:w="8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81</w:t>
            </w:r>
          </w:p>
        </w:tc>
      </w:tr>
      <w:tr>
        <w:trPr>
          <w:trHeight w:val="199"/>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Less: preferred stock dividends (Note 15)</w:t>
            </w:r>
          </w:p>
        </w:tc>
        <w:tc>
          <w:tcPr>
            <w:tcW w:w="30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w:t>
            </w:r>
          </w:p>
        </w:tc>
      </w:tr>
      <w:tr>
        <w:trPr>
          <w:trHeight w:val="187"/>
        </w:trPr>
        <w:tc>
          <w:tcPr>
            <w:tcW w:w="8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 available for distribution</w:t>
            </w:r>
          </w:p>
        </w:tc>
        <w:tc>
          <w:tcPr>
            <w:tcW w:w="300" w:type="dxa"/>
            <w:vAlign w:val="bottom"/>
            <w:tcBorders>
              <w:top w:val="single" w:sz="8" w:color="auto"/>
              <w:bottom w:val="single" w:sz="8" w:color="auto"/>
            </w:tcBorders>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66</w:t>
            </w:r>
          </w:p>
        </w:tc>
        <w:tc>
          <w:tcPr>
            <w:tcW w:w="80" w:type="dxa"/>
            <w:vAlign w:val="bottom"/>
          </w:tcPr>
          <w:p>
            <w:pPr>
              <w:spacing w:after="0"/>
              <w:rPr>
                <w:sz w:val="16"/>
                <w:szCs w:val="16"/>
                <w:color w:val="auto"/>
              </w:rPr>
            </w:pPr>
          </w:p>
        </w:tc>
        <w:tc>
          <w:tcPr>
            <w:tcW w:w="380" w:type="dxa"/>
            <w:vAlign w:val="bottom"/>
            <w:tcBorders>
              <w:top w:val="single" w:sz="8" w:color="auto"/>
              <w:bottom w:val="single" w:sz="8" w:color="auto"/>
            </w:tcBorders>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w:t>
            </w:r>
          </w:p>
        </w:tc>
      </w:tr>
      <w:tr>
        <w:trPr>
          <w:trHeight w:val="20"/>
        </w:trPr>
        <w:tc>
          <w:tcPr>
            <w:tcW w:w="80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180"/>
        </w:trPr>
        <w:tc>
          <w:tcPr>
            <w:tcW w:w="80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r>
      <w:tr>
        <w:trPr>
          <w:trHeight w:val="197"/>
        </w:trPr>
        <w:tc>
          <w:tcPr>
            <w:tcW w:w="802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Earnings per common share</w:t>
            </w:r>
          </w:p>
        </w:tc>
        <w:tc>
          <w:tcPr>
            <w:tcW w:w="3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8"/>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Basic</w:t>
            </w:r>
          </w:p>
        </w:tc>
        <w:tc>
          <w:tcPr>
            <w:tcW w:w="300" w:type="dxa"/>
            <w:vAlign w:val="bottom"/>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0.28</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0.13</w:t>
            </w:r>
          </w:p>
        </w:tc>
      </w:tr>
      <w:tr>
        <w:trPr>
          <w:trHeight w:val="197"/>
        </w:trPr>
        <w:tc>
          <w:tcPr>
            <w:tcW w:w="8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Diluted</w:t>
            </w:r>
          </w:p>
        </w:tc>
        <w:tc>
          <w:tcPr>
            <w:tcW w:w="30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0.28</w:t>
            </w: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0.13</w:t>
            </w:r>
          </w:p>
        </w:tc>
      </w:tr>
      <w:tr>
        <w:trPr>
          <w:trHeight w:val="219"/>
        </w:trPr>
        <w:tc>
          <w:tcPr>
            <w:tcW w:w="80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197"/>
        </w:trPr>
        <w:tc>
          <w:tcPr>
            <w:tcW w:w="8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Weighted average common shares outstanding</w:t>
            </w:r>
          </w:p>
        </w:tc>
        <w:tc>
          <w:tcPr>
            <w:tcW w:w="3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8"/>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Basic</w:t>
            </w:r>
          </w:p>
        </w:tc>
        <w:tc>
          <w:tcPr>
            <w:tcW w:w="3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236,664,129</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64,896,081</w:t>
            </w:r>
          </w:p>
        </w:tc>
      </w:tr>
      <w:tr>
        <w:trPr>
          <w:trHeight w:val="191"/>
        </w:trPr>
        <w:tc>
          <w:tcPr>
            <w:tcW w:w="8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Diluted</w:t>
            </w:r>
          </w:p>
        </w:tc>
        <w:tc>
          <w:tcPr>
            <w:tcW w:w="30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238,991,886</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65,970,723</w:t>
            </w:r>
          </w:p>
        </w:tc>
      </w:tr>
    </w:tbl>
    <w:p>
      <w:pPr>
        <w:spacing w:after="0" w:line="210"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14"/>
          <w:szCs w:val="14"/>
          <w:color w:val="auto"/>
        </w:rPr>
        <w:t>The Notes to the Consolidated Interim Financial Statements are an integral part of this statement.</w:t>
      </w:r>
    </w:p>
    <w:p>
      <w:pPr>
        <w:spacing w:after="0" w:line="200" w:lineRule="exact"/>
        <w:rPr>
          <w:sz w:val="20"/>
          <w:szCs w:val="20"/>
          <w:color w:val="auto"/>
        </w:rPr>
      </w:pPr>
    </w:p>
    <w:p>
      <w:pPr>
        <w:spacing w:after="0" w:line="289"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50165</wp:posOffset>
            </wp:positionV>
            <wp:extent cx="7186930"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62" w:right="319" w:bottom="1440" w:gutter="0" w:footer="0" w:header="0"/>
        </w:sectPr>
      </w:pPr>
    </w:p>
    <w:bookmarkStart w:id="3" w:name="page4"/>
    <w:bookmarkEnd w:id="3"/>
    <w:p>
      <w:pPr>
        <w:jc w:val="center"/>
        <w:ind w:right="-599"/>
        <w:spacing w:after="0"/>
        <w:rPr>
          <w:sz w:val="20"/>
          <w:szCs w:val="20"/>
          <w:color w:val="auto"/>
        </w:rPr>
      </w:pPr>
      <w:r>
        <w:rPr>
          <w:rFonts w:ascii="Times New Roman" w:cs="Times New Roman" w:eastAsia="Times New Roman" w:hAnsi="Times New Roman"/>
          <w:sz w:val="14"/>
          <w:szCs w:val="14"/>
          <w:b w:val="1"/>
          <w:bCs w:val="1"/>
          <w:color w:val="auto"/>
        </w:rPr>
        <w:t>GARRETT MOTION INC.</w:t>
      </w:r>
    </w:p>
    <w:p>
      <w:pPr>
        <w:spacing w:after="0" w:line="25" w:lineRule="exact"/>
        <w:rPr>
          <w:sz w:val="20"/>
          <w:szCs w:val="20"/>
          <w:color w:val="auto"/>
        </w:rPr>
      </w:pPr>
    </w:p>
    <w:p>
      <w:pPr>
        <w:jc w:val="center"/>
        <w:ind w:right="-599"/>
        <w:spacing w:after="0"/>
        <w:rPr>
          <w:sz w:val="20"/>
          <w:szCs w:val="20"/>
          <w:color w:val="auto"/>
        </w:rPr>
      </w:pPr>
      <w:r>
        <w:rPr>
          <w:rFonts w:ascii="Times New Roman" w:cs="Times New Roman" w:eastAsia="Times New Roman" w:hAnsi="Times New Roman"/>
          <w:sz w:val="14"/>
          <w:szCs w:val="14"/>
          <w:b w:val="1"/>
          <w:bCs w:val="1"/>
          <w:color w:val="auto"/>
        </w:rPr>
        <w:t>CONSOLIDATED INTERIM STATEMENTS OF COMPREHENSIVE INCOME</w:t>
      </w:r>
    </w:p>
    <w:p>
      <w:pPr>
        <w:spacing w:after="0" w:line="9" w:lineRule="exact"/>
        <w:rPr>
          <w:sz w:val="20"/>
          <w:szCs w:val="20"/>
          <w:color w:val="auto"/>
        </w:rPr>
      </w:pPr>
    </w:p>
    <w:p>
      <w:pPr>
        <w:jc w:val="center"/>
        <w:ind w:right="-599"/>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172" w:lineRule="exact"/>
        <w:rPr>
          <w:sz w:val="20"/>
          <w:szCs w:val="20"/>
          <w:color w:val="auto"/>
        </w:rPr>
      </w:pPr>
    </w:p>
    <w:p>
      <w:pPr>
        <w:jc w:val="center"/>
        <w:ind w:left="7540"/>
        <w:spacing w:after="0"/>
        <w:rPr>
          <w:sz w:val="20"/>
          <w:szCs w:val="20"/>
          <w:color w:val="auto"/>
        </w:rPr>
      </w:pPr>
      <w:r>
        <w:rPr>
          <w:rFonts w:ascii="Times New Roman" w:cs="Times New Roman" w:eastAsia="Times New Roman" w:hAnsi="Times New Roman"/>
          <w:sz w:val="11"/>
          <w:szCs w:val="11"/>
          <w:b w:val="1"/>
          <w:bCs w:val="1"/>
          <w:color w:val="auto"/>
        </w:rPr>
        <w:t>Three Months Ended</w:t>
      </w:r>
    </w:p>
    <w:p>
      <w:pPr>
        <w:spacing w:after="0" w:line="23" w:lineRule="exact"/>
        <w:rPr>
          <w:sz w:val="20"/>
          <w:szCs w:val="20"/>
          <w:color w:val="auto"/>
        </w:rPr>
      </w:pPr>
    </w:p>
    <w:p>
      <w:pPr>
        <w:jc w:val="center"/>
        <w:ind w:left="7540"/>
        <w:spacing w:after="0"/>
        <w:rPr>
          <w:sz w:val="20"/>
          <w:szCs w:val="20"/>
          <w:color w:val="auto"/>
        </w:rPr>
      </w:pPr>
      <w:r>
        <w:rPr>
          <w:rFonts w:ascii="Times New Roman" w:cs="Times New Roman" w:eastAsia="Times New Roman" w:hAnsi="Times New Roman"/>
          <w:sz w:val="11"/>
          <w:szCs w:val="11"/>
          <w:b w:val="1"/>
          <w:bCs w:val="1"/>
          <w:color w:val="auto"/>
        </w:rPr>
        <w:t>March 31,</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840" w:type="dxa"/>
            <w:vAlign w:val="bottom"/>
          </w:tcPr>
          <w:p>
            <w:pPr>
              <w:spacing w:after="0"/>
              <w:rPr>
                <w:sz w:val="14"/>
                <w:szCs w:val="14"/>
                <w:color w:val="auto"/>
              </w:rPr>
            </w:pPr>
          </w:p>
        </w:tc>
        <w:tc>
          <w:tcPr>
            <w:tcW w:w="1000" w:type="dxa"/>
            <w:vAlign w:val="bottom"/>
            <w:tcBorders>
              <w:top w:val="single" w:sz="8" w:color="auto"/>
              <w:bottom w:val="single" w:sz="8" w:color="auto"/>
            </w:tcBorders>
          </w:tcPr>
          <w:p>
            <w:pPr>
              <w:jc w:val="right"/>
              <w:ind w:right="54"/>
              <w:spacing w:after="0"/>
              <w:rPr>
                <w:sz w:val="20"/>
                <w:szCs w:val="20"/>
                <w:color w:val="auto"/>
              </w:rPr>
            </w:pPr>
            <w:r>
              <w:rPr>
                <w:rFonts w:ascii="Times New Roman" w:cs="Times New Roman" w:eastAsia="Times New Roman" w:hAnsi="Times New Roman"/>
                <w:sz w:val="11"/>
                <w:szCs w:val="11"/>
                <w:b w:val="1"/>
                <w:bCs w:val="1"/>
                <w:color w:val="auto"/>
              </w:rPr>
              <w:t>2024</w:t>
            </w:r>
          </w:p>
        </w:tc>
        <w:tc>
          <w:tcPr>
            <w:tcW w:w="540" w:type="dxa"/>
            <w:vAlign w:val="bottom"/>
            <w:tcBorders>
              <w:top w:val="single" w:sz="8" w:color="auto"/>
              <w:bottom w:val="single" w:sz="8" w:color="auto"/>
            </w:tcBorders>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560" w:type="dxa"/>
            <w:vAlign w:val="bottom"/>
            <w:tcBorders>
              <w:top w:val="single" w:sz="8" w:color="auto"/>
              <w:bottom w:val="single" w:sz="8" w:color="auto"/>
            </w:tcBorders>
          </w:tcPr>
          <w:p>
            <w:pPr>
              <w:spacing w:after="0"/>
              <w:rPr>
                <w:sz w:val="14"/>
                <w:szCs w:val="14"/>
                <w:color w:val="auto"/>
              </w:rPr>
            </w:pPr>
          </w:p>
        </w:tc>
        <w:tc>
          <w:tcPr>
            <w:tcW w:w="980" w:type="dxa"/>
            <w:vAlign w:val="bottom"/>
            <w:tcBorders>
              <w:top w:val="single" w:sz="8" w:color="auto"/>
              <w:bottom w:val="single" w:sz="8" w:color="auto"/>
            </w:tcBorders>
          </w:tcPr>
          <w:p>
            <w:pPr>
              <w:jc w:val="right"/>
              <w:ind w:right="591"/>
              <w:spacing w:after="0"/>
              <w:rPr>
                <w:sz w:val="20"/>
                <w:szCs w:val="20"/>
                <w:color w:val="auto"/>
              </w:rPr>
            </w:pPr>
            <w:r>
              <w:rPr>
                <w:rFonts w:ascii="Times New Roman" w:cs="Times New Roman" w:eastAsia="Times New Roman" w:hAnsi="Times New Roman"/>
                <w:sz w:val="11"/>
                <w:szCs w:val="11"/>
                <w:b w:val="1"/>
                <w:bCs w:val="1"/>
                <w:color w:val="auto"/>
              </w:rPr>
              <w:t>2023</w:t>
            </w:r>
          </w:p>
        </w:tc>
      </w:tr>
      <w:tr>
        <w:trPr>
          <w:trHeight w:val="161"/>
        </w:trPr>
        <w:tc>
          <w:tcPr>
            <w:tcW w:w="78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80" w:type="dxa"/>
            <w:vAlign w:val="bottom"/>
            <w:gridSpan w:val="3"/>
          </w:tcPr>
          <w:p>
            <w:pPr>
              <w:jc w:val="right"/>
              <w:ind w:right="49"/>
              <w:spacing w:after="0"/>
              <w:rPr>
                <w:sz w:val="20"/>
                <w:szCs w:val="20"/>
                <w:color w:val="auto"/>
              </w:rPr>
            </w:pPr>
            <w:r>
              <w:rPr>
                <w:rFonts w:ascii="Times New Roman" w:cs="Times New Roman" w:eastAsia="Times New Roman" w:hAnsi="Times New Roman"/>
                <w:sz w:val="11"/>
                <w:szCs w:val="11"/>
                <w:b w:val="1"/>
                <w:bCs w:val="1"/>
                <w:color w:val="auto"/>
              </w:rPr>
              <w:t>(Dollars in millions)</w:t>
            </w:r>
          </w:p>
        </w:tc>
        <w:tc>
          <w:tcPr>
            <w:tcW w:w="980" w:type="dxa"/>
            <w:vAlign w:val="bottom"/>
          </w:tcPr>
          <w:p>
            <w:pPr>
              <w:spacing w:after="0"/>
              <w:rPr>
                <w:sz w:val="13"/>
                <w:szCs w:val="13"/>
                <w:color w:val="auto"/>
              </w:rPr>
            </w:pPr>
          </w:p>
        </w:tc>
      </w:tr>
      <w:tr>
        <w:trPr>
          <w:trHeight w:val="212"/>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1000" w:type="dxa"/>
            <w:vAlign w:val="bottom"/>
            <w:shd w:val="clear" w:color="auto" w:fill="CCEEFF"/>
          </w:tcPr>
          <w:p>
            <w:pPr>
              <w:jc w:val="right"/>
              <w:ind w:right="854"/>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w:t>
            </w: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409"/>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w:t>
            </w:r>
          </w:p>
        </w:tc>
      </w:tr>
      <w:tr>
        <w:trPr>
          <w:trHeight w:val="197"/>
        </w:trPr>
        <w:tc>
          <w:tcPr>
            <w:tcW w:w="7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Foreign exchange translation adjustment</w:t>
            </w:r>
          </w:p>
        </w:tc>
        <w:tc>
          <w:tcPr>
            <w:tcW w:w="100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r>
      <w:tr>
        <w:trPr>
          <w:trHeight w:val="208"/>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Defined benefit pension plan adjustment, net of tax</w:t>
            </w:r>
          </w:p>
        </w:tc>
        <w:tc>
          <w:tcPr>
            <w:tcW w:w="10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7"/>
        </w:trPr>
        <w:tc>
          <w:tcPr>
            <w:tcW w:w="7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Changes in fair value of effective cash flow hedges, net of tax (Note 16)</w:t>
            </w:r>
          </w:p>
        </w:tc>
        <w:tc>
          <w:tcPr>
            <w:tcW w:w="10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r>
      <w:tr>
        <w:trPr>
          <w:trHeight w:val="208"/>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Changes in fair value of net investment hedges, net of tax (Note 16)</w:t>
            </w:r>
          </w:p>
        </w:tc>
        <w:tc>
          <w:tcPr>
            <w:tcW w:w="100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8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r>
      <w:tr>
        <w:trPr>
          <w:trHeight w:val="187"/>
        </w:trPr>
        <w:tc>
          <w:tcPr>
            <w:tcW w:w="7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Total other comprehensive income (loss), net of tax</w:t>
            </w:r>
          </w:p>
        </w:tc>
        <w:tc>
          <w:tcPr>
            <w:tcW w:w="100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w:t>
            </w:r>
          </w:p>
        </w:tc>
        <w:tc>
          <w:tcPr>
            <w:tcW w:w="80" w:type="dxa"/>
            <w:vAlign w:val="bottom"/>
            <w:tcBorders>
              <w:bottom w:val="single" w:sz="8" w:color="CCEEFF"/>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w:t>
            </w:r>
          </w:p>
        </w:tc>
      </w:tr>
      <w:tr>
        <w:trPr>
          <w:trHeight w:val="218"/>
        </w:trPr>
        <w:tc>
          <w:tcPr>
            <w:tcW w:w="7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Comprehensive income</w:t>
            </w:r>
          </w:p>
        </w:tc>
        <w:tc>
          <w:tcPr>
            <w:tcW w:w="1000" w:type="dxa"/>
            <w:vAlign w:val="bottom"/>
            <w:tcBorders>
              <w:bottom w:val="single" w:sz="8" w:color="auto"/>
            </w:tcBorders>
            <w:shd w:val="clear" w:color="auto" w:fill="CCEEFF"/>
          </w:tcPr>
          <w:p>
            <w:pPr>
              <w:jc w:val="right"/>
              <w:ind w:right="854"/>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w:t>
            </w:r>
          </w:p>
        </w:tc>
        <w:tc>
          <w:tcPr>
            <w:tcW w:w="8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ind w:right="409"/>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w:t>
            </w:r>
          </w:p>
        </w:tc>
      </w:tr>
      <w:tr>
        <w:trPr>
          <w:trHeight w:val="20"/>
        </w:trPr>
        <w:tc>
          <w:tcPr>
            <w:tcW w:w="784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14"/>
          <w:szCs w:val="14"/>
          <w:color w:val="auto"/>
        </w:rPr>
        <w:t>The Notes to the Consolidated Interim Financial Statements are an integral part of this statement.</w:t>
      </w:r>
    </w:p>
    <w:p>
      <w:pPr>
        <w:spacing w:after="0" w:line="297" w:lineRule="exact"/>
        <w:rPr>
          <w:sz w:val="20"/>
          <w:szCs w:val="20"/>
          <w:color w:val="auto"/>
        </w:rPr>
      </w:pPr>
    </w:p>
    <w:p>
      <w:pPr>
        <w:ind w:left="5760"/>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171450</wp:posOffset>
            </wp:positionV>
            <wp:extent cx="7186930"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000"/>
          </w:cols>
          <w:pgMar w:left="300" w:top="762" w:right="599" w:bottom="1440" w:gutter="0" w:footer="0" w:header="0"/>
        </w:sectPr>
      </w:pPr>
    </w:p>
    <w:bookmarkStart w:id="4" w:name="page5"/>
    <w:bookmarkEnd w:id="4"/>
    <w:p>
      <w:pPr>
        <w:jc w:val="center"/>
        <w:ind w:right="-319"/>
        <w:spacing w:after="0"/>
        <w:rPr>
          <w:sz w:val="20"/>
          <w:szCs w:val="20"/>
          <w:color w:val="auto"/>
        </w:rPr>
      </w:pPr>
      <w:r>
        <w:rPr>
          <w:rFonts w:ascii="Times New Roman" w:cs="Times New Roman" w:eastAsia="Times New Roman" w:hAnsi="Times New Roman"/>
          <w:sz w:val="14"/>
          <w:szCs w:val="14"/>
          <w:b w:val="1"/>
          <w:bCs w:val="1"/>
          <w:color w:val="auto"/>
        </w:rPr>
        <w:t>GARRETT MOTION INC.</w:t>
      </w:r>
    </w:p>
    <w:p>
      <w:pPr>
        <w:spacing w:after="0" w:line="25"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4"/>
          <w:szCs w:val="14"/>
          <w:b w:val="1"/>
          <w:bCs w:val="1"/>
          <w:color w:val="auto"/>
        </w:rPr>
        <w:t>CONSOLIDATED INTERIM BALANCE SHEETS</w:t>
      </w:r>
    </w:p>
    <w:p>
      <w:pPr>
        <w:spacing w:after="0" w:line="9"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8020" w:type="dxa"/>
            <w:vAlign w:val="bottom"/>
          </w:tcPr>
          <w:p>
            <w:pPr>
              <w:spacing w:after="0"/>
              <w:rPr>
                <w:sz w:val="12"/>
                <w:szCs w:val="1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March 31,</w:t>
            </w: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140" w:type="dxa"/>
            <w:vAlign w:val="bottom"/>
          </w:tcPr>
          <w:p>
            <w:pPr>
              <w:jc w:val="right"/>
              <w:ind w:right="390"/>
              <w:spacing w:after="0"/>
              <w:rPr>
                <w:sz w:val="20"/>
                <w:szCs w:val="20"/>
                <w:color w:val="auto"/>
              </w:rPr>
            </w:pPr>
            <w:r>
              <w:rPr>
                <w:rFonts w:ascii="Times New Roman" w:cs="Times New Roman" w:eastAsia="Times New Roman" w:hAnsi="Times New Roman"/>
                <w:sz w:val="11"/>
                <w:szCs w:val="11"/>
                <w:b w:val="1"/>
                <w:bCs w:val="1"/>
                <w:color w:val="auto"/>
              </w:rPr>
              <w:t>December 31,</w:t>
            </w:r>
          </w:p>
        </w:tc>
        <w:tc>
          <w:tcPr>
            <w:tcW w:w="0" w:type="dxa"/>
            <w:vAlign w:val="bottom"/>
          </w:tcPr>
          <w:p>
            <w:pPr>
              <w:spacing w:after="0"/>
              <w:rPr>
                <w:sz w:val="1"/>
                <w:szCs w:val="1"/>
                <w:color w:val="auto"/>
              </w:rPr>
            </w:pPr>
          </w:p>
        </w:tc>
      </w:tr>
      <w:tr>
        <w:trPr>
          <w:trHeight w:val="159"/>
        </w:trPr>
        <w:tc>
          <w:tcPr>
            <w:tcW w:w="8020" w:type="dxa"/>
            <w:vAlign w:val="bottom"/>
          </w:tcPr>
          <w:p>
            <w:pPr>
              <w:spacing w:after="0"/>
              <w:rPr>
                <w:sz w:val="13"/>
                <w:szCs w:val="13"/>
                <w:color w:val="auto"/>
              </w:rPr>
            </w:pPr>
          </w:p>
        </w:tc>
        <w:tc>
          <w:tcPr>
            <w:tcW w:w="110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11"/>
                <w:szCs w:val="11"/>
                <w:b w:val="1"/>
                <w:bCs w:val="1"/>
                <w:color w:val="auto"/>
              </w:rPr>
              <w:t>2024</w:t>
            </w:r>
          </w:p>
        </w:tc>
        <w:tc>
          <w:tcPr>
            <w:tcW w:w="5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1"/>
                <w:szCs w:val="11"/>
                <w:b w:val="1"/>
                <w:bCs w:val="1"/>
                <w:color w:val="auto"/>
              </w:rPr>
              <w:t>2023</w:t>
            </w:r>
          </w:p>
        </w:tc>
        <w:tc>
          <w:tcPr>
            <w:tcW w:w="0" w:type="dxa"/>
            <w:vAlign w:val="bottom"/>
          </w:tcPr>
          <w:p>
            <w:pPr>
              <w:spacing w:after="0"/>
              <w:rPr>
                <w:sz w:val="1"/>
                <w:szCs w:val="1"/>
                <w:color w:val="auto"/>
              </w:rPr>
            </w:pPr>
          </w:p>
        </w:tc>
      </w:tr>
      <w:tr>
        <w:trPr>
          <w:trHeight w:val="161"/>
        </w:trPr>
        <w:tc>
          <w:tcPr>
            <w:tcW w:w="80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20" w:type="dxa"/>
            <w:vAlign w:val="bottom"/>
            <w:gridSpan w:val="3"/>
          </w:tcPr>
          <w:p>
            <w:pPr>
              <w:jc w:val="right"/>
              <w:spacing w:after="0"/>
              <w:rPr>
                <w:sz w:val="20"/>
                <w:szCs w:val="20"/>
                <w:color w:val="auto"/>
              </w:rPr>
            </w:pPr>
            <w:r>
              <w:rPr>
                <w:rFonts w:ascii="Times New Roman" w:cs="Times New Roman" w:eastAsia="Times New Roman" w:hAnsi="Times New Roman"/>
                <w:sz w:val="11"/>
                <w:szCs w:val="11"/>
                <w:b w:val="1"/>
                <w:bCs w:val="1"/>
                <w:color w:val="auto"/>
              </w:rPr>
              <w:t>(Dollars in millions)</w:t>
            </w: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2"/>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1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8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Current assets:</w:t>
            </w:r>
          </w:p>
        </w:tc>
        <w:tc>
          <w:tcPr>
            <w:tcW w:w="1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8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1100" w:type="dxa"/>
            <w:vAlign w:val="bottom"/>
            <w:shd w:val="clear" w:color="auto" w:fill="CCEEFF"/>
          </w:tcPr>
          <w:p>
            <w:pPr>
              <w:jc w:val="right"/>
              <w:ind w:right="953"/>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196</w:t>
            </w: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8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259</w:t>
            </w:r>
          </w:p>
        </w:tc>
        <w:tc>
          <w:tcPr>
            <w:tcW w:w="0" w:type="dxa"/>
            <w:vAlign w:val="bottom"/>
          </w:tcPr>
          <w:p>
            <w:pPr>
              <w:spacing w:after="0"/>
              <w:rPr>
                <w:sz w:val="1"/>
                <w:szCs w:val="1"/>
                <w:color w:val="auto"/>
              </w:rPr>
            </w:pPr>
          </w:p>
        </w:tc>
      </w:tr>
      <w:tr>
        <w:trPr>
          <w:trHeight w:val="197"/>
        </w:trPr>
        <w:tc>
          <w:tcPr>
            <w:tcW w:w="80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Restricted cash</w:t>
            </w:r>
          </w:p>
        </w:tc>
        <w:tc>
          <w:tcPr>
            <w:tcW w:w="110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208"/>
        </w:trPr>
        <w:tc>
          <w:tcPr>
            <w:tcW w:w="8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Accounts, notes and other receivables – net (Note 6)</w:t>
            </w:r>
          </w:p>
        </w:tc>
        <w:tc>
          <w:tcPr>
            <w:tcW w:w="1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787</w:t>
            </w: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808</w:t>
            </w:r>
          </w:p>
        </w:tc>
        <w:tc>
          <w:tcPr>
            <w:tcW w:w="0" w:type="dxa"/>
            <w:vAlign w:val="bottom"/>
          </w:tcPr>
          <w:p>
            <w:pPr>
              <w:spacing w:after="0"/>
              <w:rPr>
                <w:sz w:val="1"/>
                <w:szCs w:val="1"/>
                <w:color w:val="auto"/>
              </w:rPr>
            </w:pPr>
          </w:p>
        </w:tc>
      </w:tr>
      <w:tr>
        <w:trPr>
          <w:trHeight w:val="197"/>
        </w:trPr>
        <w:tc>
          <w:tcPr>
            <w:tcW w:w="80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Inventories – net (Note 8)</w:t>
            </w:r>
          </w:p>
        </w:tc>
        <w:tc>
          <w:tcPr>
            <w:tcW w:w="110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272</w:t>
            </w: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263</w:t>
            </w:r>
          </w:p>
        </w:tc>
        <w:tc>
          <w:tcPr>
            <w:tcW w:w="0" w:type="dxa"/>
            <w:vAlign w:val="bottom"/>
          </w:tcPr>
          <w:p>
            <w:pPr>
              <w:spacing w:after="0"/>
              <w:rPr>
                <w:sz w:val="1"/>
                <w:szCs w:val="1"/>
                <w:color w:val="auto"/>
              </w:rPr>
            </w:pPr>
          </w:p>
        </w:tc>
      </w:tr>
      <w:tr>
        <w:trPr>
          <w:trHeight w:val="208"/>
        </w:trPr>
        <w:tc>
          <w:tcPr>
            <w:tcW w:w="8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Other current assets</w:t>
            </w:r>
          </w:p>
        </w:tc>
        <w:tc>
          <w:tcPr>
            <w:tcW w:w="11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w:t>
            </w:r>
          </w:p>
        </w:tc>
        <w:tc>
          <w:tcPr>
            <w:tcW w:w="8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w:t>
            </w:r>
          </w:p>
        </w:tc>
        <w:tc>
          <w:tcPr>
            <w:tcW w:w="0" w:type="dxa"/>
            <w:vAlign w:val="bottom"/>
          </w:tcPr>
          <w:p>
            <w:pPr>
              <w:spacing w:after="0"/>
              <w:rPr>
                <w:sz w:val="1"/>
                <w:szCs w:val="1"/>
                <w:color w:val="auto"/>
              </w:rPr>
            </w:pPr>
          </w:p>
        </w:tc>
      </w:tr>
      <w:tr>
        <w:trPr>
          <w:trHeight w:val="187"/>
        </w:trPr>
        <w:tc>
          <w:tcPr>
            <w:tcW w:w="802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Total current assets</w:t>
            </w:r>
          </w:p>
        </w:tc>
        <w:tc>
          <w:tcPr>
            <w:tcW w:w="110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1,338</w:t>
            </w: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1,406</w:t>
            </w:r>
          </w:p>
        </w:tc>
        <w:tc>
          <w:tcPr>
            <w:tcW w:w="0" w:type="dxa"/>
            <w:vAlign w:val="bottom"/>
          </w:tcPr>
          <w:p>
            <w:pPr>
              <w:spacing w:after="0"/>
              <w:rPr>
                <w:sz w:val="1"/>
                <w:szCs w:val="1"/>
                <w:color w:val="auto"/>
              </w:rPr>
            </w:pPr>
          </w:p>
        </w:tc>
      </w:tr>
      <w:tr>
        <w:trPr>
          <w:trHeight w:val="208"/>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Investments and long-term receivables</w:t>
            </w:r>
          </w:p>
        </w:tc>
        <w:tc>
          <w:tcPr>
            <w:tcW w:w="1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0" w:type="dxa"/>
            <w:vAlign w:val="bottom"/>
          </w:tcPr>
          <w:p>
            <w:pPr>
              <w:spacing w:after="0"/>
              <w:rPr>
                <w:sz w:val="1"/>
                <w:szCs w:val="1"/>
                <w:color w:val="auto"/>
              </w:rPr>
            </w:pPr>
          </w:p>
        </w:tc>
      </w:tr>
      <w:tr>
        <w:trPr>
          <w:trHeight w:val="197"/>
        </w:trPr>
        <w:tc>
          <w:tcPr>
            <w:tcW w:w="8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Property, plant and equipment – net</w:t>
            </w:r>
          </w:p>
        </w:tc>
        <w:tc>
          <w:tcPr>
            <w:tcW w:w="110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452</w:t>
            </w: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477</w:t>
            </w:r>
          </w:p>
        </w:tc>
        <w:tc>
          <w:tcPr>
            <w:tcW w:w="0" w:type="dxa"/>
            <w:vAlign w:val="bottom"/>
          </w:tcPr>
          <w:p>
            <w:pPr>
              <w:spacing w:after="0"/>
              <w:rPr>
                <w:sz w:val="1"/>
                <w:szCs w:val="1"/>
                <w:color w:val="auto"/>
              </w:rPr>
            </w:pPr>
          </w:p>
        </w:tc>
      </w:tr>
      <w:tr>
        <w:trPr>
          <w:trHeight w:val="208"/>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Goodwill</w:t>
            </w:r>
          </w:p>
        </w:tc>
        <w:tc>
          <w:tcPr>
            <w:tcW w:w="1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193</w:t>
            </w: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193</w:t>
            </w:r>
          </w:p>
        </w:tc>
        <w:tc>
          <w:tcPr>
            <w:tcW w:w="0" w:type="dxa"/>
            <w:vAlign w:val="bottom"/>
          </w:tcPr>
          <w:p>
            <w:pPr>
              <w:spacing w:after="0"/>
              <w:rPr>
                <w:sz w:val="1"/>
                <w:szCs w:val="1"/>
                <w:color w:val="auto"/>
              </w:rPr>
            </w:pPr>
          </w:p>
        </w:tc>
      </w:tr>
      <w:tr>
        <w:trPr>
          <w:trHeight w:val="197"/>
        </w:trPr>
        <w:tc>
          <w:tcPr>
            <w:tcW w:w="8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Deferred income taxes</w:t>
            </w:r>
          </w:p>
        </w:tc>
        <w:tc>
          <w:tcPr>
            <w:tcW w:w="110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213</w:t>
            </w: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216</w:t>
            </w:r>
          </w:p>
        </w:tc>
        <w:tc>
          <w:tcPr>
            <w:tcW w:w="0" w:type="dxa"/>
            <w:vAlign w:val="bottom"/>
          </w:tcPr>
          <w:p>
            <w:pPr>
              <w:spacing w:after="0"/>
              <w:rPr>
                <w:sz w:val="1"/>
                <w:szCs w:val="1"/>
                <w:color w:val="auto"/>
              </w:rPr>
            </w:pPr>
          </w:p>
        </w:tc>
      </w:tr>
      <w:tr>
        <w:trPr>
          <w:trHeight w:val="208"/>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assets (Note 9)</w:t>
            </w:r>
          </w:p>
        </w:tc>
        <w:tc>
          <w:tcPr>
            <w:tcW w:w="11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222</w:t>
            </w:r>
          </w:p>
        </w:tc>
        <w:tc>
          <w:tcPr>
            <w:tcW w:w="8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206</w:t>
            </w:r>
          </w:p>
        </w:tc>
        <w:tc>
          <w:tcPr>
            <w:tcW w:w="0" w:type="dxa"/>
            <w:vAlign w:val="bottom"/>
          </w:tcPr>
          <w:p>
            <w:pPr>
              <w:spacing w:after="0"/>
              <w:rPr>
                <w:sz w:val="1"/>
                <w:szCs w:val="1"/>
                <w:color w:val="auto"/>
              </w:rPr>
            </w:pPr>
          </w:p>
        </w:tc>
      </w:tr>
      <w:tr>
        <w:trPr>
          <w:trHeight w:val="187"/>
        </w:trPr>
        <w:tc>
          <w:tcPr>
            <w:tcW w:w="802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Total assets</w:t>
            </w:r>
          </w:p>
        </w:tc>
        <w:tc>
          <w:tcPr>
            <w:tcW w:w="1100" w:type="dxa"/>
            <w:vAlign w:val="bottom"/>
            <w:tcBorders>
              <w:bottom w:val="single" w:sz="8" w:color="auto"/>
            </w:tcBorders>
          </w:tcPr>
          <w:p>
            <w:pPr>
              <w:jc w:val="right"/>
              <w:ind w:right="953"/>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2,448</w:t>
            </w:r>
          </w:p>
        </w:tc>
        <w:tc>
          <w:tcPr>
            <w:tcW w:w="80" w:type="dxa"/>
            <w:vAlign w:val="bottom"/>
          </w:tcPr>
          <w:p>
            <w:pPr>
              <w:spacing w:after="0"/>
              <w:rPr>
                <w:sz w:val="16"/>
                <w:szCs w:val="16"/>
                <w:color w:val="auto"/>
              </w:rPr>
            </w:pPr>
          </w:p>
        </w:tc>
        <w:tc>
          <w:tcPr>
            <w:tcW w:w="440" w:type="dxa"/>
            <w:vAlign w:val="bottom"/>
            <w:tcBorders>
              <w:bottom w:val="single" w:sz="8" w:color="auto"/>
            </w:tcBorders>
          </w:tcPr>
          <w:p>
            <w:pPr>
              <w:jc w:val="right"/>
              <w:ind w:right="28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2,527</w:t>
            </w:r>
          </w:p>
        </w:tc>
        <w:tc>
          <w:tcPr>
            <w:tcW w:w="0" w:type="dxa"/>
            <w:vAlign w:val="bottom"/>
          </w:tcPr>
          <w:p>
            <w:pPr>
              <w:spacing w:after="0"/>
              <w:rPr>
                <w:sz w:val="1"/>
                <w:szCs w:val="1"/>
                <w:color w:val="auto"/>
              </w:rPr>
            </w:pPr>
          </w:p>
        </w:tc>
      </w:tr>
      <w:tr>
        <w:trPr>
          <w:trHeight w:val="20"/>
        </w:trPr>
        <w:tc>
          <w:tcPr>
            <w:tcW w:w="802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11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7"/>
        </w:trPr>
        <w:tc>
          <w:tcPr>
            <w:tcW w:w="8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Current liabilities:</w:t>
            </w:r>
          </w:p>
        </w:tc>
        <w:tc>
          <w:tcPr>
            <w:tcW w:w="1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8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Accounts payable</w:t>
            </w:r>
          </w:p>
        </w:tc>
        <w:tc>
          <w:tcPr>
            <w:tcW w:w="1100" w:type="dxa"/>
            <w:vAlign w:val="bottom"/>
            <w:shd w:val="clear" w:color="auto" w:fill="CCEEFF"/>
          </w:tcPr>
          <w:p>
            <w:pPr>
              <w:jc w:val="right"/>
              <w:ind w:right="953"/>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1,029</w:t>
            </w: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8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1,074</w:t>
            </w:r>
          </w:p>
        </w:tc>
        <w:tc>
          <w:tcPr>
            <w:tcW w:w="0" w:type="dxa"/>
            <w:vAlign w:val="bottom"/>
          </w:tcPr>
          <w:p>
            <w:pPr>
              <w:spacing w:after="0"/>
              <w:rPr>
                <w:sz w:val="1"/>
                <w:szCs w:val="1"/>
                <w:color w:val="auto"/>
              </w:rPr>
            </w:pPr>
          </w:p>
        </w:tc>
      </w:tr>
      <w:tr>
        <w:trPr>
          <w:trHeight w:val="197"/>
        </w:trPr>
        <w:tc>
          <w:tcPr>
            <w:tcW w:w="80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Current maturities of long-term debt (Note 14)</w:t>
            </w:r>
          </w:p>
        </w:tc>
        <w:tc>
          <w:tcPr>
            <w:tcW w:w="110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0" w:type="dxa"/>
            <w:vAlign w:val="bottom"/>
          </w:tcPr>
          <w:p>
            <w:pPr>
              <w:spacing w:after="0"/>
              <w:rPr>
                <w:sz w:val="1"/>
                <w:szCs w:val="1"/>
                <w:color w:val="auto"/>
              </w:rPr>
            </w:pPr>
          </w:p>
        </w:tc>
      </w:tr>
      <w:tr>
        <w:trPr>
          <w:trHeight w:val="208"/>
        </w:trPr>
        <w:tc>
          <w:tcPr>
            <w:tcW w:w="8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Accrued liabilities (Note 11)</w:t>
            </w:r>
          </w:p>
        </w:tc>
        <w:tc>
          <w:tcPr>
            <w:tcW w:w="11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283</w:t>
            </w:r>
          </w:p>
        </w:tc>
        <w:tc>
          <w:tcPr>
            <w:tcW w:w="8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293</w:t>
            </w:r>
          </w:p>
        </w:tc>
        <w:tc>
          <w:tcPr>
            <w:tcW w:w="0" w:type="dxa"/>
            <w:vAlign w:val="bottom"/>
          </w:tcPr>
          <w:p>
            <w:pPr>
              <w:spacing w:after="0"/>
              <w:rPr>
                <w:sz w:val="1"/>
                <w:szCs w:val="1"/>
                <w:color w:val="auto"/>
              </w:rPr>
            </w:pPr>
          </w:p>
        </w:tc>
      </w:tr>
      <w:tr>
        <w:trPr>
          <w:trHeight w:val="187"/>
        </w:trPr>
        <w:tc>
          <w:tcPr>
            <w:tcW w:w="802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Total current liabilities</w:t>
            </w:r>
          </w:p>
        </w:tc>
        <w:tc>
          <w:tcPr>
            <w:tcW w:w="110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1,319</w:t>
            </w: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1,374</w:t>
            </w:r>
          </w:p>
        </w:tc>
        <w:tc>
          <w:tcPr>
            <w:tcW w:w="0" w:type="dxa"/>
            <w:vAlign w:val="bottom"/>
          </w:tcPr>
          <w:p>
            <w:pPr>
              <w:spacing w:after="0"/>
              <w:rPr>
                <w:sz w:val="1"/>
                <w:szCs w:val="1"/>
                <w:color w:val="auto"/>
              </w:rPr>
            </w:pPr>
          </w:p>
        </w:tc>
      </w:tr>
      <w:tr>
        <w:trPr>
          <w:trHeight w:val="208"/>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Long-term debt (Note 14)</w:t>
            </w:r>
          </w:p>
        </w:tc>
        <w:tc>
          <w:tcPr>
            <w:tcW w:w="1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1,633</w:t>
            </w: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1,643</w:t>
            </w:r>
          </w:p>
        </w:tc>
        <w:tc>
          <w:tcPr>
            <w:tcW w:w="0" w:type="dxa"/>
            <w:vAlign w:val="bottom"/>
          </w:tcPr>
          <w:p>
            <w:pPr>
              <w:spacing w:after="0"/>
              <w:rPr>
                <w:sz w:val="1"/>
                <w:szCs w:val="1"/>
                <w:color w:val="auto"/>
              </w:rPr>
            </w:pPr>
          </w:p>
        </w:tc>
      </w:tr>
      <w:tr>
        <w:trPr>
          <w:trHeight w:val="197"/>
        </w:trPr>
        <w:tc>
          <w:tcPr>
            <w:tcW w:w="8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Deferred income taxes</w:t>
            </w:r>
          </w:p>
        </w:tc>
        <w:tc>
          <w:tcPr>
            <w:tcW w:w="110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0" w:type="dxa"/>
            <w:vAlign w:val="bottom"/>
          </w:tcPr>
          <w:p>
            <w:pPr>
              <w:spacing w:after="0"/>
              <w:rPr>
                <w:sz w:val="1"/>
                <w:szCs w:val="1"/>
                <w:color w:val="auto"/>
              </w:rPr>
            </w:pPr>
          </w:p>
        </w:tc>
      </w:tr>
      <w:tr>
        <w:trPr>
          <w:trHeight w:val="208"/>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liabilities (Note 12)</w:t>
            </w:r>
          </w:p>
        </w:tc>
        <w:tc>
          <w:tcPr>
            <w:tcW w:w="11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201</w:t>
            </w:r>
          </w:p>
        </w:tc>
        <w:tc>
          <w:tcPr>
            <w:tcW w:w="8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218</w:t>
            </w:r>
          </w:p>
        </w:tc>
        <w:tc>
          <w:tcPr>
            <w:tcW w:w="0" w:type="dxa"/>
            <w:vAlign w:val="bottom"/>
          </w:tcPr>
          <w:p>
            <w:pPr>
              <w:spacing w:after="0"/>
              <w:rPr>
                <w:sz w:val="1"/>
                <w:szCs w:val="1"/>
                <w:color w:val="auto"/>
              </w:rPr>
            </w:pPr>
          </w:p>
        </w:tc>
      </w:tr>
      <w:tr>
        <w:trPr>
          <w:trHeight w:val="187"/>
        </w:trPr>
        <w:tc>
          <w:tcPr>
            <w:tcW w:w="8020" w:type="dxa"/>
            <w:vAlign w:val="bottom"/>
            <w:tcBorders>
              <w:bottom w:val="single" w:sz="8" w:color="CCEEFF"/>
            </w:tcBorders>
          </w:tcPr>
          <w:p>
            <w:pPr>
              <w:ind w:left="380"/>
              <w:spacing w:after="0"/>
              <w:rPr>
                <w:sz w:val="20"/>
                <w:szCs w:val="20"/>
                <w:color w:val="auto"/>
              </w:rPr>
            </w:pPr>
            <w:r>
              <w:rPr>
                <w:rFonts w:ascii="Times New Roman" w:cs="Times New Roman" w:eastAsia="Times New Roman" w:hAnsi="Times New Roman"/>
                <w:sz w:val="14"/>
                <w:szCs w:val="14"/>
                <w:color w:val="auto"/>
              </w:rPr>
              <w:t>Total liabilities</w:t>
            </w:r>
          </w:p>
        </w:tc>
        <w:tc>
          <w:tcPr>
            <w:tcW w:w="1100" w:type="dxa"/>
            <w:vAlign w:val="bottom"/>
            <w:tcBorders>
              <w:bottom w:val="single" w:sz="8" w:color="auto"/>
            </w:tcBorders>
          </w:tcPr>
          <w:p>
            <w:pPr>
              <w:jc w:val="right"/>
              <w:ind w:right="953"/>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3,183</w:t>
            </w:r>
          </w:p>
        </w:tc>
        <w:tc>
          <w:tcPr>
            <w:tcW w:w="8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jc w:val="right"/>
              <w:ind w:right="28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3,262</w:t>
            </w:r>
          </w:p>
        </w:tc>
        <w:tc>
          <w:tcPr>
            <w:tcW w:w="0" w:type="dxa"/>
            <w:vAlign w:val="bottom"/>
          </w:tcPr>
          <w:p>
            <w:pPr>
              <w:spacing w:after="0"/>
              <w:rPr>
                <w:sz w:val="1"/>
                <w:szCs w:val="1"/>
                <w:color w:val="auto"/>
              </w:rPr>
            </w:pPr>
          </w:p>
        </w:tc>
      </w:tr>
      <w:tr>
        <w:trPr>
          <w:trHeight w:val="199"/>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 xml:space="preserve">COMMITMENTS AND CONTINGENCIES </w:t>
            </w:r>
            <w:r>
              <w:rPr>
                <w:rFonts w:ascii="Times New Roman" w:cs="Times New Roman" w:eastAsia="Times New Roman" w:hAnsi="Times New Roman"/>
                <w:sz w:val="14"/>
                <w:szCs w:val="14"/>
                <w:color w:val="auto"/>
              </w:rPr>
              <w:t>(Note 20)</w:t>
            </w:r>
          </w:p>
        </w:tc>
        <w:tc>
          <w:tcPr>
            <w:tcW w:w="1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80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EQUITY (DEFICIT)</w:t>
            </w:r>
          </w:p>
        </w:tc>
        <w:tc>
          <w:tcPr>
            <w:tcW w:w="1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Common Stock, par value $0.001; 1,000,000,000 and 1,000,000,000 shares authorized, 240,071,246 and 238,543,624 issued and</w:t>
            </w:r>
          </w:p>
        </w:tc>
        <w:tc>
          <w:tcPr>
            <w:tcW w:w="1100" w:type="dxa"/>
            <w:vAlign w:val="bottom"/>
            <w:shd w:val="clear" w:color="auto" w:fill="CCEEFF"/>
          </w:tcPr>
          <w:p>
            <w:pPr>
              <w:spacing w:after="0"/>
              <w:rPr>
                <w:sz w:val="15"/>
                <w:szCs w:val="15"/>
                <w:color w:val="auto"/>
              </w:rPr>
            </w:pPr>
          </w:p>
        </w:tc>
        <w:tc>
          <w:tcPr>
            <w:tcW w:w="5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shd w:val="clear" w:color="auto" w:fill="CCEEFF"/>
          </w:tcPr>
          <w:p>
            <w:pPr>
              <w:spacing w:after="0"/>
              <w:rPr>
                <w:sz w:val="15"/>
                <w:szCs w:val="15"/>
                <w:color w:val="auto"/>
              </w:rPr>
            </w:pP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5"/>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227,401,889 and 238,249,056 outstanding as of March 31, 2024 and December 31, 2023, respectively</w:t>
            </w:r>
          </w:p>
        </w:tc>
        <w:tc>
          <w:tcPr>
            <w:tcW w:w="1100" w:type="dxa"/>
            <w:vAlign w:val="bottom"/>
            <w:shd w:val="clear" w:color="auto" w:fill="CCEEFF"/>
          </w:tcPr>
          <w:p>
            <w:pPr>
              <w:spacing w:after="0"/>
              <w:rPr>
                <w:sz w:val="16"/>
                <w:szCs w:val="16"/>
                <w:color w:val="auto"/>
              </w:rPr>
            </w:pPr>
          </w:p>
        </w:tc>
        <w:tc>
          <w:tcPr>
            <w:tcW w:w="580" w:type="dxa"/>
            <w:vAlign w:val="bottom"/>
            <w:gridSpan w:val="2"/>
            <w:vMerge w:val="continue"/>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1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8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Additional paid–in capital</w:t>
            </w:r>
          </w:p>
        </w:tc>
        <w:tc>
          <w:tcPr>
            <w:tcW w:w="110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1,198</w:t>
            </w: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1,190</w:t>
            </w:r>
          </w:p>
        </w:tc>
        <w:tc>
          <w:tcPr>
            <w:tcW w:w="0" w:type="dxa"/>
            <w:vAlign w:val="bottom"/>
          </w:tcPr>
          <w:p>
            <w:pPr>
              <w:spacing w:after="0"/>
              <w:rPr>
                <w:sz w:val="1"/>
                <w:szCs w:val="1"/>
                <w:color w:val="auto"/>
              </w:rPr>
            </w:pPr>
          </w:p>
        </w:tc>
      </w:tr>
      <w:tr>
        <w:trPr>
          <w:trHeight w:val="208"/>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Retained deficit</w:t>
            </w:r>
          </w:p>
        </w:tc>
        <w:tc>
          <w:tcPr>
            <w:tcW w:w="1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(1,856)</w:t>
            </w: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(1,922)</w:t>
            </w:r>
          </w:p>
        </w:tc>
        <w:tc>
          <w:tcPr>
            <w:tcW w:w="0" w:type="dxa"/>
            <w:vAlign w:val="bottom"/>
          </w:tcPr>
          <w:p>
            <w:pPr>
              <w:spacing w:after="0"/>
              <w:rPr>
                <w:sz w:val="1"/>
                <w:szCs w:val="1"/>
                <w:color w:val="auto"/>
              </w:rPr>
            </w:pPr>
          </w:p>
        </w:tc>
      </w:tr>
      <w:tr>
        <w:trPr>
          <w:trHeight w:val="197"/>
        </w:trPr>
        <w:tc>
          <w:tcPr>
            <w:tcW w:w="8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Accumulated other comprehensive income (loss) (Note 17)</w:t>
            </w:r>
          </w:p>
        </w:tc>
        <w:tc>
          <w:tcPr>
            <w:tcW w:w="110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w:t>
            </w: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0" w:type="dxa"/>
            <w:vAlign w:val="bottom"/>
          </w:tcPr>
          <w:p>
            <w:pPr>
              <w:spacing w:after="0"/>
              <w:rPr>
                <w:sz w:val="1"/>
                <w:szCs w:val="1"/>
                <w:color w:val="auto"/>
              </w:rPr>
            </w:pPr>
          </w:p>
        </w:tc>
      </w:tr>
      <w:tr>
        <w:trPr>
          <w:trHeight w:val="208"/>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Treasury Stock, at cost; 12,669,357 and 0 shares as of March 31, 2024 and December 31, 2023, respectively (Note 15)</w:t>
            </w:r>
          </w:p>
        </w:tc>
        <w:tc>
          <w:tcPr>
            <w:tcW w:w="11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w:t>
            </w:r>
          </w:p>
        </w:tc>
        <w:tc>
          <w:tcPr>
            <w:tcW w:w="8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7"/>
        </w:trPr>
        <w:tc>
          <w:tcPr>
            <w:tcW w:w="8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Total deficit</w:t>
            </w:r>
          </w:p>
        </w:tc>
        <w:tc>
          <w:tcPr>
            <w:tcW w:w="110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(735)</w:t>
            </w:r>
          </w:p>
        </w:tc>
        <w:tc>
          <w:tcPr>
            <w:tcW w:w="8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(735)</w:t>
            </w:r>
          </w:p>
        </w:tc>
        <w:tc>
          <w:tcPr>
            <w:tcW w:w="0" w:type="dxa"/>
            <w:vAlign w:val="bottom"/>
          </w:tcPr>
          <w:p>
            <w:pPr>
              <w:spacing w:after="0"/>
              <w:rPr>
                <w:sz w:val="1"/>
                <w:szCs w:val="1"/>
                <w:color w:val="auto"/>
              </w:rPr>
            </w:pPr>
          </w:p>
        </w:tc>
      </w:tr>
      <w:tr>
        <w:trPr>
          <w:trHeight w:val="218"/>
        </w:trPr>
        <w:tc>
          <w:tcPr>
            <w:tcW w:w="8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liabilities and deficit</w:t>
            </w:r>
          </w:p>
        </w:tc>
        <w:tc>
          <w:tcPr>
            <w:tcW w:w="1100" w:type="dxa"/>
            <w:vAlign w:val="bottom"/>
            <w:tcBorders>
              <w:bottom w:val="single" w:sz="8" w:color="auto"/>
            </w:tcBorders>
            <w:shd w:val="clear" w:color="auto" w:fill="CCEEFF"/>
          </w:tcPr>
          <w:p>
            <w:pPr>
              <w:jc w:val="right"/>
              <w:ind w:right="953"/>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2,448</w:t>
            </w:r>
          </w:p>
        </w:tc>
        <w:tc>
          <w:tcPr>
            <w:tcW w:w="8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ind w:right="28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2,527</w:t>
            </w:r>
          </w:p>
        </w:tc>
        <w:tc>
          <w:tcPr>
            <w:tcW w:w="0" w:type="dxa"/>
            <w:vAlign w:val="bottom"/>
          </w:tcPr>
          <w:p>
            <w:pPr>
              <w:spacing w:after="0"/>
              <w:rPr>
                <w:sz w:val="1"/>
                <w:szCs w:val="1"/>
                <w:color w:val="auto"/>
              </w:rPr>
            </w:pP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14"/>
          <w:szCs w:val="14"/>
          <w:color w:val="auto"/>
        </w:rPr>
        <w:t>The Notes to the Consolidated Interim Financial Statements are an integral part of this statement.</w:t>
      </w:r>
    </w:p>
    <w:p>
      <w:pPr>
        <w:spacing w:after="0" w:line="297"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171450</wp:posOffset>
            </wp:positionV>
            <wp:extent cx="7186930"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62" w:right="319" w:bottom="1440" w:gutter="0" w:footer="0" w:header="0"/>
        </w:sectPr>
      </w:pPr>
    </w:p>
    <w:bookmarkStart w:id="5" w:name="page6"/>
    <w:bookmarkEnd w:id="5"/>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GARRETT MOTION INC.</w:t>
      </w:r>
    </w:p>
    <w:p>
      <w:pPr>
        <w:spacing w:after="0" w:line="25"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CONSOLIDATED INTERIM STATEMENTS OF CASH FLOWS</w:t>
      </w:r>
    </w:p>
    <w:p>
      <w:pPr>
        <w:spacing w:after="0" w:line="9"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8240" w:type="dxa"/>
            <w:vAlign w:val="bottom"/>
          </w:tcPr>
          <w:p>
            <w:pPr>
              <w:spacing w:after="0"/>
              <w:rPr>
                <w:sz w:val="13"/>
                <w:szCs w:val="13"/>
                <w:color w:val="auto"/>
              </w:rPr>
            </w:pPr>
          </w:p>
        </w:tc>
        <w:tc>
          <w:tcPr>
            <w:tcW w:w="2580" w:type="dxa"/>
            <w:vAlign w:val="bottom"/>
            <w:tcBorders>
              <w:bottom w:val="single" w:sz="8" w:color="auto"/>
            </w:tcBorders>
            <w:gridSpan w:val="4"/>
          </w:tcPr>
          <w:p>
            <w:pPr>
              <w:jc w:val="right"/>
              <w:ind w:right="191"/>
              <w:spacing w:after="0"/>
              <w:rPr>
                <w:sz w:val="20"/>
                <w:szCs w:val="20"/>
                <w:color w:val="auto"/>
              </w:rPr>
            </w:pPr>
            <w:r>
              <w:rPr>
                <w:rFonts w:ascii="Times New Roman" w:cs="Times New Roman" w:eastAsia="Times New Roman" w:hAnsi="Times New Roman"/>
                <w:sz w:val="11"/>
                <w:szCs w:val="11"/>
                <w:b w:val="1"/>
                <w:bCs w:val="1"/>
                <w:color w:val="auto"/>
              </w:rPr>
              <w:t>Three Months Ended March 31,</w:t>
            </w:r>
          </w:p>
        </w:tc>
        <w:tc>
          <w:tcPr>
            <w:tcW w:w="220" w:type="dxa"/>
            <w:vAlign w:val="bottom"/>
            <w:tcBorders>
              <w:bottom w:val="single" w:sz="8" w:color="auto"/>
            </w:tcBorders>
          </w:tcPr>
          <w:p>
            <w:pPr>
              <w:spacing w:after="0"/>
              <w:rPr>
                <w:sz w:val="13"/>
                <w:szCs w:val="13"/>
                <w:color w:val="auto"/>
              </w:rPr>
            </w:pPr>
          </w:p>
        </w:tc>
      </w:tr>
      <w:tr>
        <w:trPr>
          <w:trHeight w:val="161"/>
        </w:trPr>
        <w:tc>
          <w:tcPr>
            <w:tcW w:w="8240" w:type="dxa"/>
            <w:vAlign w:val="bottom"/>
          </w:tcPr>
          <w:p>
            <w:pPr>
              <w:spacing w:after="0"/>
              <w:rPr>
                <w:sz w:val="14"/>
                <w:szCs w:val="14"/>
                <w:color w:val="auto"/>
              </w:rPr>
            </w:pPr>
          </w:p>
        </w:tc>
        <w:tc>
          <w:tcPr>
            <w:tcW w:w="94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1"/>
                <w:szCs w:val="11"/>
                <w:b w:val="1"/>
                <w:bCs w:val="1"/>
                <w:color w:val="auto"/>
              </w:rPr>
              <w:t>2024</w:t>
            </w:r>
          </w:p>
        </w:tc>
        <w:tc>
          <w:tcPr>
            <w:tcW w:w="5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1"/>
                <w:szCs w:val="11"/>
                <w:b w:val="1"/>
                <w:bCs w:val="1"/>
                <w:color w:val="auto"/>
              </w:rPr>
              <w:t>2023</w:t>
            </w:r>
          </w:p>
        </w:tc>
        <w:tc>
          <w:tcPr>
            <w:tcW w:w="220" w:type="dxa"/>
            <w:vAlign w:val="bottom"/>
            <w:tcBorders>
              <w:bottom w:val="single" w:sz="8" w:color="auto"/>
            </w:tcBorders>
          </w:tcPr>
          <w:p>
            <w:pPr>
              <w:spacing w:after="0"/>
              <w:rPr>
                <w:sz w:val="14"/>
                <w:szCs w:val="14"/>
                <w:color w:val="auto"/>
              </w:rPr>
            </w:pPr>
          </w:p>
        </w:tc>
      </w:tr>
      <w:tr>
        <w:trPr>
          <w:trHeight w:val="161"/>
        </w:trPr>
        <w:tc>
          <w:tcPr>
            <w:tcW w:w="82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640" w:type="dxa"/>
            <w:vAlign w:val="bottom"/>
            <w:gridSpan w:val="3"/>
          </w:tcPr>
          <w:p>
            <w:pPr>
              <w:jc w:val="right"/>
              <w:ind w:right="511"/>
              <w:spacing w:after="0"/>
              <w:rPr>
                <w:sz w:val="20"/>
                <w:szCs w:val="20"/>
                <w:color w:val="auto"/>
              </w:rPr>
            </w:pPr>
            <w:r>
              <w:rPr>
                <w:rFonts w:ascii="Times New Roman" w:cs="Times New Roman" w:eastAsia="Times New Roman" w:hAnsi="Times New Roman"/>
                <w:sz w:val="11"/>
                <w:szCs w:val="11"/>
                <w:b w:val="1"/>
                <w:bCs w:val="1"/>
                <w:color w:val="auto"/>
              </w:rPr>
              <w:t>(Dollars in millions)</w:t>
            </w:r>
          </w:p>
        </w:tc>
        <w:tc>
          <w:tcPr>
            <w:tcW w:w="220" w:type="dxa"/>
            <w:vAlign w:val="bottom"/>
          </w:tcPr>
          <w:p>
            <w:pPr>
              <w:spacing w:after="0"/>
              <w:rPr>
                <w:sz w:val="13"/>
                <w:szCs w:val="13"/>
                <w:color w:val="auto"/>
              </w:rPr>
            </w:pPr>
          </w:p>
        </w:tc>
      </w:tr>
      <w:tr>
        <w:trPr>
          <w:trHeight w:val="192"/>
        </w:trPr>
        <w:tc>
          <w:tcPr>
            <w:tcW w:w="82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Cash flows from operating activities:</w:t>
            </w:r>
          </w:p>
        </w:tc>
        <w:tc>
          <w:tcPr>
            <w:tcW w:w="94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r>
      <w:tr>
        <w:trPr>
          <w:trHeight w:val="197"/>
        </w:trPr>
        <w:tc>
          <w:tcPr>
            <w:tcW w:w="8240" w:type="dxa"/>
            <w:vAlign w:val="bottom"/>
          </w:tcPr>
          <w:p>
            <w:pPr>
              <w:spacing w:after="0"/>
              <w:rPr>
                <w:sz w:val="20"/>
                <w:szCs w:val="20"/>
                <w:color w:val="auto"/>
              </w:rPr>
            </w:pPr>
            <w:r>
              <w:rPr>
                <w:rFonts w:ascii="Times New Roman" w:cs="Times New Roman" w:eastAsia="Times New Roman" w:hAnsi="Times New Roman"/>
                <w:sz w:val="13"/>
                <w:szCs w:val="13"/>
                <w:color w:val="auto"/>
              </w:rPr>
              <w:t>Net income</w:t>
            </w:r>
          </w:p>
        </w:tc>
        <w:tc>
          <w:tcPr>
            <w:tcW w:w="940" w:type="dxa"/>
            <w:vAlign w:val="bottom"/>
          </w:tcPr>
          <w:p>
            <w:pPr>
              <w:jc w:val="right"/>
              <w:ind w:right="773"/>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w:t>
            </w:r>
          </w:p>
        </w:tc>
        <w:tc>
          <w:tcPr>
            <w:tcW w:w="80" w:type="dxa"/>
            <w:vAlign w:val="bottom"/>
          </w:tcPr>
          <w:p>
            <w:pPr>
              <w:spacing w:after="0"/>
              <w:rPr>
                <w:sz w:val="17"/>
                <w:szCs w:val="17"/>
                <w:color w:val="auto"/>
              </w:rPr>
            </w:pPr>
          </w:p>
        </w:tc>
        <w:tc>
          <w:tcPr>
            <w:tcW w:w="1020" w:type="dxa"/>
            <w:vAlign w:val="bottom"/>
          </w:tcPr>
          <w:p>
            <w:pPr>
              <w:jc w:val="right"/>
              <w:ind w:right="871"/>
              <w:spacing w:after="0"/>
              <w:rPr>
                <w:sz w:val="20"/>
                <w:szCs w:val="20"/>
                <w:color w:val="auto"/>
              </w:rPr>
            </w:pPr>
            <w:r>
              <w:rPr>
                <w:rFonts w:ascii="Times New Roman" w:cs="Times New Roman" w:eastAsia="Times New Roman" w:hAnsi="Times New Roman"/>
                <w:sz w:val="14"/>
                <w:szCs w:val="14"/>
                <w:color w:val="auto"/>
                <w:w w:val="85"/>
              </w:rPr>
              <w:t>$</w:t>
            </w:r>
          </w:p>
        </w:tc>
        <w:tc>
          <w:tcPr>
            <w:tcW w:w="220" w:type="dxa"/>
            <w:vAlign w:val="bottom"/>
          </w:tcPr>
          <w:p>
            <w:pPr>
              <w:spacing w:after="0"/>
              <w:rPr>
                <w:sz w:val="17"/>
                <w:szCs w:val="17"/>
                <w:color w:val="auto"/>
              </w:rPr>
            </w:pPr>
          </w:p>
        </w:tc>
      </w:tr>
      <w:tr>
        <w:trPr>
          <w:trHeight w:val="197"/>
        </w:trPr>
        <w:tc>
          <w:tcPr>
            <w:tcW w:w="82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Adjustments to reconcile net income to net cash provided by operating activities</w:t>
            </w:r>
          </w:p>
        </w:tc>
        <w:tc>
          <w:tcPr>
            <w:tcW w:w="9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r>
      <w:tr>
        <w:trPr>
          <w:trHeight w:val="197"/>
        </w:trPr>
        <w:tc>
          <w:tcPr>
            <w:tcW w:w="824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Deferred income taxes</w:t>
            </w:r>
          </w:p>
        </w:tc>
        <w:tc>
          <w:tcPr>
            <w:tcW w:w="94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08"/>
        </w:trPr>
        <w:tc>
          <w:tcPr>
            <w:tcW w:w="82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Depreciation</w:t>
            </w:r>
          </w:p>
        </w:tc>
        <w:tc>
          <w:tcPr>
            <w:tcW w:w="9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197"/>
        </w:trPr>
        <w:tc>
          <w:tcPr>
            <w:tcW w:w="824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Amortization of deferred issuance costs</w:t>
            </w:r>
          </w:p>
        </w:tc>
        <w:tc>
          <w:tcPr>
            <w:tcW w:w="94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08"/>
        </w:trPr>
        <w:tc>
          <w:tcPr>
            <w:tcW w:w="82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Foreign exchange loss (gain)</w:t>
            </w:r>
          </w:p>
        </w:tc>
        <w:tc>
          <w:tcPr>
            <w:tcW w:w="9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197"/>
        </w:trPr>
        <w:tc>
          <w:tcPr>
            <w:tcW w:w="824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Stock compensation expense</w:t>
            </w:r>
          </w:p>
        </w:tc>
        <w:tc>
          <w:tcPr>
            <w:tcW w:w="94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08"/>
        </w:trPr>
        <w:tc>
          <w:tcPr>
            <w:tcW w:w="82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Unrealized (gain) loss on derivatives</w:t>
            </w:r>
          </w:p>
        </w:tc>
        <w:tc>
          <w:tcPr>
            <w:tcW w:w="9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197"/>
        </w:trPr>
        <w:tc>
          <w:tcPr>
            <w:tcW w:w="824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Other</w:t>
            </w:r>
          </w:p>
        </w:tc>
        <w:tc>
          <w:tcPr>
            <w:tcW w:w="94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197"/>
        </w:trPr>
        <w:tc>
          <w:tcPr>
            <w:tcW w:w="82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Changes in assets and liabilities:</w:t>
            </w:r>
          </w:p>
        </w:tc>
        <w:tc>
          <w:tcPr>
            <w:tcW w:w="9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r>
      <w:tr>
        <w:trPr>
          <w:trHeight w:val="197"/>
        </w:trPr>
        <w:tc>
          <w:tcPr>
            <w:tcW w:w="824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Accounts, notes and other receivables</w:t>
            </w:r>
          </w:p>
        </w:tc>
        <w:tc>
          <w:tcPr>
            <w:tcW w:w="94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8"/>
        </w:trPr>
        <w:tc>
          <w:tcPr>
            <w:tcW w:w="82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Inventories</w:t>
            </w:r>
          </w:p>
        </w:tc>
        <w:tc>
          <w:tcPr>
            <w:tcW w:w="9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7"/>
        </w:trPr>
        <w:tc>
          <w:tcPr>
            <w:tcW w:w="824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Other assets</w:t>
            </w:r>
          </w:p>
        </w:tc>
        <w:tc>
          <w:tcPr>
            <w:tcW w:w="94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8"/>
        </w:trPr>
        <w:tc>
          <w:tcPr>
            <w:tcW w:w="82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Accounts payable</w:t>
            </w:r>
          </w:p>
        </w:tc>
        <w:tc>
          <w:tcPr>
            <w:tcW w:w="9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197"/>
        </w:trPr>
        <w:tc>
          <w:tcPr>
            <w:tcW w:w="824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Accrued liabilities</w:t>
            </w:r>
          </w:p>
        </w:tc>
        <w:tc>
          <w:tcPr>
            <w:tcW w:w="94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08"/>
        </w:trPr>
        <w:tc>
          <w:tcPr>
            <w:tcW w:w="82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Other liabilities</w:t>
            </w:r>
          </w:p>
        </w:tc>
        <w:tc>
          <w:tcPr>
            <w:tcW w:w="94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80" w:type="dxa"/>
            <w:vAlign w:val="bottom"/>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r>
      <w:tr>
        <w:trPr>
          <w:trHeight w:val="187"/>
        </w:trPr>
        <w:tc>
          <w:tcPr>
            <w:tcW w:w="82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3"/>
                <w:szCs w:val="13"/>
                <w:color w:val="auto"/>
              </w:rPr>
              <w:t>Net cash provided by operating activities</w:t>
            </w:r>
          </w:p>
        </w:tc>
        <w:tc>
          <w:tcPr>
            <w:tcW w:w="940" w:type="dxa"/>
            <w:vAlign w:val="bottom"/>
            <w:tcBorders>
              <w:bottom w:val="single" w:sz="8" w:color="auto"/>
            </w:tcBorders>
          </w:tcPr>
          <w:p>
            <w:pPr>
              <w:jc w:val="right"/>
              <w:ind w:right="773"/>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84</w:t>
            </w:r>
          </w:p>
        </w:tc>
        <w:tc>
          <w:tcPr>
            <w:tcW w:w="8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right"/>
              <w:ind w:right="871"/>
              <w:spacing w:after="0"/>
              <w:rPr>
                <w:sz w:val="20"/>
                <w:szCs w:val="20"/>
                <w:color w:val="auto"/>
              </w:rPr>
            </w:pPr>
            <w:r>
              <w:rPr>
                <w:rFonts w:ascii="Times New Roman" w:cs="Times New Roman" w:eastAsia="Times New Roman" w:hAnsi="Times New Roman"/>
                <w:sz w:val="14"/>
                <w:szCs w:val="14"/>
                <w:color w:val="auto"/>
                <w:w w:val="85"/>
              </w:rPr>
              <w:t>$</w:t>
            </w:r>
          </w:p>
        </w:tc>
        <w:tc>
          <w:tcPr>
            <w:tcW w:w="220" w:type="dxa"/>
            <w:vAlign w:val="bottom"/>
            <w:tcBorders>
              <w:bottom w:val="single" w:sz="8" w:color="auto"/>
            </w:tcBorders>
          </w:tcPr>
          <w:p>
            <w:pPr>
              <w:spacing w:after="0"/>
              <w:rPr>
                <w:sz w:val="16"/>
                <w:szCs w:val="16"/>
                <w:color w:val="auto"/>
              </w:rPr>
            </w:pPr>
          </w:p>
        </w:tc>
      </w:tr>
      <w:tr>
        <w:trPr>
          <w:trHeight w:val="177"/>
        </w:trPr>
        <w:tc>
          <w:tcPr>
            <w:tcW w:w="82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Cash flows from investing activities:</w:t>
            </w:r>
          </w:p>
        </w:tc>
        <w:tc>
          <w:tcPr>
            <w:tcW w:w="94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r>
      <w:tr>
        <w:trPr>
          <w:trHeight w:val="197"/>
        </w:trPr>
        <w:tc>
          <w:tcPr>
            <w:tcW w:w="8240" w:type="dxa"/>
            <w:vAlign w:val="bottom"/>
          </w:tcPr>
          <w:p>
            <w:pPr>
              <w:spacing w:after="0"/>
              <w:rPr>
                <w:sz w:val="20"/>
                <w:szCs w:val="20"/>
                <w:color w:val="auto"/>
              </w:rPr>
            </w:pPr>
            <w:r>
              <w:rPr>
                <w:rFonts w:ascii="Times New Roman" w:cs="Times New Roman" w:eastAsia="Times New Roman" w:hAnsi="Times New Roman"/>
                <w:sz w:val="13"/>
                <w:szCs w:val="13"/>
                <w:color w:val="auto"/>
              </w:rPr>
              <w:t>Expenditures for property, plant and equipment</w:t>
            </w:r>
          </w:p>
        </w:tc>
        <w:tc>
          <w:tcPr>
            <w:tcW w:w="94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357"/>
        </w:trPr>
        <w:tc>
          <w:tcPr>
            <w:tcW w:w="82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Proceeds from cross-currency swap contracts</w:t>
            </w:r>
          </w:p>
        </w:tc>
        <w:tc>
          <w:tcPr>
            <w:tcW w:w="940" w:type="dxa"/>
            <w:vAlign w:val="bottom"/>
            <w:tcBorders>
              <w:bottom w:val="single" w:sz="8" w:color="auto"/>
            </w:tcBorders>
            <w:shd w:val="clear" w:color="auto" w:fill="CCEEFF"/>
          </w:tcPr>
          <w:p>
            <w:pPr>
              <w:spacing w:after="0"/>
              <w:rPr>
                <w:sz w:val="24"/>
                <w:szCs w:val="24"/>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80" w:type="dxa"/>
            <w:vAlign w:val="bottom"/>
            <w:shd w:val="clear" w:color="auto" w:fill="CCEEFF"/>
          </w:tcPr>
          <w:p>
            <w:pPr>
              <w:spacing w:after="0"/>
              <w:rPr>
                <w:sz w:val="24"/>
                <w:szCs w:val="24"/>
                <w:color w:val="auto"/>
              </w:rPr>
            </w:pPr>
          </w:p>
        </w:tc>
        <w:tc>
          <w:tcPr>
            <w:tcW w:w="1020" w:type="dxa"/>
            <w:vAlign w:val="bottom"/>
            <w:tcBorders>
              <w:bottom w:val="single" w:sz="8" w:color="auto"/>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spacing w:after="0"/>
              <w:rPr>
                <w:sz w:val="24"/>
                <w:szCs w:val="24"/>
                <w:color w:val="auto"/>
              </w:rPr>
            </w:pPr>
          </w:p>
        </w:tc>
      </w:tr>
      <w:tr>
        <w:trPr>
          <w:trHeight w:val="187"/>
        </w:trPr>
        <w:tc>
          <w:tcPr>
            <w:tcW w:w="82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3"/>
                <w:szCs w:val="13"/>
                <w:color w:val="auto"/>
              </w:rPr>
              <w:t>Net cash used for investing activities</w:t>
            </w:r>
          </w:p>
        </w:tc>
        <w:tc>
          <w:tcPr>
            <w:tcW w:w="940" w:type="dxa"/>
            <w:vAlign w:val="bottom"/>
            <w:tcBorders>
              <w:bottom w:val="single" w:sz="8" w:color="auto"/>
            </w:tcBorders>
          </w:tcPr>
          <w:p>
            <w:pPr>
              <w:jc w:val="right"/>
              <w:ind w:right="773"/>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8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right"/>
              <w:ind w:right="871"/>
              <w:spacing w:after="0"/>
              <w:rPr>
                <w:sz w:val="20"/>
                <w:szCs w:val="20"/>
                <w:color w:val="auto"/>
              </w:rPr>
            </w:pPr>
            <w:r>
              <w:rPr>
                <w:rFonts w:ascii="Times New Roman" w:cs="Times New Roman" w:eastAsia="Times New Roman" w:hAnsi="Times New Roman"/>
                <w:sz w:val="14"/>
                <w:szCs w:val="14"/>
                <w:color w:val="auto"/>
                <w:w w:val="85"/>
              </w:rPr>
              <w:t>$</w:t>
            </w:r>
          </w:p>
        </w:tc>
        <w:tc>
          <w:tcPr>
            <w:tcW w:w="220" w:type="dxa"/>
            <w:vAlign w:val="bottom"/>
            <w:tcBorders>
              <w:bottom w:val="single" w:sz="8" w:color="auto"/>
            </w:tcBorders>
          </w:tcPr>
          <w:p>
            <w:pPr>
              <w:spacing w:after="0"/>
              <w:rPr>
                <w:sz w:val="16"/>
                <w:szCs w:val="16"/>
                <w:color w:val="auto"/>
              </w:rPr>
            </w:pPr>
          </w:p>
        </w:tc>
      </w:tr>
      <w:tr>
        <w:trPr>
          <w:trHeight w:val="177"/>
        </w:trPr>
        <w:tc>
          <w:tcPr>
            <w:tcW w:w="82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Cash flows from financing activities:</w:t>
            </w:r>
          </w:p>
        </w:tc>
        <w:tc>
          <w:tcPr>
            <w:tcW w:w="94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r>
      <w:tr>
        <w:trPr>
          <w:trHeight w:val="197"/>
        </w:trPr>
        <w:tc>
          <w:tcPr>
            <w:tcW w:w="8240" w:type="dxa"/>
            <w:vAlign w:val="bottom"/>
          </w:tcPr>
          <w:p>
            <w:pPr>
              <w:spacing w:after="0"/>
              <w:rPr>
                <w:sz w:val="20"/>
                <w:szCs w:val="20"/>
                <w:color w:val="auto"/>
              </w:rPr>
            </w:pPr>
            <w:r>
              <w:rPr>
                <w:rFonts w:ascii="Times New Roman" w:cs="Times New Roman" w:eastAsia="Times New Roman" w:hAnsi="Times New Roman"/>
                <w:sz w:val="13"/>
                <w:szCs w:val="13"/>
                <w:color w:val="auto"/>
              </w:rPr>
              <w:t>Payments of long-term debt</w:t>
            </w:r>
          </w:p>
        </w:tc>
        <w:tc>
          <w:tcPr>
            <w:tcW w:w="94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08"/>
        </w:trPr>
        <w:tc>
          <w:tcPr>
            <w:tcW w:w="82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Repurchases of Common Stock</w:t>
            </w:r>
          </w:p>
        </w:tc>
        <w:tc>
          <w:tcPr>
            <w:tcW w:w="9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w:t>
            </w: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197"/>
        </w:trPr>
        <w:tc>
          <w:tcPr>
            <w:tcW w:w="8240" w:type="dxa"/>
            <w:vAlign w:val="bottom"/>
          </w:tcPr>
          <w:p>
            <w:pPr>
              <w:spacing w:after="0"/>
              <w:rPr>
                <w:sz w:val="20"/>
                <w:szCs w:val="20"/>
                <w:color w:val="auto"/>
              </w:rPr>
            </w:pPr>
            <w:r>
              <w:rPr>
                <w:rFonts w:ascii="Times New Roman" w:cs="Times New Roman" w:eastAsia="Times New Roman" w:hAnsi="Times New Roman"/>
                <w:sz w:val="13"/>
                <w:szCs w:val="13"/>
                <w:color w:val="auto"/>
              </w:rPr>
              <w:t>Payments for preference dividends</w:t>
            </w:r>
          </w:p>
        </w:tc>
        <w:tc>
          <w:tcPr>
            <w:tcW w:w="940" w:type="dxa"/>
            <w:vAlign w:val="bottom"/>
          </w:tcPr>
          <w:p>
            <w:pPr>
              <w:spacing w:after="0"/>
              <w:rPr>
                <w:sz w:val="17"/>
                <w:szCs w:val="17"/>
                <w:color w:val="auto"/>
              </w:rPr>
            </w:pP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spacing w:after="0"/>
              <w:rPr>
                <w:sz w:val="17"/>
                <w:szCs w:val="17"/>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2"/>
        </w:trPr>
        <w:tc>
          <w:tcPr>
            <w:tcW w:w="82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Other</w:t>
            </w:r>
          </w:p>
        </w:tc>
        <w:tc>
          <w:tcPr>
            <w:tcW w:w="940" w:type="dxa"/>
            <w:vAlign w:val="bottom"/>
            <w:tcBorders>
              <w:bottom w:val="single" w:sz="8" w:color="auto"/>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r>
      <w:tr>
        <w:trPr>
          <w:trHeight w:val="193"/>
        </w:trPr>
        <w:tc>
          <w:tcPr>
            <w:tcW w:w="82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3"/>
                <w:szCs w:val="13"/>
                <w:color w:val="auto"/>
              </w:rPr>
              <w:t>Net cash used for financing activities</w:t>
            </w:r>
          </w:p>
        </w:tc>
        <w:tc>
          <w:tcPr>
            <w:tcW w:w="940" w:type="dxa"/>
            <w:vAlign w:val="bottom"/>
            <w:tcBorders>
              <w:bottom w:val="single" w:sz="8" w:color="auto"/>
            </w:tcBorders>
          </w:tcPr>
          <w:p>
            <w:pPr>
              <w:jc w:val="right"/>
              <w:ind w:right="773"/>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(112)</w:t>
            </w:r>
          </w:p>
        </w:tc>
        <w:tc>
          <w:tcPr>
            <w:tcW w:w="8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right"/>
              <w:ind w:right="871"/>
              <w:spacing w:after="0"/>
              <w:rPr>
                <w:sz w:val="20"/>
                <w:szCs w:val="20"/>
                <w:color w:val="auto"/>
              </w:rPr>
            </w:pPr>
            <w:r>
              <w:rPr>
                <w:rFonts w:ascii="Times New Roman" w:cs="Times New Roman" w:eastAsia="Times New Roman" w:hAnsi="Times New Roman"/>
                <w:sz w:val="14"/>
                <w:szCs w:val="14"/>
                <w:color w:val="auto"/>
                <w:w w:val="85"/>
              </w:rPr>
              <w:t>$</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9"/>
        </w:trPr>
        <w:tc>
          <w:tcPr>
            <w:tcW w:w="82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Effect of foreign exchange rate changes on cash, cash equivalents and restricted cash</w:t>
            </w:r>
          </w:p>
        </w:tc>
        <w:tc>
          <w:tcPr>
            <w:tcW w:w="940" w:type="dxa"/>
            <w:vAlign w:val="bottom"/>
            <w:tcBorders>
              <w:bottom w:val="single" w:sz="8" w:color="auto"/>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80" w:type="dxa"/>
            <w:vAlign w:val="bottom"/>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r>
      <w:tr>
        <w:trPr>
          <w:trHeight w:val="187"/>
        </w:trPr>
        <w:tc>
          <w:tcPr>
            <w:tcW w:w="8240" w:type="dxa"/>
            <w:vAlign w:val="bottom"/>
          </w:tcPr>
          <w:p>
            <w:pPr>
              <w:spacing w:after="0"/>
              <w:rPr>
                <w:sz w:val="20"/>
                <w:szCs w:val="20"/>
                <w:color w:val="auto"/>
              </w:rPr>
            </w:pPr>
            <w:r>
              <w:rPr>
                <w:rFonts w:ascii="Times New Roman" w:cs="Times New Roman" w:eastAsia="Times New Roman" w:hAnsi="Times New Roman"/>
                <w:sz w:val="13"/>
                <w:szCs w:val="13"/>
                <w:color w:val="auto"/>
              </w:rPr>
              <w:t>Net (decrease) increase in cash, cash equivalents and restricted cash</w:t>
            </w:r>
          </w:p>
        </w:tc>
        <w:tc>
          <w:tcPr>
            <w:tcW w:w="94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w:t>
            </w:r>
          </w:p>
        </w:tc>
        <w:tc>
          <w:tcPr>
            <w:tcW w:w="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20" w:type="dxa"/>
            <w:vAlign w:val="bottom"/>
          </w:tcPr>
          <w:p>
            <w:pPr>
              <w:spacing w:after="0"/>
              <w:rPr>
                <w:sz w:val="16"/>
                <w:szCs w:val="16"/>
                <w:color w:val="auto"/>
              </w:rPr>
            </w:pPr>
          </w:p>
        </w:tc>
      </w:tr>
      <w:tr>
        <w:trPr>
          <w:trHeight w:val="208"/>
        </w:trPr>
        <w:tc>
          <w:tcPr>
            <w:tcW w:w="82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Cash, cash equivalents and restricted cash at beginning of the period</w:t>
            </w:r>
          </w:p>
        </w:tc>
        <w:tc>
          <w:tcPr>
            <w:tcW w:w="94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260</w:t>
            </w:r>
          </w:p>
        </w:tc>
        <w:tc>
          <w:tcPr>
            <w:tcW w:w="80" w:type="dxa"/>
            <w:vAlign w:val="bottom"/>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r>
      <w:tr>
        <w:trPr>
          <w:trHeight w:val="187"/>
        </w:trPr>
        <w:tc>
          <w:tcPr>
            <w:tcW w:w="8240" w:type="dxa"/>
            <w:vAlign w:val="bottom"/>
          </w:tcPr>
          <w:p>
            <w:pPr>
              <w:spacing w:after="0"/>
              <w:rPr>
                <w:sz w:val="20"/>
                <w:szCs w:val="20"/>
                <w:color w:val="auto"/>
              </w:rPr>
            </w:pPr>
            <w:r>
              <w:rPr>
                <w:rFonts w:ascii="Times New Roman" w:cs="Times New Roman" w:eastAsia="Times New Roman" w:hAnsi="Times New Roman"/>
                <w:sz w:val="13"/>
                <w:szCs w:val="13"/>
                <w:color w:val="auto"/>
              </w:rPr>
              <w:t>Cash, cash equivalents and restricted cash at end of the period</w:t>
            </w:r>
          </w:p>
        </w:tc>
        <w:tc>
          <w:tcPr>
            <w:tcW w:w="940" w:type="dxa"/>
            <w:vAlign w:val="bottom"/>
            <w:tcBorders>
              <w:bottom w:val="single" w:sz="8" w:color="auto"/>
            </w:tcBorders>
          </w:tcPr>
          <w:p>
            <w:pPr>
              <w:jc w:val="right"/>
              <w:ind w:right="773"/>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197</w:t>
            </w:r>
          </w:p>
        </w:tc>
        <w:tc>
          <w:tcPr>
            <w:tcW w:w="80" w:type="dxa"/>
            <w:vAlign w:val="bottom"/>
          </w:tcPr>
          <w:p>
            <w:pPr>
              <w:spacing w:after="0"/>
              <w:rPr>
                <w:sz w:val="16"/>
                <w:szCs w:val="16"/>
                <w:color w:val="auto"/>
              </w:rPr>
            </w:pPr>
          </w:p>
        </w:tc>
        <w:tc>
          <w:tcPr>
            <w:tcW w:w="1020" w:type="dxa"/>
            <w:vAlign w:val="bottom"/>
            <w:tcBorders>
              <w:bottom w:val="single" w:sz="8" w:color="auto"/>
            </w:tcBorders>
          </w:tcPr>
          <w:p>
            <w:pPr>
              <w:jc w:val="right"/>
              <w:ind w:right="871"/>
              <w:spacing w:after="0"/>
              <w:rPr>
                <w:sz w:val="20"/>
                <w:szCs w:val="20"/>
                <w:color w:val="auto"/>
              </w:rPr>
            </w:pPr>
            <w:r>
              <w:rPr>
                <w:rFonts w:ascii="Times New Roman" w:cs="Times New Roman" w:eastAsia="Times New Roman" w:hAnsi="Times New Roman"/>
                <w:sz w:val="14"/>
                <w:szCs w:val="14"/>
                <w:color w:val="auto"/>
                <w:w w:val="85"/>
              </w:rPr>
              <w:t>$</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w:t>
            </w:r>
          </w:p>
        </w:tc>
      </w:tr>
      <w:tr>
        <w:trPr>
          <w:trHeight w:val="20"/>
        </w:trPr>
        <w:tc>
          <w:tcPr>
            <w:tcW w:w="824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r>
      <w:tr>
        <w:trPr>
          <w:trHeight w:val="159"/>
        </w:trPr>
        <w:tc>
          <w:tcPr>
            <w:tcW w:w="82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Supplemental cash flow disclosure:</w:t>
            </w:r>
          </w:p>
        </w:tc>
        <w:tc>
          <w:tcPr>
            <w:tcW w:w="94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r>
      <w:tr>
        <w:trPr>
          <w:trHeight w:val="197"/>
        </w:trPr>
        <w:tc>
          <w:tcPr>
            <w:tcW w:w="824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Income taxes paid (net of refunds)</w:t>
            </w:r>
          </w:p>
        </w:tc>
        <w:tc>
          <w:tcPr>
            <w:tcW w:w="940" w:type="dxa"/>
            <w:vAlign w:val="bottom"/>
          </w:tcPr>
          <w:p>
            <w:pPr>
              <w:jc w:val="right"/>
              <w:ind w:right="773"/>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80" w:type="dxa"/>
            <w:vAlign w:val="bottom"/>
          </w:tcPr>
          <w:p>
            <w:pPr>
              <w:spacing w:after="0"/>
              <w:rPr>
                <w:sz w:val="17"/>
                <w:szCs w:val="17"/>
                <w:color w:val="auto"/>
              </w:rPr>
            </w:pPr>
          </w:p>
        </w:tc>
        <w:tc>
          <w:tcPr>
            <w:tcW w:w="1020" w:type="dxa"/>
            <w:vAlign w:val="bottom"/>
          </w:tcPr>
          <w:p>
            <w:pPr>
              <w:jc w:val="right"/>
              <w:ind w:right="871"/>
              <w:spacing w:after="0"/>
              <w:rPr>
                <w:sz w:val="20"/>
                <w:szCs w:val="20"/>
                <w:color w:val="auto"/>
              </w:rPr>
            </w:pPr>
            <w:r>
              <w:rPr>
                <w:rFonts w:ascii="Times New Roman" w:cs="Times New Roman" w:eastAsia="Times New Roman" w:hAnsi="Times New Roman"/>
                <w:sz w:val="14"/>
                <w:szCs w:val="14"/>
                <w:color w:val="auto"/>
                <w:w w:val="85"/>
              </w:rPr>
              <w:t>$</w:t>
            </w:r>
          </w:p>
        </w:tc>
        <w:tc>
          <w:tcPr>
            <w:tcW w:w="220" w:type="dxa"/>
            <w:vAlign w:val="bottom"/>
          </w:tcPr>
          <w:p>
            <w:pPr>
              <w:spacing w:after="0"/>
              <w:rPr>
                <w:sz w:val="17"/>
                <w:szCs w:val="17"/>
                <w:color w:val="auto"/>
              </w:rPr>
            </w:pPr>
          </w:p>
        </w:tc>
      </w:tr>
      <w:tr>
        <w:trPr>
          <w:trHeight w:val="208"/>
        </w:trPr>
        <w:tc>
          <w:tcPr>
            <w:tcW w:w="82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Interest paid</w:t>
            </w:r>
          </w:p>
        </w:tc>
        <w:tc>
          <w:tcPr>
            <w:tcW w:w="9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bl>
    <w:p>
      <w:pPr>
        <w:spacing w:after="0" w:line="230"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4"/>
          <w:szCs w:val="14"/>
          <w:color w:val="auto"/>
        </w:rPr>
        <w:t>The Notes to the Consolidated Interim Financial Statements are an integral part of this statement</w:t>
      </w:r>
    </w:p>
    <w:p>
      <w:pPr>
        <w:spacing w:after="0" w:line="286"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178435</wp:posOffset>
            </wp:positionV>
            <wp:extent cx="7186930"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040"/>
          </w:cols>
          <w:pgMar w:left="620" w:top="762" w:right="239" w:bottom="1440" w:gutter="0" w:footer="0" w:header="0"/>
        </w:sectPr>
      </w:pPr>
    </w:p>
    <w:bookmarkStart w:id="6" w:name="page7"/>
    <w:bookmarkEnd w:id="6"/>
    <w:p>
      <w:pPr>
        <w:jc w:val="center"/>
        <w:ind w:right="-419"/>
        <w:spacing w:after="0"/>
        <w:rPr>
          <w:sz w:val="20"/>
          <w:szCs w:val="20"/>
          <w:color w:val="auto"/>
        </w:rPr>
      </w:pPr>
      <w:r>
        <w:rPr>
          <w:rFonts w:ascii="Times New Roman" w:cs="Times New Roman" w:eastAsia="Times New Roman" w:hAnsi="Times New Roman"/>
          <w:sz w:val="14"/>
          <w:szCs w:val="14"/>
          <w:b w:val="1"/>
          <w:bCs w:val="1"/>
          <w:color w:val="auto"/>
        </w:rPr>
        <w:t>GARRETT MOTION INC.</w:t>
      </w:r>
    </w:p>
    <w:p>
      <w:pPr>
        <w:spacing w:after="0" w:line="25"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4"/>
          <w:szCs w:val="14"/>
          <w:b w:val="1"/>
          <w:bCs w:val="1"/>
          <w:color w:val="auto"/>
        </w:rPr>
        <w:t>CONSOLIDATED INTERIM STATEMENTS OF EQUITY (DEFICIT)</w:t>
      </w:r>
    </w:p>
    <w:p>
      <w:pPr>
        <w:spacing w:after="0" w:line="9"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28"/>
        </w:trPr>
        <w:tc>
          <w:tcPr>
            <w:tcW w:w="3040" w:type="dxa"/>
            <w:vAlign w:val="bottom"/>
          </w:tcPr>
          <w:p>
            <w:pPr>
              <w:spacing w:after="0"/>
              <w:rPr>
                <w:sz w:val="11"/>
                <w:szCs w:val="11"/>
                <w:color w:val="auto"/>
              </w:rPr>
            </w:pPr>
          </w:p>
        </w:tc>
        <w:tc>
          <w:tcPr>
            <w:tcW w:w="1440" w:type="dxa"/>
            <w:vAlign w:val="bottom"/>
            <w:gridSpan w:val="5"/>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rPr>
              <w:t>Series A</w:t>
            </w: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1"/>
                <w:szCs w:val="11"/>
                <w:b w:val="1"/>
                <w:bCs w:val="1"/>
                <w:color w:val="auto"/>
              </w:rPr>
              <w:t>Additional</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rPr>
              <w:t>Accumulated Other</w:t>
            </w: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3"/>
        </w:trPr>
        <w:tc>
          <w:tcPr>
            <w:tcW w:w="3040" w:type="dxa"/>
            <w:vAlign w:val="bottom"/>
          </w:tcPr>
          <w:p>
            <w:pPr>
              <w:spacing w:after="0"/>
              <w:rPr>
                <w:sz w:val="4"/>
                <w:szCs w:val="4"/>
                <w:color w:val="auto"/>
              </w:rPr>
            </w:pPr>
          </w:p>
        </w:tc>
        <w:tc>
          <w:tcPr>
            <w:tcW w:w="1360" w:type="dxa"/>
            <w:vAlign w:val="bottom"/>
            <w:gridSpan w:val="4"/>
            <w:vMerge w:val="restart"/>
          </w:tcPr>
          <w:p>
            <w:pPr>
              <w:jc w:val="center"/>
              <w:spacing w:after="0"/>
              <w:rPr>
                <w:sz w:val="20"/>
                <w:szCs w:val="20"/>
                <w:color w:val="auto"/>
              </w:rPr>
            </w:pPr>
            <w:r>
              <w:rPr>
                <w:rFonts w:ascii="Times New Roman" w:cs="Times New Roman" w:eastAsia="Times New Roman" w:hAnsi="Times New Roman"/>
                <w:sz w:val="11"/>
                <w:szCs w:val="11"/>
                <w:b w:val="1"/>
                <w:bCs w:val="1"/>
                <w:color w:val="auto"/>
              </w:rPr>
              <w:t>Preferred Stock</w:t>
            </w:r>
          </w:p>
        </w:tc>
        <w:tc>
          <w:tcPr>
            <w:tcW w:w="80" w:type="dxa"/>
            <w:vAlign w:val="bottom"/>
            <w:vMerge w:val="restart"/>
          </w:tcPr>
          <w:p>
            <w:pPr>
              <w:spacing w:after="0"/>
              <w:rPr>
                <w:sz w:val="4"/>
                <w:szCs w:val="4"/>
                <w:color w:val="auto"/>
              </w:rPr>
            </w:pPr>
          </w:p>
        </w:tc>
        <w:tc>
          <w:tcPr>
            <w:tcW w:w="1360" w:type="dxa"/>
            <w:vAlign w:val="bottom"/>
            <w:gridSpan w:val="4"/>
            <w:vMerge w:val="restart"/>
          </w:tcPr>
          <w:p>
            <w:pPr>
              <w:ind w:left="300"/>
              <w:spacing w:after="0"/>
              <w:rPr>
                <w:sz w:val="20"/>
                <w:szCs w:val="20"/>
                <w:color w:val="auto"/>
              </w:rPr>
            </w:pPr>
            <w:r>
              <w:rPr>
                <w:rFonts w:ascii="Times New Roman" w:cs="Times New Roman" w:eastAsia="Times New Roman" w:hAnsi="Times New Roman"/>
                <w:sz w:val="11"/>
                <w:szCs w:val="11"/>
                <w:b w:val="1"/>
                <w:bCs w:val="1"/>
                <w:color w:val="auto"/>
              </w:rPr>
              <w:t>Common Stock</w:t>
            </w:r>
          </w:p>
        </w:tc>
        <w:tc>
          <w:tcPr>
            <w:tcW w:w="80" w:type="dxa"/>
            <w:vAlign w:val="bottom"/>
            <w:vMerge w:val="restart"/>
          </w:tcPr>
          <w:p>
            <w:pPr>
              <w:spacing w:after="0"/>
              <w:rPr>
                <w:sz w:val="4"/>
                <w:szCs w:val="4"/>
                <w:color w:val="auto"/>
              </w:rPr>
            </w:pPr>
          </w:p>
        </w:tc>
        <w:tc>
          <w:tcPr>
            <w:tcW w:w="1360" w:type="dxa"/>
            <w:vAlign w:val="bottom"/>
            <w:gridSpan w:val="4"/>
            <w:vMerge w:val="restart"/>
          </w:tcPr>
          <w:p>
            <w:pPr>
              <w:jc w:val="right"/>
              <w:ind w:right="238"/>
              <w:spacing w:after="0"/>
              <w:rPr>
                <w:sz w:val="20"/>
                <w:szCs w:val="20"/>
                <w:color w:val="auto"/>
              </w:rPr>
            </w:pPr>
            <w:r>
              <w:rPr>
                <w:rFonts w:ascii="Times New Roman" w:cs="Times New Roman" w:eastAsia="Times New Roman" w:hAnsi="Times New Roman"/>
                <w:sz w:val="11"/>
                <w:szCs w:val="11"/>
                <w:b w:val="1"/>
                <w:bCs w:val="1"/>
                <w:color w:val="auto"/>
              </w:rPr>
              <w:t>Treasury Stock</w:t>
            </w:r>
          </w:p>
        </w:tc>
        <w:tc>
          <w:tcPr>
            <w:tcW w:w="140" w:type="dxa"/>
            <w:vAlign w:val="bottom"/>
            <w:vMerge w:val="restart"/>
          </w:tcPr>
          <w:p>
            <w:pPr>
              <w:spacing w:after="0"/>
              <w:rPr>
                <w:sz w:val="4"/>
                <w:szCs w:val="4"/>
                <w:color w:val="auto"/>
              </w:rPr>
            </w:pPr>
          </w:p>
        </w:tc>
        <w:tc>
          <w:tcPr>
            <w:tcW w:w="800" w:type="dxa"/>
            <w:vAlign w:val="bottom"/>
            <w:gridSpan w:val="2"/>
            <w:vMerge w:val="continue"/>
          </w:tcPr>
          <w:p>
            <w:pPr>
              <w:spacing w:after="0"/>
              <w:rPr>
                <w:sz w:val="4"/>
                <w:szCs w:val="4"/>
                <w:color w:val="auto"/>
              </w:rPr>
            </w:pPr>
          </w:p>
        </w:tc>
        <w:tc>
          <w:tcPr>
            <w:tcW w:w="120" w:type="dxa"/>
            <w:vAlign w:val="bottom"/>
          </w:tcPr>
          <w:p>
            <w:pPr>
              <w:spacing w:after="0"/>
              <w:rPr>
                <w:sz w:val="4"/>
                <w:szCs w:val="4"/>
                <w:color w:val="auto"/>
              </w:rPr>
            </w:pPr>
          </w:p>
        </w:tc>
        <w:tc>
          <w:tcPr>
            <w:tcW w:w="66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6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20"/>
        </w:trPr>
        <w:tc>
          <w:tcPr>
            <w:tcW w:w="3040" w:type="dxa"/>
            <w:vAlign w:val="bottom"/>
          </w:tcPr>
          <w:p>
            <w:pPr>
              <w:spacing w:after="0"/>
              <w:rPr>
                <w:sz w:val="10"/>
                <w:szCs w:val="10"/>
                <w:color w:val="auto"/>
              </w:rPr>
            </w:pPr>
          </w:p>
        </w:tc>
        <w:tc>
          <w:tcPr>
            <w:tcW w:w="1360" w:type="dxa"/>
            <w:vAlign w:val="bottom"/>
            <w:tcBorders>
              <w:bottom w:val="single" w:sz="8" w:color="auto"/>
            </w:tcBorders>
            <w:gridSpan w:val="4"/>
            <w:vMerge w:val="continue"/>
          </w:tcPr>
          <w:p>
            <w:pPr>
              <w:spacing w:after="0"/>
              <w:rPr>
                <w:sz w:val="10"/>
                <w:szCs w:val="10"/>
                <w:color w:val="auto"/>
              </w:rPr>
            </w:pPr>
          </w:p>
        </w:tc>
        <w:tc>
          <w:tcPr>
            <w:tcW w:w="80" w:type="dxa"/>
            <w:vAlign w:val="bottom"/>
            <w:vMerge w:val="continue"/>
          </w:tcPr>
          <w:p>
            <w:pPr>
              <w:spacing w:after="0"/>
              <w:rPr>
                <w:sz w:val="10"/>
                <w:szCs w:val="10"/>
                <w:color w:val="auto"/>
              </w:rPr>
            </w:pPr>
          </w:p>
        </w:tc>
        <w:tc>
          <w:tcPr>
            <w:tcW w:w="1360" w:type="dxa"/>
            <w:vAlign w:val="bottom"/>
            <w:tcBorders>
              <w:bottom w:val="single" w:sz="8" w:color="auto"/>
            </w:tcBorders>
            <w:gridSpan w:val="4"/>
            <w:vMerge w:val="continue"/>
          </w:tcPr>
          <w:p>
            <w:pPr>
              <w:spacing w:after="0"/>
              <w:rPr>
                <w:sz w:val="10"/>
                <w:szCs w:val="10"/>
                <w:color w:val="auto"/>
              </w:rPr>
            </w:pPr>
          </w:p>
        </w:tc>
        <w:tc>
          <w:tcPr>
            <w:tcW w:w="80" w:type="dxa"/>
            <w:vAlign w:val="bottom"/>
            <w:vMerge w:val="continue"/>
          </w:tcPr>
          <w:p>
            <w:pPr>
              <w:spacing w:after="0"/>
              <w:rPr>
                <w:sz w:val="10"/>
                <w:szCs w:val="10"/>
                <w:color w:val="auto"/>
              </w:rPr>
            </w:pPr>
          </w:p>
        </w:tc>
        <w:tc>
          <w:tcPr>
            <w:tcW w:w="1360" w:type="dxa"/>
            <w:vAlign w:val="bottom"/>
            <w:tcBorders>
              <w:bottom w:val="single" w:sz="8" w:color="auto"/>
            </w:tcBorders>
            <w:gridSpan w:val="4"/>
            <w:vMerge w:val="continue"/>
          </w:tcPr>
          <w:p>
            <w:pPr>
              <w:spacing w:after="0"/>
              <w:rPr>
                <w:sz w:val="10"/>
                <w:szCs w:val="10"/>
                <w:color w:val="auto"/>
              </w:rPr>
            </w:pPr>
          </w:p>
        </w:tc>
        <w:tc>
          <w:tcPr>
            <w:tcW w:w="140" w:type="dxa"/>
            <w:vAlign w:val="bottom"/>
            <w:vMerge w:val="continue"/>
          </w:tcPr>
          <w:p>
            <w:pPr>
              <w:spacing w:after="0"/>
              <w:rPr>
                <w:sz w:val="10"/>
                <w:szCs w:val="10"/>
                <w:color w:val="auto"/>
              </w:rPr>
            </w:pPr>
          </w:p>
        </w:tc>
        <w:tc>
          <w:tcPr>
            <w:tcW w:w="800" w:type="dxa"/>
            <w:vAlign w:val="bottom"/>
            <w:gridSpan w:val="2"/>
          </w:tcPr>
          <w:p>
            <w:pPr>
              <w:jc w:val="center"/>
              <w:ind w:right="260"/>
              <w:spacing w:after="0" w:line="95" w:lineRule="exact"/>
              <w:rPr>
                <w:sz w:val="20"/>
                <w:szCs w:val="20"/>
                <w:color w:val="auto"/>
              </w:rPr>
            </w:pPr>
            <w:r>
              <w:rPr>
                <w:rFonts w:ascii="Times New Roman" w:cs="Times New Roman" w:eastAsia="Times New Roman" w:hAnsi="Times New Roman"/>
                <w:sz w:val="11"/>
                <w:szCs w:val="11"/>
                <w:b w:val="1"/>
                <w:bCs w:val="1"/>
                <w:color w:val="auto"/>
                <w:w w:val="99"/>
              </w:rPr>
              <w:t>Paid-in</w:t>
            </w:r>
          </w:p>
        </w:tc>
        <w:tc>
          <w:tcPr>
            <w:tcW w:w="120" w:type="dxa"/>
            <w:vAlign w:val="bottom"/>
          </w:tcPr>
          <w:p>
            <w:pPr>
              <w:spacing w:after="0"/>
              <w:rPr>
                <w:sz w:val="10"/>
                <w:szCs w:val="10"/>
                <w:color w:val="auto"/>
              </w:rPr>
            </w:pPr>
          </w:p>
        </w:tc>
        <w:tc>
          <w:tcPr>
            <w:tcW w:w="740" w:type="dxa"/>
            <w:vAlign w:val="bottom"/>
            <w:gridSpan w:val="2"/>
          </w:tcPr>
          <w:p>
            <w:pPr>
              <w:jc w:val="center"/>
              <w:ind w:right="220"/>
              <w:spacing w:after="0" w:line="95" w:lineRule="exact"/>
              <w:rPr>
                <w:sz w:val="20"/>
                <w:szCs w:val="20"/>
                <w:color w:val="auto"/>
              </w:rPr>
            </w:pPr>
            <w:r>
              <w:rPr>
                <w:rFonts w:ascii="Times New Roman" w:cs="Times New Roman" w:eastAsia="Times New Roman" w:hAnsi="Times New Roman"/>
                <w:sz w:val="11"/>
                <w:szCs w:val="11"/>
                <w:b w:val="1"/>
                <w:bCs w:val="1"/>
                <w:color w:val="auto"/>
              </w:rPr>
              <w:t>Retained</w:t>
            </w:r>
          </w:p>
        </w:tc>
        <w:tc>
          <w:tcPr>
            <w:tcW w:w="100" w:type="dxa"/>
            <w:vAlign w:val="bottom"/>
          </w:tcPr>
          <w:p>
            <w:pPr>
              <w:spacing w:after="0"/>
              <w:rPr>
                <w:sz w:val="10"/>
                <w:szCs w:val="10"/>
                <w:color w:val="auto"/>
              </w:rPr>
            </w:pPr>
          </w:p>
        </w:tc>
        <w:tc>
          <w:tcPr>
            <w:tcW w:w="1180" w:type="dxa"/>
            <w:vAlign w:val="bottom"/>
            <w:gridSpan w:val="2"/>
          </w:tcPr>
          <w:p>
            <w:pPr>
              <w:jc w:val="center"/>
              <w:ind w:right="220"/>
              <w:spacing w:after="0" w:line="95" w:lineRule="exact"/>
              <w:rPr>
                <w:sz w:val="20"/>
                <w:szCs w:val="20"/>
                <w:color w:val="auto"/>
              </w:rPr>
            </w:pPr>
            <w:r>
              <w:rPr>
                <w:rFonts w:ascii="Times New Roman" w:cs="Times New Roman" w:eastAsia="Times New Roman" w:hAnsi="Times New Roman"/>
                <w:sz w:val="11"/>
                <w:szCs w:val="11"/>
                <w:b w:val="1"/>
                <w:bCs w:val="1"/>
                <w:color w:val="auto"/>
              </w:rPr>
              <w:t>Comprehensive</w:t>
            </w:r>
          </w:p>
        </w:tc>
        <w:tc>
          <w:tcPr>
            <w:tcW w:w="160" w:type="dxa"/>
            <w:vAlign w:val="bottom"/>
          </w:tcPr>
          <w:p>
            <w:pPr>
              <w:spacing w:after="0"/>
              <w:rPr>
                <w:sz w:val="10"/>
                <w:szCs w:val="10"/>
                <w:color w:val="auto"/>
              </w:rPr>
            </w:pPr>
          </w:p>
        </w:tc>
        <w:tc>
          <w:tcPr>
            <w:tcW w:w="660" w:type="dxa"/>
            <w:vAlign w:val="bottom"/>
          </w:tcPr>
          <w:p>
            <w:pPr>
              <w:jc w:val="center"/>
              <w:ind w:right="138"/>
              <w:spacing w:after="0" w:line="95" w:lineRule="exact"/>
              <w:rPr>
                <w:sz w:val="20"/>
                <w:szCs w:val="20"/>
                <w:color w:val="auto"/>
              </w:rPr>
            </w:pPr>
            <w:r>
              <w:rPr>
                <w:rFonts w:ascii="Times New Roman" w:cs="Times New Roman" w:eastAsia="Times New Roman" w:hAnsi="Times New Roman"/>
                <w:sz w:val="11"/>
                <w:szCs w:val="11"/>
                <w:b w:val="1"/>
                <w:bCs w:val="1"/>
                <w:color w:val="auto"/>
              </w:rPr>
              <w:t>Total</w:t>
            </w:r>
          </w:p>
        </w:tc>
        <w:tc>
          <w:tcPr>
            <w:tcW w:w="0" w:type="dxa"/>
            <w:vAlign w:val="bottom"/>
          </w:tcPr>
          <w:p>
            <w:pPr>
              <w:spacing w:after="0"/>
              <w:rPr>
                <w:sz w:val="1"/>
                <w:szCs w:val="1"/>
                <w:color w:val="auto"/>
              </w:rPr>
            </w:pPr>
          </w:p>
        </w:tc>
      </w:tr>
      <w:tr>
        <w:trPr>
          <w:trHeight w:val="157"/>
        </w:trPr>
        <w:tc>
          <w:tcPr>
            <w:tcW w:w="3040" w:type="dxa"/>
            <w:vAlign w:val="bottom"/>
          </w:tcPr>
          <w:p>
            <w:pPr>
              <w:spacing w:after="0"/>
              <w:rPr>
                <w:sz w:val="13"/>
                <w:szCs w:val="13"/>
                <w:color w:val="auto"/>
              </w:rPr>
            </w:pPr>
          </w:p>
        </w:tc>
        <w:tc>
          <w:tcPr>
            <w:tcW w:w="680" w:type="dxa"/>
            <w:vAlign w:val="bottom"/>
            <w:tcBorders>
              <w:bottom w:val="single" w:sz="8" w:color="auto"/>
            </w:tcBorders>
            <w:gridSpan w:val="2"/>
          </w:tcPr>
          <w:p>
            <w:pPr>
              <w:ind w:left="14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10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700" w:type="dxa"/>
            <w:vAlign w:val="bottom"/>
            <w:tcBorders>
              <w:bottom w:val="single" w:sz="8" w:color="auto"/>
            </w:tcBorders>
            <w:gridSpan w:val="2"/>
          </w:tcPr>
          <w:p>
            <w:pPr>
              <w:ind w:left="14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10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680" w:type="dxa"/>
            <w:vAlign w:val="bottom"/>
            <w:tcBorders>
              <w:bottom w:val="single" w:sz="8" w:color="auto"/>
            </w:tcBorders>
            <w:gridSpan w:val="2"/>
          </w:tcPr>
          <w:p>
            <w:pPr>
              <w:ind w:left="14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12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80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1"/>
                <w:szCs w:val="11"/>
                <w:b w:val="1"/>
                <w:bCs w:val="1"/>
                <w:color w:val="auto"/>
              </w:rPr>
              <w:t>Capital</w:t>
            </w:r>
          </w:p>
        </w:tc>
        <w:tc>
          <w:tcPr>
            <w:tcW w:w="12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rPr>
              <w:t>Deficit</w:t>
            </w:r>
          </w:p>
        </w:tc>
        <w:tc>
          <w:tcPr>
            <w:tcW w:w="10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gridSpan w:val="2"/>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rPr>
              <w:t>(Loss)/Income</w:t>
            </w:r>
          </w:p>
        </w:tc>
        <w:tc>
          <w:tcPr>
            <w:tcW w:w="16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center"/>
              <w:ind w:right="118"/>
              <w:spacing w:after="0"/>
              <w:rPr>
                <w:sz w:val="20"/>
                <w:szCs w:val="20"/>
                <w:color w:val="auto"/>
              </w:rPr>
            </w:pPr>
            <w:r>
              <w:rPr>
                <w:rFonts w:ascii="Times New Roman" w:cs="Times New Roman" w:eastAsia="Times New Roman" w:hAnsi="Times New Roman"/>
                <w:sz w:val="11"/>
                <w:szCs w:val="11"/>
                <w:b w:val="1"/>
                <w:bCs w:val="1"/>
                <w:color w:val="auto"/>
              </w:rPr>
              <w:t>Deficit</w:t>
            </w:r>
          </w:p>
        </w:tc>
        <w:tc>
          <w:tcPr>
            <w:tcW w:w="0" w:type="dxa"/>
            <w:vAlign w:val="bottom"/>
          </w:tcPr>
          <w:p>
            <w:pPr>
              <w:spacing w:after="0"/>
              <w:rPr>
                <w:sz w:val="1"/>
                <w:szCs w:val="1"/>
                <w:color w:val="auto"/>
              </w:rPr>
            </w:pPr>
          </w:p>
        </w:tc>
      </w:tr>
      <w:tr>
        <w:trPr>
          <w:trHeight w:val="156"/>
        </w:trPr>
        <w:tc>
          <w:tcPr>
            <w:tcW w:w="30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gridSpan w:val="2"/>
          </w:tcPr>
          <w:p>
            <w:pPr>
              <w:ind w:left="100"/>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6"/>
        </w:trPr>
        <w:tc>
          <w:tcPr>
            <w:tcW w:w="30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Balance at December 31, 2023</w:t>
            </w:r>
          </w:p>
        </w:tc>
        <w:tc>
          <w:tcPr>
            <w:tcW w:w="680" w:type="dxa"/>
            <w:vAlign w:val="bottom"/>
            <w:tcBorders>
              <w:bottom w:val="single" w:sz="8" w:color="CFF0FC"/>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Borders>
              <w:bottom w:val="single" w:sz="8" w:color="CFF0FC"/>
            </w:tcBorders>
            <w:gridSpan w:val="2"/>
            <w:shd w:val="clear" w:color="auto" w:fill="CFF0FC"/>
          </w:tcPr>
          <w:p>
            <w:pPr>
              <w:ind w:left="400"/>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238</w:t>
            </w:r>
          </w:p>
        </w:tc>
        <w:tc>
          <w:tcPr>
            <w:tcW w:w="10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Borders>
              <w:bottom w:val="single" w:sz="8" w:color="CFF0FC"/>
            </w:tcBorders>
            <w:gridSpan w:val="2"/>
            <w:shd w:val="clear" w:color="auto" w:fill="CFF0FC"/>
          </w:tcPr>
          <w:p>
            <w:pPr>
              <w:ind w:left="38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tcBorders>
              <w:bottom w:val="single" w:sz="8" w:color="CFF0FC"/>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bottom w:val="single" w:sz="8" w:color="CFF0FC"/>
            </w:tcBorders>
            <w:gridSpan w:val="2"/>
            <w:shd w:val="clear" w:color="auto" w:fill="CFF0FC"/>
          </w:tcPr>
          <w:p>
            <w:pPr>
              <w:ind w:left="380"/>
              <w:spacing w:after="0"/>
              <w:rPr>
                <w:sz w:val="20"/>
                <w:szCs w:val="20"/>
                <w:color w:val="auto"/>
              </w:rPr>
            </w:pPr>
            <w:r>
              <w:rPr>
                <w:rFonts w:ascii="Times New Roman" w:cs="Times New Roman" w:eastAsia="Times New Roman" w:hAnsi="Times New Roman"/>
                <w:sz w:val="13"/>
                <w:szCs w:val="13"/>
                <w:color w:val="auto"/>
              </w:rPr>
              <w:t>— $</w:t>
            </w:r>
          </w:p>
        </w:tc>
        <w:tc>
          <w:tcPr>
            <w:tcW w:w="7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1,190</w:t>
            </w:r>
          </w:p>
        </w:tc>
        <w:tc>
          <w:tcPr>
            <w:tcW w:w="8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(1,922)</w:t>
            </w:r>
          </w:p>
        </w:tc>
        <w:tc>
          <w:tcPr>
            <w:tcW w:w="8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tcBorders>
              <w:bottom w:val="single" w:sz="8" w:color="CFF0FC"/>
            </w:tcBorders>
            <w:shd w:val="clear" w:color="auto" w:fill="CFF0FC"/>
          </w:tcPr>
          <w:p>
            <w:pPr>
              <w:ind w:left="920"/>
              <w:spacing w:after="0"/>
              <w:rPr>
                <w:sz w:val="20"/>
                <w:szCs w:val="20"/>
                <w:color w:val="auto"/>
              </w:rPr>
            </w:pPr>
            <w:r>
              <w:rPr>
                <w:rFonts w:ascii="Times New Roman" w:cs="Times New Roman" w:eastAsia="Times New Roman" w:hAnsi="Times New Roman"/>
                <w:sz w:val="13"/>
                <w:szCs w:val="13"/>
                <w:color w:val="auto"/>
              </w:rPr>
              <w:t>(3)</w:t>
            </w:r>
          </w:p>
        </w:tc>
        <w:tc>
          <w:tcPr>
            <w:tcW w:w="8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(735)</w:t>
            </w:r>
          </w:p>
        </w:tc>
        <w:tc>
          <w:tcPr>
            <w:tcW w:w="0" w:type="dxa"/>
            <w:vAlign w:val="bottom"/>
          </w:tcPr>
          <w:p>
            <w:pPr>
              <w:spacing w:after="0"/>
              <w:rPr>
                <w:sz w:val="1"/>
                <w:szCs w:val="1"/>
                <w:color w:val="auto"/>
              </w:rPr>
            </w:pPr>
          </w:p>
        </w:tc>
      </w:tr>
      <w:tr>
        <w:trPr>
          <w:trHeight w:val="20"/>
        </w:trPr>
        <w:tc>
          <w:tcPr>
            <w:tcW w:w="3040" w:type="dxa"/>
            <w:vAlign w:val="bottom"/>
            <w:tcBorders>
              <w:top w:val="single" w:sz="8" w:color="CFF0FC"/>
              <w:bottom w:val="single" w:sz="8" w:color="CFF0FC"/>
            </w:tcBorders>
            <w:vMerge w:val="restart"/>
          </w:tcPr>
          <w:p>
            <w:pPr>
              <w:ind w:left="20"/>
              <w:spacing w:after="0"/>
              <w:rPr>
                <w:sz w:val="20"/>
                <w:szCs w:val="20"/>
                <w:color w:val="auto"/>
              </w:rPr>
            </w:pPr>
            <w:r>
              <w:rPr>
                <w:rFonts w:ascii="Times New Roman" w:cs="Times New Roman" w:eastAsia="Times New Roman" w:hAnsi="Times New Roman"/>
                <w:sz w:val="13"/>
                <w:szCs w:val="13"/>
                <w:color w:val="auto"/>
              </w:rPr>
              <w:t>Net income</w:t>
            </w: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gridSpan w:val="2"/>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3040" w:type="dxa"/>
            <w:vAlign w:val="bottom"/>
            <w:vMerge w:val="continue"/>
          </w:tcPr>
          <w:p>
            <w:pPr>
              <w:spacing w:after="0"/>
              <w:rPr>
                <w:sz w:val="11"/>
                <w:szCs w:val="11"/>
                <w:color w:val="auto"/>
              </w:rPr>
            </w:pPr>
          </w:p>
        </w:tc>
        <w:tc>
          <w:tcPr>
            <w:tcW w:w="60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ind w:left="400"/>
              <w:spacing w:after="0" w:line="129"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60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ind w:left="380"/>
              <w:spacing w:after="0" w:line="129"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62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gridSpan w:val="2"/>
          </w:tcPr>
          <w:p>
            <w:pPr>
              <w:ind w:left="380"/>
              <w:spacing w:after="0" w:line="129" w:lineRule="exact"/>
              <w:rPr>
                <w:sz w:val="20"/>
                <w:szCs w:val="20"/>
                <w:color w:val="auto"/>
              </w:rPr>
            </w:pPr>
            <w:r>
              <w:rPr>
                <w:rFonts w:ascii="Times New Roman" w:cs="Times New Roman" w:eastAsia="Times New Roman" w:hAnsi="Times New Roman"/>
                <w:sz w:val="13"/>
                <w:szCs w:val="13"/>
                <w:color w:val="auto"/>
              </w:rPr>
              <w:t>—</w:t>
            </w:r>
          </w:p>
        </w:tc>
        <w:tc>
          <w:tcPr>
            <w:tcW w:w="72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66</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tcPr>
          <w:p>
            <w:pPr>
              <w:ind w:left="920"/>
              <w:spacing w:after="0" w:line="129"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66</w:t>
            </w:r>
          </w:p>
        </w:tc>
        <w:tc>
          <w:tcPr>
            <w:tcW w:w="0" w:type="dxa"/>
            <w:vAlign w:val="bottom"/>
          </w:tcPr>
          <w:p>
            <w:pPr>
              <w:spacing w:after="0"/>
              <w:rPr>
                <w:sz w:val="1"/>
                <w:szCs w:val="1"/>
                <w:color w:val="auto"/>
              </w:rPr>
            </w:pPr>
          </w:p>
        </w:tc>
      </w:tr>
      <w:tr>
        <w:trPr>
          <w:trHeight w:val="26"/>
        </w:trPr>
        <w:tc>
          <w:tcPr>
            <w:tcW w:w="304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2"/>
        </w:trPr>
        <w:tc>
          <w:tcPr>
            <w:tcW w:w="3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Share repurchases</w:t>
            </w:r>
          </w:p>
        </w:tc>
        <w:tc>
          <w:tcPr>
            <w:tcW w:w="6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gridSpan w:val="2"/>
            <w:shd w:val="clear" w:color="auto" w:fill="CCEEFF"/>
          </w:tcPr>
          <w:p>
            <w:pPr>
              <w:ind w:left="400"/>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w:t>
            </w:r>
          </w:p>
        </w:tc>
        <w:tc>
          <w:tcPr>
            <w:tcW w:w="1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gridSpan w:val="2"/>
            <w:shd w:val="clear" w:color="auto" w:fill="CCEEFF"/>
          </w:tcPr>
          <w:p>
            <w:pPr>
              <w:ind w:left="38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w:t>
            </w:r>
          </w:p>
        </w:tc>
        <w:tc>
          <w:tcPr>
            <w:tcW w:w="6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(109)</w:t>
            </w:r>
          </w:p>
        </w:tc>
        <w:tc>
          <w:tcPr>
            <w:tcW w:w="140" w:type="dxa"/>
            <w:vAlign w:val="bottom"/>
            <w:tcBorders>
              <w:bottom w:val="single" w:sz="8" w:color="CCEEFF"/>
            </w:tcBorders>
            <w:shd w:val="clear" w:color="auto" w:fill="CCEEFF"/>
          </w:tcPr>
          <w:p>
            <w:pPr>
              <w:spacing w:after="0"/>
              <w:rPr>
                <w:sz w:val="14"/>
                <w:szCs w:val="14"/>
                <w:color w:val="auto"/>
              </w:rPr>
            </w:pPr>
          </w:p>
        </w:tc>
        <w:tc>
          <w:tcPr>
            <w:tcW w:w="8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CEEFF"/>
            </w:tcBorders>
            <w:shd w:val="clear" w:color="auto" w:fill="CCEEFF"/>
          </w:tcPr>
          <w:p>
            <w:pPr>
              <w:spacing w:after="0"/>
              <w:rPr>
                <w:sz w:val="14"/>
                <w:szCs w:val="14"/>
                <w:color w:val="auto"/>
              </w:rPr>
            </w:pPr>
          </w:p>
        </w:tc>
        <w:tc>
          <w:tcPr>
            <w:tcW w:w="7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1180" w:type="dxa"/>
            <w:vAlign w:val="bottom"/>
            <w:tcBorders>
              <w:bottom w:val="single" w:sz="8" w:color="CCEEFF"/>
            </w:tcBorders>
            <w:gridSpan w:val="2"/>
            <w:shd w:val="clear" w:color="auto" w:fill="CCEEFF"/>
          </w:tcPr>
          <w:p>
            <w:pPr>
              <w:ind w:left="92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(109)</w:t>
            </w:r>
          </w:p>
        </w:tc>
        <w:tc>
          <w:tcPr>
            <w:tcW w:w="0" w:type="dxa"/>
            <w:vAlign w:val="bottom"/>
          </w:tcPr>
          <w:p>
            <w:pPr>
              <w:spacing w:after="0"/>
              <w:rPr>
                <w:sz w:val="1"/>
                <w:szCs w:val="1"/>
                <w:color w:val="auto"/>
              </w:rPr>
            </w:pPr>
          </w:p>
        </w:tc>
      </w:tr>
      <w:tr>
        <w:trPr>
          <w:trHeight w:val="166"/>
        </w:trPr>
        <w:tc>
          <w:tcPr>
            <w:tcW w:w="30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Excise tax on share repurchases</w:t>
            </w: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660" w:type="dxa"/>
            <w:vAlign w:val="bottom"/>
            <w:gridSpan w:val="2"/>
          </w:tcPr>
          <w:p>
            <w:pPr>
              <w:ind w:left="40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640" w:type="dxa"/>
            <w:vAlign w:val="bottom"/>
            <w:gridSpan w:val="2"/>
          </w:tcPr>
          <w:p>
            <w:pPr>
              <w:ind w:left="38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40" w:type="dxa"/>
            <w:vAlign w:val="bottom"/>
          </w:tcPr>
          <w:p>
            <w:pPr>
              <w:spacing w:after="0"/>
              <w:rPr>
                <w:sz w:val="14"/>
                <w:szCs w:val="14"/>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180" w:type="dxa"/>
            <w:vAlign w:val="bottom"/>
            <w:gridSpan w:val="2"/>
          </w:tcPr>
          <w:p>
            <w:pPr>
              <w:ind w:left="92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0" w:type="dxa"/>
            <w:vAlign w:val="bottom"/>
          </w:tcPr>
          <w:p>
            <w:pPr>
              <w:spacing w:after="0"/>
              <w:rPr>
                <w:sz w:val="1"/>
                <w:szCs w:val="1"/>
                <w:color w:val="auto"/>
              </w:rPr>
            </w:pPr>
          </w:p>
        </w:tc>
      </w:tr>
      <w:tr>
        <w:trPr>
          <w:trHeight w:val="26"/>
        </w:trPr>
        <w:tc>
          <w:tcPr>
            <w:tcW w:w="304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3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Shares issued under stock plan, net of shares withheld for</w:t>
            </w: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304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employee taxes</w:t>
            </w:r>
          </w:p>
        </w:tc>
        <w:tc>
          <w:tcPr>
            <w:tcW w:w="6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gridSpan w:val="2"/>
            <w:shd w:val="clear" w:color="auto" w:fill="CCEEFF"/>
          </w:tcPr>
          <w:p>
            <w:pPr>
              <w:ind w:left="400"/>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gridSpan w:val="2"/>
            <w:shd w:val="clear" w:color="auto" w:fill="CCEEFF"/>
          </w:tcPr>
          <w:p>
            <w:pPr>
              <w:ind w:left="38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6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140" w:type="dxa"/>
            <w:vAlign w:val="bottom"/>
            <w:tcBorders>
              <w:bottom w:val="single" w:sz="8" w:color="CCEEFF"/>
            </w:tcBorders>
            <w:shd w:val="clear" w:color="auto" w:fill="CCEEFF"/>
          </w:tcPr>
          <w:p>
            <w:pPr>
              <w:spacing w:after="0"/>
              <w:rPr>
                <w:sz w:val="14"/>
                <w:szCs w:val="14"/>
                <w:color w:val="auto"/>
              </w:rPr>
            </w:pPr>
          </w:p>
        </w:tc>
        <w:tc>
          <w:tcPr>
            <w:tcW w:w="8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CEEFF"/>
            </w:tcBorders>
            <w:shd w:val="clear" w:color="auto" w:fill="CCEEFF"/>
          </w:tcPr>
          <w:p>
            <w:pPr>
              <w:spacing w:after="0"/>
              <w:rPr>
                <w:sz w:val="14"/>
                <w:szCs w:val="14"/>
                <w:color w:val="auto"/>
              </w:rPr>
            </w:pPr>
          </w:p>
        </w:tc>
        <w:tc>
          <w:tcPr>
            <w:tcW w:w="7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1180" w:type="dxa"/>
            <w:vAlign w:val="bottom"/>
            <w:tcBorders>
              <w:bottom w:val="single" w:sz="8" w:color="CCEEFF"/>
            </w:tcBorders>
            <w:gridSpan w:val="2"/>
            <w:shd w:val="clear" w:color="auto" w:fill="CCEEFF"/>
          </w:tcPr>
          <w:p>
            <w:pPr>
              <w:ind w:left="92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0" w:type="dxa"/>
            <w:vAlign w:val="bottom"/>
          </w:tcPr>
          <w:p>
            <w:pPr>
              <w:spacing w:after="0"/>
              <w:rPr>
                <w:sz w:val="1"/>
                <w:szCs w:val="1"/>
                <w:color w:val="auto"/>
              </w:rPr>
            </w:pPr>
          </w:p>
        </w:tc>
      </w:tr>
      <w:tr>
        <w:trPr>
          <w:trHeight w:val="166"/>
        </w:trPr>
        <w:tc>
          <w:tcPr>
            <w:tcW w:w="30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Other comprehensive income, net of tax</w:t>
            </w: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660" w:type="dxa"/>
            <w:vAlign w:val="bottom"/>
            <w:gridSpan w:val="2"/>
          </w:tcPr>
          <w:p>
            <w:pPr>
              <w:ind w:left="40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640" w:type="dxa"/>
            <w:vAlign w:val="bottom"/>
            <w:gridSpan w:val="2"/>
          </w:tcPr>
          <w:p>
            <w:pPr>
              <w:ind w:left="38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700" w:type="dxa"/>
            <w:vAlign w:val="bottom"/>
            <w:gridSpan w:val="2"/>
          </w:tcPr>
          <w:p>
            <w:pPr>
              <w:ind w:left="380"/>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100" w:type="dxa"/>
            <w:vAlign w:val="bottom"/>
          </w:tcPr>
          <w:p>
            <w:pPr>
              <w:ind w:left="920"/>
              <w:spacing w:after="0"/>
              <w:rPr>
                <w:sz w:val="20"/>
                <w:szCs w:val="20"/>
                <w:color w:val="auto"/>
              </w:rPr>
            </w:pPr>
            <w:r>
              <w:rPr>
                <w:rFonts w:ascii="Times New Roman" w:cs="Times New Roman" w:eastAsia="Times New Roman" w:hAnsi="Times New Roman"/>
                <w:sz w:val="13"/>
                <w:szCs w:val="13"/>
                <w:color w:val="auto"/>
              </w:rPr>
              <w:t>41</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w:t>
            </w:r>
          </w:p>
        </w:tc>
        <w:tc>
          <w:tcPr>
            <w:tcW w:w="0" w:type="dxa"/>
            <w:vAlign w:val="bottom"/>
          </w:tcPr>
          <w:p>
            <w:pPr>
              <w:spacing w:after="0"/>
              <w:rPr>
                <w:sz w:val="1"/>
                <w:szCs w:val="1"/>
                <w:color w:val="auto"/>
              </w:rPr>
            </w:pPr>
          </w:p>
        </w:tc>
      </w:tr>
      <w:tr>
        <w:trPr>
          <w:trHeight w:val="26"/>
        </w:trPr>
        <w:tc>
          <w:tcPr>
            <w:tcW w:w="304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3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Stock-based compensation</w:t>
            </w:r>
          </w:p>
        </w:tc>
        <w:tc>
          <w:tcPr>
            <w:tcW w:w="6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gridSpan w:val="2"/>
            <w:shd w:val="clear" w:color="auto" w:fill="CCEEFF"/>
          </w:tcPr>
          <w:p>
            <w:pPr>
              <w:ind w:left="40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gridSpan w:val="2"/>
            <w:shd w:val="clear" w:color="auto" w:fill="CCEEFF"/>
          </w:tcPr>
          <w:p>
            <w:pPr>
              <w:ind w:left="38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gridSpan w:val="2"/>
            <w:shd w:val="clear" w:color="auto" w:fill="CCEEFF"/>
          </w:tcPr>
          <w:p>
            <w:pPr>
              <w:ind w:left="38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w:t>
            </w: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1180" w:type="dxa"/>
            <w:vAlign w:val="bottom"/>
            <w:tcBorders>
              <w:bottom w:val="single" w:sz="8" w:color="CCEEFF"/>
            </w:tcBorders>
            <w:gridSpan w:val="2"/>
            <w:shd w:val="clear" w:color="auto" w:fill="CCEEFF"/>
          </w:tcPr>
          <w:p>
            <w:pPr>
              <w:ind w:left="92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w:t>
            </w:r>
          </w:p>
        </w:tc>
        <w:tc>
          <w:tcPr>
            <w:tcW w:w="0" w:type="dxa"/>
            <w:vAlign w:val="bottom"/>
          </w:tcPr>
          <w:p>
            <w:pPr>
              <w:spacing w:after="0"/>
              <w:rPr>
                <w:sz w:val="1"/>
                <w:szCs w:val="1"/>
                <w:color w:val="auto"/>
              </w:rPr>
            </w:pPr>
          </w:p>
        </w:tc>
      </w:tr>
      <w:tr>
        <w:trPr>
          <w:trHeight w:val="159"/>
        </w:trPr>
        <w:tc>
          <w:tcPr>
            <w:tcW w:w="3040" w:type="dxa"/>
            <w:vAlign w:val="bottom"/>
          </w:tcPr>
          <w:p>
            <w:pPr>
              <w:ind w:left="20"/>
              <w:spacing w:after="0" w:line="146" w:lineRule="exact"/>
              <w:rPr>
                <w:sz w:val="20"/>
                <w:szCs w:val="20"/>
                <w:color w:val="auto"/>
              </w:rPr>
            </w:pPr>
            <w:r>
              <w:rPr>
                <w:rFonts w:ascii="Times New Roman" w:cs="Times New Roman" w:eastAsia="Times New Roman" w:hAnsi="Times New Roman"/>
                <w:sz w:val="13"/>
                <w:szCs w:val="13"/>
                <w:color w:val="auto"/>
              </w:rPr>
              <w:t>Balance at March 31, 2024</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Borders>
              <w:top w:val="single" w:sz="8" w:color="auto"/>
              <w:bottom w:val="single" w:sz="8" w:color="auto"/>
            </w:tcBorders>
          </w:tcPr>
          <w:p>
            <w:pPr>
              <w:ind w:left="40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227</w:t>
            </w:r>
          </w:p>
        </w:tc>
        <w:tc>
          <w:tcPr>
            <w:tcW w:w="10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Borders>
              <w:top w:val="single" w:sz="8" w:color="auto"/>
              <w:bottom w:val="single" w:sz="8" w:color="auto"/>
            </w:tcBorders>
          </w:tcPr>
          <w:p>
            <w:pPr>
              <w:ind w:left="3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13</w:t>
            </w:r>
          </w:p>
        </w:tc>
        <w:tc>
          <w:tcPr>
            <w:tcW w:w="60" w:type="dxa"/>
            <w:vAlign w:val="bottom"/>
          </w:tcPr>
          <w:p>
            <w:pPr>
              <w:spacing w:after="0"/>
              <w:rPr>
                <w:sz w:val="13"/>
                <w:szCs w:val="13"/>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top w:val="single" w:sz="8" w:color="auto"/>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(115) $</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1,198</w:t>
            </w:r>
          </w:p>
        </w:tc>
        <w:tc>
          <w:tcPr>
            <w:tcW w:w="80" w:type="dxa"/>
            <w:vAlign w:val="bottom"/>
          </w:tcPr>
          <w:p>
            <w:pPr>
              <w:spacing w:after="0"/>
              <w:rPr>
                <w:sz w:val="13"/>
                <w:szCs w:val="13"/>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(1,856)</w:t>
            </w:r>
          </w:p>
        </w:tc>
        <w:tc>
          <w:tcPr>
            <w:tcW w:w="8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tcBorders>
              <w:top w:val="single" w:sz="8" w:color="auto"/>
              <w:bottom w:val="single" w:sz="8" w:color="auto"/>
            </w:tcBorders>
          </w:tcPr>
          <w:p>
            <w:pPr>
              <w:ind w:left="920"/>
              <w:spacing w:after="0"/>
              <w:rPr>
                <w:sz w:val="20"/>
                <w:szCs w:val="20"/>
                <w:color w:val="auto"/>
              </w:rPr>
            </w:pPr>
            <w:r>
              <w:rPr>
                <w:rFonts w:ascii="Times New Roman" w:cs="Times New Roman" w:eastAsia="Times New Roman" w:hAnsi="Times New Roman"/>
                <w:sz w:val="13"/>
                <w:szCs w:val="13"/>
                <w:color w:val="auto"/>
              </w:rPr>
              <w:t>38</w:t>
            </w:r>
          </w:p>
        </w:tc>
        <w:tc>
          <w:tcPr>
            <w:tcW w:w="80" w:type="dxa"/>
            <w:vAlign w:val="bottom"/>
          </w:tcPr>
          <w:p>
            <w:pPr>
              <w:spacing w:after="0"/>
              <w:rPr>
                <w:sz w:val="13"/>
                <w:szCs w:val="13"/>
                <w:color w:val="auto"/>
              </w:rPr>
            </w:pPr>
          </w:p>
        </w:tc>
        <w:tc>
          <w:tcPr>
            <w:tcW w:w="16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(735)</w:t>
            </w:r>
          </w:p>
        </w:tc>
        <w:tc>
          <w:tcPr>
            <w:tcW w:w="0" w:type="dxa"/>
            <w:vAlign w:val="bottom"/>
          </w:tcPr>
          <w:p>
            <w:pPr>
              <w:spacing w:after="0"/>
              <w:rPr>
                <w:sz w:val="1"/>
                <w:szCs w:val="1"/>
                <w:color w:val="auto"/>
              </w:rPr>
            </w:pPr>
          </w:p>
        </w:tc>
      </w:tr>
      <w:tr>
        <w:trPr>
          <w:trHeight w:val="20"/>
        </w:trPr>
        <w:tc>
          <w:tcPr>
            <w:tcW w:w="30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5"/>
        </w:trPr>
        <w:tc>
          <w:tcPr>
            <w:tcW w:w="3040" w:type="dxa"/>
            <w:vAlign w:val="bottom"/>
          </w:tcPr>
          <w:p>
            <w:pPr>
              <w:spacing w:after="0"/>
              <w:rPr>
                <w:sz w:val="24"/>
                <w:szCs w:val="24"/>
                <w:color w:val="auto"/>
              </w:rPr>
            </w:pPr>
          </w:p>
        </w:tc>
        <w:tc>
          <w:tcPr>
            <w:tcW w:w="1440" w:type="dxa"/>
            <w:vAlign w:val="bottom"/>
            <w:gridSpan w:val="5"/>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rPr>
              <w:t>Series A</w:t>
            </w: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1"/>
                <w:szCs w:val="11"/>
                <w:b w:val="1"/>
                <w:bCs w:val="1"/>
                <w:color w:val="auto"/>
              </w:rPr>
              <w:t>Additional</w:t>
            </w: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rPr>
              <w:t>Accumulated Other</w:t>
            </w: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4"/>
        </w:trPr>
        <w:tc>
          <w:tcPr>
            <w:tcW w:w="3040" w:type="dxa"/>
            <w:vAlign w:val="bottom"/>
          </w:tcPr>
          <w:p>
            <w:pPr>
              <w:spacing w:after="0"/>
              <w:rPr>
                <w:sz w:val="5"/>
                <w:szCs w:val="5"/>
                <w:color w:val="auto"/>
              </w:rPr>
            </w:pPr>
          </w:p>
        </w:tc>
        <w:tc>
          <w:tcPr>
            <w:tcW w:w="1360" w:type="dxa"/>
            <w:vAlign w:val="bottom"/>
            <w:gridSpan w:val="4"/>
            <w:vMerge w:val="restart"/>
          </w:tcPr>
          <w:p>
            <w:pPr>
              <w:jc w:val="center"/>
              <w:spacing w:after="0"/>
              <w:rPr>
                <w:sz w:val="20"/>
                <w:szCs w:val="20"/>
                <w:color w:val="auto"/>
              </w:rPr>
            </w:pPr>
            <w:r>
              <w:rPr>
                <w:rFonts w:ascii="Times New Roman" w:cs="Times New Roman" w:eastAsia="Times New Roman" w:hAnsi="Times New Roman"/>
                <w:sz w:val="11"/>
                <w:szCs w:val="11"/>
                <w:b w:val="1"/>
                <w:bCs w:val="1"/>
                <w:color w:val="auto"/>
              </w:rPr>
              <w:t>Preferred Stock</w:t>
            </w:r>
          </w:p>
        </w:tc>
        <w:tc>
          <w:tcPr>
            <w:tcW w:w="80" w:type="dxa"/>
            <w:vAlign w:val="bottom"/>
            <w:vMerge w:val="restart"/>
          </w:tcPr>
          <w:p>
            <w:pPr>
              <w:spacing w:after="0"/>
              <w:rPr>
                <w:sz w:val="5"/>
                <w:szCs w:val="5"/>
                <w:color w:val="auto"/>
              </w:rPr>
            </w:pPr>
          </w:p>
        </w:tc>
        <w:tc>
          <w:tcPr>
            <w:tcW w:w="1360" w:type="dxa"/>
            <w:vAlign w:val="bottom"/>
            <w:gridSpan w:val="4"/>
            <w:vMerge w:val="restart"/>
          </w:tcPr>
          <w:p>
            <w:pPr>
              <w:ind w:left="300"/>
              <w:spacing w:after="0"/>
              <w:rPr>
                <w:sz w:val="20"/>
                <w:szCs w:val="20"/>
                <w:color w:val="auto"/>
              </w:rPr>
            </w:pPr>
            <w:r>
              <w:rPr>
                <w:rFonts w:ascii="Times New Roman" w:cs="Times New Roman" w:eastAsia="Times New Roman" w:hAnsi="Times New Roman"/>
                <w:sz w:val="11"/>
                <w:szCs w:val="11"/>
                <w:b w:val="1"/>
                <w:bCs w:val="1"/>
                <w:color w:val="auto"/>
              </w:rPr>
              <w:t>Common Stock</w:t>
            </w:r>
          </w:p>
        </w:tc>
        <w:tc>
          <w:tcPr>
            <w:tcW w:w="80" w:type="dxa"/>
            <w:vAlign w:val="bottom"/>
            <w:vMerge w:val="restart"/>
          </w:tcPr>
          <w:p>
            <w:pPr>
              <w:spacing w:after="0"/>
              <w:rPr>
                <w:sz w:val="5"/>
                <w:szCs w:val="5"/>
                <w:color w:val="auto"/>
              </w:rPr>
            </w:pPr>
          </w:p>
        </w:tc>
        <w:tc>
          <w:tcPr>
            <w:tcW w:w="1360" w:type="dxa"/>
            <w:vAlign w:val="bottom"/>
            <w:gridSpan w:val="4"/>
            <w:vMerge w:val="restart"/>
          </w:tcPr>
          <w:p>
            <w:pPr>
              <w:jc w:val="right"/>
              <w:ind w:right="238"/>
              <w:spacing w:after="0"/>
              <w:rPr>
                <w:sz w:val="20"/>
                <w:szCs w:val="20"/>
                <w:color w:val="auto"/>
              </w:rPr>
            </w:pPr>
            <w:r>
              <w:rPr>
                <w:rFonts w:ascii="Times New Roman" w:cs="Times New Roman" w:eastAsia="Times New Roman" w:hAnsi="Times New Roman"/>
                <w:sz w:val="11"/>
                <w:szCs w:val="11"/>
                <w:b w:val="1"/>
                <w:bCs w:val="1"/>
                <w:color w:val="auto"/>
              </w:rPr>
              <w:t>Treasury Stock</w:t>
            </w:r>
          </w:p>
        </w:tc>
        <w:tc>
          <w:tcPr>
            <w:tcW w:w="140" w:type="dxa"/>
            <w:vAlign w:val="bottom"/>
            <w:vMerge w:val="restart"/>
          </w:tcPr>
          <w:p>
            <w:pPr>
              <w:spacing w:after="0"/>
              <w:rPr>
                <w:sz w:val="5"/>
                <w:szCs w:val="5"/>
                <w:color w:val="auto"/>
              </w:rPr>
            </w:pPr>
          </w:p>
        </w:tc>
        <w:tc>
          <w:tcPr>
            <w:tcW w:w="80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66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6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0"/>
        </w:trPr>
        <w:tc>
          <w:tcPr>
            <w:tcW w:w="3040" w:type="dxa"/>
            <w:vAlign w:val="bottom"/>
          </w:tcPr>
          <w:p>
            <w:pPr>
              <w:spacing w:after="0"/>
              <w:rPr>
                <w:sz w:val="8"/>
                <w:szCs w:val="8"/>
                <w:color w:val="auto"/>
              </w:rPr>
            </w:pPr>
          </w:p>
        </w:tc>
        <w:tc>
          <w:tcPr>
            <w:tcW w:w="1360" w:type="dxa"/>
            <w:vAlign w:val="bottom"/>
            <w:tcBorders>
              <w:bottom w:val="single" w:sz="8" w:color="auto"/>
            </w:tcBorders>
            <w:gridSpan w:val="4"/>
            <w:vMerge w:val="continue"/>
          </w:tcPr>
          <w:p>
            <w:pPr>
              <w:spacing w:after="0"/>
              <w:rPr>
                <w:sz w:val="8"/>
                <w:szCs w:val="8"/>
                <w:color w:val="auto"/>
              </w:rPr>
            </w:pPr>
          </w:p>
        </w:tc>
        <w:tc>
          <w:tcPr>
            <w:tcW w:w="80" w:type="dxa"/>
            <w:vAlign w:val="bottom"/>
            <w:vMerge w:val="continue"/>
          </w:tcPr>
          <w:p>
            <w:pPr>
              <w:spacing w:after="0"/>
              <w:rPr>
                <w:sz w:val="8"/>
                <w:szCs w:val="8"/>
                <w:color w:val="auto"/>
              </w:rPr>
            </w:pPr>
          </w:p>
        </w:tc>
        <w:tc>
          <w:tcPr>
            <w:tcW w:w="1360" w:type="dxa"/>
            <w:vAlign w:val="bottom"/>
            <w:tcBorders>
              <w:bottom w:val="single" w:sz="8" w:color="auto"/>
            </w:tcBorders>
            <w:gridSpan w:val="4"/>
            <w:vMerge w:val="continue"/>
          </w:tcPr>
          <w:p>
            <w:pPr>
              <w:spacing w:after="0"/>
              <w:rPr>
                <w:sz w:val="8"/>
                <w:szCs w:val="8"/>
                <w:color w:val="auto"/>
              </w:rPr>
            </w:pPr>
          </w:p>
        </w:tc>
        <w:tc>
          <w:tcPr>
            <w:tcW w:w="80" w:type="dxa"/>
            <w:vAlign w:val="bottom"/>
            <w:vMerge w:val="continue"/>
          </w:tcPr>
          <w:p>
            <w:pPr>
              <w:spacing w:after="0"/>
              <w:rPr>
                <w:sz w:val="8"/>
                <w:szCs w:val="8"/>
                <w:color w:val="auto"/>
              </w:rPr>
            </w:pPr>
          </w:p>
        </w:tc>
        <w:tc>
          <w:tcPr>
            <w:tcW w:w="1360" w:type="dxa"/>
            <w:vAlign w:val="bottom"/>
            <w:tcBorders>
              <w:bottom w:val="single" w:sz="8" w:color="auto"/>
            </w:tcBorders>
            <w:gridSpan w:val="4"/>
            <w:vMerge w:val="continue"/>
          </w:tcPr>
          <w:p>
            <w:pPr>
              <w:spacing w:after="0"/>
              <w:rPr>
                <w:sz w:val="8"/>
                <w:szCs w:val="8"/>
                <w:color w:val="auto"/>
              </w:rPr>
            </w:pPr>
          </w:p>
        </w:tc>
        <w:tc>
          <w:tcPr>
            <w:tcW w:w="140" w:type="dxa"/>
            <w:vAlign w:val="bottom"/>
            <w:vMerge w:val="continue"/>
          </w:tcPr>
          <w:p>
            <w:pPr>
              <w:spacing w:after="0"/>
              <w:rPr>
                <w:sz w:val="8"/>
                <w:szCs w:val="8"/>
                <w:color w:val="auto"/>
              </w:rPr>
            </w:pPr>
          </w:p>
        </w:tc>
        <w:tc>
          <w:tcPr>
            <w:tcW w:w="800" w:type="dxa"/>
            <w:vAlign w:val="bottom"/>
            <w:gridSpan w:val="2"/>
          </w:tcPr>
          <w:p>
            <w:pPr>
              <w:jc w:val="center"/>
              <w:ind w:right="260"/>
              <w:spacing w:after="0" w:line="95" w:lineRule="exact"/>
              <w:rPr>
                <w:sz w:val="20"/>
                <w:szCs w:val="20"/>
                <w:color w:val="auto"/>
              </w:rPr>
            </w:pPr>
            <w:r>
              <w:rPr>
                <w:rFonts w:ascii="Times New Roman" w:cs="Times New Roman" w:eastAsia="Times New Roman" w:hAnsi="Times New Roman"/>
                <w:sz w:val="11"/>
                <w:szCs w:val="11"/>
                <w:b w:val="1"/>
                <w:bCs w:val="1"/>
                <w:color w:val="auto"/>
                <w:w w:val="99"/>
              </w:rPr>
              <w:t>Paid-in</w:t>
            </w:r>
          </w:p>
        </w:tc>
        <w:tc>
          <w:tcPr>
            <w:tcW w:w="120" w:type="dxa"/>
            <w:vAlign w:val="bottom"/>
          </w:tcPr>
          <w:p>
            <w:pPr>
              <w:spacing w:after="0"/>
              <w:rPr>
                <w:sz w:val="8"/>
                <w:szCs w:val="8"/>
                <w:color w:val="auto"/>
              </w:rPr>
            </w:pPr>
          </w:p>
        </w:tc>
        <w:tc>
          <w:tcPr>
            <w:tcW w:w="740" w:type="dxa"/>
            <w:vAlign w:val="bottom"/>
            <w:gridSpan w:val="2"/>
          </w:tcPr>
          <w:p>
            <w:pPr>
              <w:jc w:val="center"/>
              <w:ind w:right="220"/>
              <w:spacing w:after="0" w:line="95" w:lineRule="exact"/>
              <w:rPr>
                <w:sz w:val="20"/>
                <w:szCs w:val="20"/>
                <w:color w:val="auto"/>
              </w:rPr>
            </w:pPr>
            <w:r>
              <w:rPr>
                <w:rFonts w:ascii="Times New Roman" w:cs="Times New Roman" w:eastAsia="Times New Roman" w:hAnsi="Times New Roman"/>
                <w:sz w:val="11"/>
                <w:szCs w:val="11"/>
                <w:b w:val="1"/>
                <w:bCs w:val="1"/>
                <w:color w:val="auto"/>
              </w:rPr>
              <w:t>Retained</w:t>
            </w:r>
          </w:p>
        </w:tc>
        <w:tc>
          <w:tcPr>
            <w:tcW w:w="100" w:type="dxa"/>
            <w:vAlign w:val="bottom"/>
          </w:tcPr>
          <w:p>
            <w:pPr>
              <w:spacing w:after="0"/>
              <w:rPr>
                <w:sz w:val="8"/>
                <w:szCs w:val="8"/>
                <w:color w:val="auto"/>
              </w:rPr>
            </w:pPr>
          </w:p>
        </w:tc>
        <w:tc>
          <w:tcPr>
            <w:tcW w:w="1180" w:type="dxa"/>
            <w:vAlign w:val="bottom"/>
            <w:gridSpan w:val="2"/>
          </w:tcPr>
          <w:p>
            <w:pPr>
              <w:jc w:val="center"/>
              <w:ind w:right="220"/>
              <w:spacing w:after="0" w:line="95" w:lineRule="exact"/>
              <w:rPr>
                <w:sz w:val="20"/>
                <w:szCs w:val="20"/>
                <w:color w:val="auto"/>
              </w:rPr>
            </w:pPr>
            <w:r>
              <w:rPr>
                <w:rFonts w:ascii="Times New Roman" w:cs="Times New Roman" w:eastAsia="Times New Roman" w:hAnsi="Times New Roman"/>
                <w:sz w:val="11"/>
                <w:szCs w:val="11"/>
                <w:b w:val="1"/>
                <w:bCs w:val="1"/>
                <w:color w:val="auto"/>
              </w:rPr>
              <w:t>Comprehensive</w:t>
            </w:r>
          </w:p>
        </w:tc>
        <w:tc>
          <w:tcPr>
            <w:tcW w:w="160" w:type="dxa"/>
            <w:vAlign w:val="bottom"/>
          </w:tcPr>
          <w:p>
            <w:pPr>
              <w:spacing w:after="0"/>
              <w:rPr>
                <w:sz w:val="8"/>
                <w:szCs w:val="8"/>
                <w:color w:val="auto"/>
              </w:rPr>
            </w:pPr>
          </w:p>
        </w:tc>
        <w:tc>
          <w:tcPr>
            <w:tcW w:w="660" w:type="dxa"/>
            <w:vAlign w:val="bottom"/>
          </w:tcPr>
          <w:p>
            <w:pPr>
              <w:jc w:val="center"/>
              <w:ind w:right="138"/>
              <w:spacing w:after="0" w:line="95" w:lineRule="exact"/>
              <w:rPr>
                <w:sz w:val="20"/>
                <w:szCs w:val="20"/>
                <w:color w:val="auto"/>
              </w:rPr>
            </w:pPr>
            <w:r>
              <w:rPr>
                <w:rFonts w:ascii="Times New Roman" w:cs="Times New Roman" w:eastAsia="Times New Roman" w:hAnsi="Times New Roman"/>
                <w:sz w:val="11"/>
                <w:szCs w:val="11"/>
                <w:b w:val="1"/>
                <w:bCs w:val="1"/>
                <w:color w:val="auto"/>
              </w:rPr>
              <w:t>Total</w:t>
            </w:r>
          </w:p>
        </w:tc>
        <w:tc>
          <w:tcPr>
            <w:tcW w:w="0" w:type="dxa"/>
            <w:vAlign w:val="bottom"/>
          </w:tcPr>
          <w:p>
            <w:pPr>
              <w:spacing w:after="0"/>
              <w:rPr>
                <w:sz w:val="1"/>
                <w:szCs w:val="1"/>
                <w:color w:val="auto"/>
              </w:rPr>
            </w:pPr>
          </w:p>
        </w:tc>
      </w:tr>
      <w:tr>
        <w:trPr>
          <w:trHeight w:val="177"/>
        </w:trPr>
        <w:tc>
          <w:tcPr>
            <w:tcW w:w="3040" w:type="dxa"/>
            <w:vAlign w:val="bottom"/>
          </w:tcPr>
          <w:p>
            <w:pPr>
              <w:spacing w:after="0"/>
              <w:rPr>
                <w:sz w:val="15"/>
                <w:szCs w:val="15"/>
                <w:color w:val="auto"/>
              </w:rPr>
            </w:pPr>
          </w:p>
        </w:tc>
        <w:tc>
          <w:tcPr>
            <w:tcW w:w="680" w:type="dxa"/>
            <w:vAlign w:val="bottom"/>
            <w:tcBorders>
              <w:bottom w:val="single" w:sz="8" w:color="auto"/>
            </w:tcBorders>
            <w:gridSpan w:val="2"/>
          </w:tcPr>
          <w:p>
            <w:pPr>
              <w:ind w:left="14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1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700" w:type="dxa"/>
            <w:vAlign w:val="bottom"/>
            <w:tcBorders>
              <w:bottom w:val="single" w:sz="8" w:color="auto"/>
            </w:tcBorders>
            <w:gridSpan w:val="2"/>
          </w:tcPr>
          <w:p>
            <w:pPr>
              <w:ind w:left="14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1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680" w:type="dxa"/>
            <w:vAlign w:val="bottom"/>
            <w:tcBorders>
              <w:bottom w:val="single" w:sz="8" w:color="auto"/>
            </w:tcBorders>
            <w:gridSpan w:val="2"/>
          </w:tcPr>
          <w:p>
            <w:pPr>
              <w:ind w:left="14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1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80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1"/>
                <w:szCs w:val="11"/>
                <w:b w:val="1"/>
                <w:bCs w:val="1"/>
                <w:color w:val="auto"/>
              </w:rPr>
              <w:t>Capital</w:t>
            </w:r>
          </w:p>
        </w:tc>
        <w:tc>
          <w:tcPr>
            <w:tcW w:w="1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rPr>
              <w:t>Deficit</w:t>
            </w:r>
          </w:p>
        </w:tc>
        <w:tc>
          <w:tcPr>
            <w:tcW w:w="10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gridSpan w:val="2"/>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rPr>
              <w:t>Income</w:t>
            </w:r>
          </w:p>
        </w:tc>
        <w:tc>
          <w:tcPr>
            <w:tcW w:w="1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center"/>
              <w:ind w:right="118"/>
              <w:spacing w:after="0"/>
              <w:rPr>
                <w:sz w:val="20"/>
                <w:szCs w:val="20"/>
                <w:color w:val="auto"/>
              </w:rPr>
            </w:pPr>
            <w:r>
              <w:rPr>
                <w:rFonts w:ascii="Times New Roman" w:cs="Times New Roman" w:eastAsia="Times New Roman" w:hAnsi="Times New Roman"/>
                <w:sz w:val="11"/>
                <w:szCs w:val="11"/>
                <w:b w:val="1"/>
                <w:bCs w:val="1"/>
                <w:color w:val="auto"/>
              </w:rPr>
              <w:t>Deficit</w:t>
            </w:r>
          </w:p>
        </w:tc>
        <w:tc>
          <w:tcPr>
            <w:tcW w:w="0" w:type="dxa"/>
            <w:vAlign w:val="bottom"/>
          </w:tcPr>
          <w:p>
            <w:pPr>
              <w:spacing w:after="0"/>
              <w:rPr>
                <w:sz w:val="1"/>
                <w:szCs w:val="1"/>
                <w:color w:val="auto"/>
              </w:rPr>
            </w:pPr>
          </w:p>
        </w:tc>
      </w:tr>
      <w:tr>
        <w:trPr>
          <w:trHeight w:val="166"/>
        </w:trPr>
        <w:tc>
          <w:tcPr>
            <w:tcW w:w="30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gridSpan w:val="2"/>
          </w:tcPr>
          <w:p>
            <w:pPr>
              <w:ind w:left="100"/>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6"/>
        </w:trPr>
        <w:tc>
          <w:tcPr>
            <w:tcW w:w="30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Balance at December 31, 2022</w:t>
            </w:r>
          </w:p>
        </w:tc>
        <w:tc>
          <w:tcPr>
            <w:tcW w:w="6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246</w:t>
            </w:r>
          </w:p>
        </w:tc>
        <w:tc>
          <w:tcPr>
            <w:tcW w:w="8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Borders>
              <w:bottom w:val="single" w:sz="8" w:color="CFF0FC"/>
            </w:tcBorders>
            <w:gridSpan w:val="2"/>
            <w:shd w:val="clear" w:color="auto" w:fill="CFF0FC"/>
          </w:tcPr>
          <w:p>
            <w:pPr>
              <w:ind w:left="400"/>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64</w:t>
            </w:r>
          </w:p>
        </w:tc>
        <w:tc>
          <w:tcPr>
            <w:tcW w:w="10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Borders>
              <w:bottom w:val="single" w:sz="8" w:color="CFF0FC"/>
            </w:tcBorders>
            <w:gridSpan w:val="2"/>
            <w:shd w:val="clear" w:color="auto" w:fill="CFF0FC"/>
          </w:tcPr>
          <w:p>
            <w:pPr>
              <w:ind w:left="38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tcBorders>
              <w:bottom w:val="single" w:sz="8" w:color="CFF0FC"/>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bottom w:val="single" w:sz="8" w:color="CFF0FC"/>
            </w:tcBorders>
            <w:gridSpan w:val="2"/>
            <w:shd w:val="clear" w:color="auto" w:fill="CFF0FC"/>
          </w:tcPr>
          <w:p>
            <w:pPr>
              <w:ind w:left="380"/>
              <w:spacing w:after="0"/>
              <w:rPr>
                <w:sz w:val="20"/>
                <w:szCs w:val="20"/>
                <w:color w:val="auto"/>
              </w:rPr>
            </w:pPr>
            <w:r>
              <w:rPr>
                <w:rFonts w:ascii="Times New Roman" w:cs="Times New Roman" w:eastAsia="Times New Roman" w:hAnsi="Times New Roman"/>
                <w:sz w:val="13"/>
                <w:szCs w:val="13"/>
                <w:color w:val="auto"/>
              </w:rPr>
              <w:t>— $</w:t>
            </w:r>
          </w:p>
        </w:tc>
        <w:tc>
          <w:tcPr>
            <w:tcW w:w="7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1,333</w:t>
            </w:r>
          </w:p>
        </w:tc>
        <w:tc>
          <w:tcPr>
            <w:tcW w:w="8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(1,485)</w:t>
            </w:r>
          </w:p>
        </w:tc>
        <w:tc>
          <w:tcPr>
            <w:tcW w:w="8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tcBorders>
              <w:bottom w:val="single" w:sz="8" w:color="CFF0FC"/>
            </w:tcBorders>
            <w:shd w:val="clear" w:color="auto" w:fill="CFF0FC"/>
          </w:tcPr>
          <w:p>
            <w:pPr>
              <w:ind w:left="920"/>
              <w:spacing w:after="0"/>
              <w:rPr>
                <w:sz w:val="20"/>
                <w:szCs w:val="20"/>
                <w:color w:val="auto"/>
              </w:rPr>
            </w:pPr>
            <w:r>
              <w:rPr>
                <w:rFonts w:ascii="Times New Roman" w:cs="Times New Roman" w:eastAsia="Times New Roman" w:hAnsi="Times New Roman"/>
                <w:sz w:val="13"/>
                <w:szCs w:val="13"/>
                <w:color w:val="auto"/>
              </w:rPr>
              <w:t>36</w:t>
            </w:r>
          </w:p>
        </w:tc>
        <w:tc>
          <w:tcPr>
            <w:tcW w:w="8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(116)</w:t>
            </w:r>
          </w:p>
        </w:tc>
        <w:tc>
          <w:tcPr>
            <w:tcW w:w="0" w:type="dxa"/>
            <w:vAlign w:val="bottom"/>
          </w:tcPr>
          <w:p>
            <w:pPr>
              <w:spacing w:after="0"/>
              <w:rPr>
                <w:sz w:val="1"/>
                <w:szCs w:val="1"/>
                <w:color w:val="auto"/>
              </w:rPr>
            </w:pPr>
          </w:p>
        </w:tc>
      </w:tr>
      <w:tr>
        <w:trPr>
          <w:trHeight w:val="20"/>
        </w:trPr>
        <w:tc>
          <w:tcPr>
            <w:tcW w:w="3040" w:type="dxa"/>
            <w:vAlign w:val="bottom"/>
            <w:tcBorders>
              <w:top w:val="single" w:sz="8" w:color="CFF0FC"/>
              <w:bottom w:val="single" w:sz="8" w:color="CFF0FC"/>
            </w:tcBorders>
            <w:vMerge w:val="restart"/>
          </w:tcPr>
          <w:p>
            <w:pPr>
              <w:ind w:left="20"/>
              <w:spacing w:after="0"/>
              <w:rPr>
                <w:sz w:val="20"/>
                <w:szCs w:val="20"/>
                <w:color w:val="auto"/>
              </w:rPr>
            </w:pPr>
            <w:r>
              <w:rPr>
                <w:rFonts w:ascii="Times New Roman" w:cs="Times New Roman" w:eastAsia="Times New Roman" w:hAnsi="Times New Roman"/>
                <w:sz w:val="13"/>
                <w:szCs w:val="13"/>
                <w:color w:val="auto"/>
              </w:rPr>
              <w:t>Net income</w:t>
            </w: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3040" w:type="dxa"/>
            <w:vAlign w:val="bottom"/>
            <w:vMerge w:val="continue"/>
          </w:tcPr>
          <w:p>
            <w:pPr>
              <w:spacing w:after="0"/>
              <w:rPr>
                <w:sz w:val="11"/>
                <w:szCs w:val="11"/>
                <w:color w:val="auto"/>
              </w:rPr>
            </w:pPr>
          </w:p>
        </w:tc>
        <w:tc>
          <w:tcPr>
            <w:tcW w:w="60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ind w:left="400"/>
              <w:spacing w:after="0" w:line="129"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60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ind w:left="380"/>
              <w:spacing w:after="0" w:line="129"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62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gridSpan w:val="2"/>
          </w:tcPr>
          <w:p>
            <w:pPr>
              <w:ind w:left="380"/>
              <w:spacing w:after="0" w:line="129" w:lineRule="exact"/>
              <w:rPr>
                <w:sz w:val="20"/>
                <w:szCs w:val="20"/>
                <w:color w:val="auto"/>
              </w:rPr>
            </w:pPr>
            <w:r>
              <w:rPr>
                <w:rFonts w:ascii="Times New Roman" w:cs="Times New Roman" w:eastAsia="Times New Roman" w:hAnsi="Times New Roman"/>
                <w:sz w:val="13"/>
                <w:szCs w:val="13"/>
                <w:color w:val="auto"/>
              </w:rPr>
              <w:t>—</w:t>
            </w:r>
          </w:p>
        </w:tc>
        <w:tc>
          <w:tcPr>
            <w:tcW w:w="72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81</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tcPr>
          <w:p>
            <w:pPr>
              <w:ind w:left="920"/>
              <w:spacing w:after="0" w:line="129"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81</w:t>
            </w:r>
          </w:p>
        </w:tc>
        <w:tc>
          <w:tcPr>
            <w:tcW w:w="0" w:type="dxa"/>
            <w:vAlign w:val="bottom"/>
          </w:tcPr>
          <w:p>
            <w:pPr>
              <w:spacing w:after="0"/>
              <w:rPr>
                <w:sz w:val="1"/>
                <w:szCs w:val="1"/>
                <w:color w:val="auto"/>
              </w:rPr>
            </w:pPr>
          </w:p>
        </w:tc>
      </w:tr>
      <w:tr>
        <w:trPr>
          <w:trHeight w:val="26"/>
        </w:trPr>
        <w:tc>
          <w:tcPr>
            <w:tcW w:w="304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2"/>
        </w:trPr>
        <w:tc>
          <w:tcPr>
            <w:tcW w:w="3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Other comprehensive loss, net of tax</w:t>
            </w:r>
          </w:p>
        </w:tc>
        <w:tc>
          <w:tcPr>
            <w:tcW w:w="6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gridSpan w:val="2"/>
            <w:shd w:val="clear" w:color="auto" w:fill="CCEEFF"/>
          </w:tcPr>
          <w:p>
            <w:pPr>
              <w:ind w:left="40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gridSpan w:val="2"/>
            <w:shd w:val="clear" w:color="auto" w:fill="CCEEFF"/>
          </w:tcPr>
          <w:p>
            <w:pPr>
              <w:ind w:left="38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CCEEFF"/>
            </w:tcBorders>
            <w:gridSpan w:val="2"/>
            <w:shd w:val="clear" w:color="auto" w:fill="CCEEFF"/>
          </w:tcPr>
          <w:p>
            <w:pPr>
              <w:ind w:left="380"/>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CEEFF"/>
            </w:tcBorders>
            <w:shd w:val="clear" w:color="auto" w:fill="CCEEFF"/>
          </w:tcPr>
          <w:p>
            <w:pPr>
              <w:spacing w:after="0"/>
              <w:rPr>
                <w:sz w:val="14"/>
                <w:szCs w:val="14"/>
                <w:color w:val="auto"/>
              </w:rPr>
            </w:pPr>
          </w:p>
        </w:tc>
        <w:tc>
          <w:tcPr>
            <w:tcW w:w="7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1100" w:type="dxa"/>
            <w:vAlign w:val="bottom"/>
            <w:tcBorders>
              <w:bottom w:val="single" w:sz="8" w:color="CCEEFF"/>
            </w:tcBorders>
            <w:shd w:val="clear" w:color="auto" w:fill="CCEEFF"/>
          </w:tcPr>
          <w:p>
            <w:pPr>
              <w:ind w:left="920"/>
              <w:spacing w:after="0"/>
              <w:rPr>
                <w:sz w:val="20"/>
                <w:szCs w:val="20"/>
                <w:color w:val="auto"/>
              </w:rPr>
            </w:pPr>
            <w:r>
              <w:rPr>
                <w:rFonts w:ascii="Times New Roman" w:cs="Times New Roman" w:eastAsia="Times New Roman" w:hAnsi="Times New Roman"/>
                <w:sz w:val="13"/>
                <w:szCs w:val="13"/>
                <w:color w:val="auto"/>
              </w:rPr>
              <w:t>(6)</w:t>
            </w:r>
          </w:p>
        </w:tc>
        <w:tc>
          <w:tcPr>
            <w:tcW w:w="8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0" w:type="dxa"/>
            <w:vAlign w:val="bottom"/>
          </w:tcPr>
          <w:p>
            <w:pPr>
              <w:spacing w:after="0"/>
              <w:rPr>
                <w:sz w:val="1"/>
                <w:szCs w:val="1"/>
                <w:color w:val="auto"/>
              </w:rPr>
            </w:pPr>
          </w:p>
        </w:tc>
      </w:tr>
      <w:tr>
        <w:trPr>
          <w:trHeight w:val="166"/>
        </w:trPr>
        <w:tc>
          <w:tcPr>
            <w:tcW w:w="30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Dividends</w:t>
            </w: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660" w:type="dxa"/>
            <w:vAlign w:val="bottom"/>
            <w:gridSpan w:val="2"/>
          </w:tcPr>
          <w:p>
            <w:pPr>
              <w:ind w:left="40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640" w:type="dxa"/>
            <w:vAlign w:val="bottom"/>
            <w:gridSpan w:val="2"/>
          </w:tcPr>
          <w:p>
            <w:pPr>
              <w:ind w:left="38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700" w:type="dxa"/>
            <w:vAlign w:val="bottom"/>
            <w:gridSpan w:val="2"/>
          </w:tcPr>
          <w:p>
            <w:pPr>
              <w:ind w:left="380"/>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(42)</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2"/>
          </w:tcPr>
          <w:p>
            <w:pPr>
              <w:ind w:left="92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(42)</w:t>
            </w:r>
          </w:p>
        </w:tc>
        <w:tc>
          <w:tcPr>
            <w:tcW w:w="0" w:type="dxa"/>
            <w:vAlign w:val="bottom"/>
          </w:tcPr>
          <w:p>
            <w:pPr>
              <w:spacing w:after="0"/>
              <w:rPr>
                <w:sz w:val="1"/>
                <w:szCs w:val="1"/>
                <w:color w:val="auto"/>
              </w:rPr>
            </w:pPr>
          </w:p>
        </w:tc>
      </w:tr>
      <w:tr>
        <w:trPr>
          <w:trHeight w:val="26"/>
        </w:trPr>
        <w:tc>
          <w:tcPr>
            <w:tcW w:w="304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3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Stock-based compensation</w:t>
            </w:r>
          </w:p>
        </w:tc>
        <w:tc>
          <w:tcPr>
            <w:tcW w:w="6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gridSpan w:val="2"/>
            <w:shd w:val="clear" w:color="auto" w:fill="CCEEFF"/>
          </w:tcPr>
          <w:p>
            <w:pPr>
              <w:ind w:left="40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gridSpan w:val="2"/>
            <w:shd w:val="clear" w:color="auto" w:fill="CCEEFF"/>
          </w:tcPr>
          <w:p>
            <w:pPr>
              <w:ind w:left="38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gridSpan w:val="2"/>
            <w:shd w:val="clear" w:color="auto" w:fill="CCEEFF"/>
          </w:tcPr>
          <w:p>
            <w:pPr>
              <w:ind w:left="38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1180" w:type="dxa"/>
            <w:vAlign w:val="bottom"/>
            <w:tcBorders>
              <w:bottom w:val="single" w:sz="8" w:color="CCEEFF"/>
            </w:tcBorders>
            <w:gridSpan w:val="2"/>
            <w:shd w:val="clear" w:color="auto" w:fill="CCEEFF"/>
          </w:tcPr>
          <w:p>
            <w:pPr>
              <w:ind w:left="92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0" w:type="dxa"/>
            <w:vAlign w:val="bottom"/>
          </w:tcPr>
          <w:p>
            <w:pPr>
              <w:spacing w:after="0"/>
              <w:rPr>
                <w:sz w:val="1"/>
                <w:szCs w:val="1"/>
                <w:color w:val="auto"/>
              </w:rPr>
            </w:pPr>
          </w:p>
        </w:tc>
      </w:tr>
      <w:tr>
        <w:trPr>
          <w:trHeight w:val="157"/>
        </w:trPr>
        <w:tc>
          <w:tcPr>
            <w:tcW w:w="3040" w:type="dxa"/>
            <w:vAlign w:val="bottom"/>
          </w:tcPr>
          <w:p>
            <w:pPr>
              <w:ind w:left="20"/>
              <w:spacing w:after="0" w:line="146" w:lineRule="exact"/>
              <w:rPr>
                <w:sz w:val="20"/>
                <w:szCs w:val="20"/>
                <w:color w:val="auto"/>
              </w:rPr>
            </w:pPr>
            <w:r>
              <w:rPr>
                <w:rFonts w:ascii="Times New Roman" w:cs="Times New Roman" w:eastAsia="Times New Roman" w:hAnsi="Times New Roman"/>
                <w:sz w:val="13"/>
                <w:szCs w:val="13"/>
                <w:color w:val="auto"/>
              </w:rPr>
              <w:t>Balance at March 31, 2023</w:t>
            </w: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246</w:t>
            </w:r>
          </w:p>
        </w:tc>
        <w:tc>
          <w:tcPr>
            <w:tcW w:w="80" w:type="dxa"/>
            <w:vAlign w:val="bottom"/>
          </w:tcPr>
          <w:p>
            <w:pPr>
              <w:spacing w:after="0"/>
              <w:rPr>
                <w:sz w:val="13"/>
                <w:szCs w:val="13"/>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Borders>
              <w:top w:val="single" w:sz="8" w:color="auto"/>
            </w:tcBorders>
          </w:tcPr>
          <w:p>
            <w:pPr>
              <w:ind w:left="40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64</w:t>
            </w:r>
          </w:p>
        </w:tc>
        <w:tc>
          <w:tcPr>
            <w:tcW w:w="100" w:type="dxa"/>
            <w:vAlign w:val="bottom"/>
          </w:tcPr>
          <w:p>
            <w:pPr>
              <w:spacing w:after="0"/>
              <w:rPr>
                <w:sz w:val="13"/>
                <w:szCs w:val="13"/>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Borders>
              <w:top w:val="single" w:sz="8" w:color="auto"/>
            </w:tcBorders>
          </w:tcPr>
          <w:p>
            <w:pPr>
              <w:ind w:left="3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3"/>
                <w:szCs w:val="13"/>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top w:val="single" w:sz="8" w:color="auto"/>
            </w:tcBorders>
            <w:gridSpan w:val="2"/>
          </w:tcPr>
          <w:p>
            <w:pPr>
              <w:ind w:left="380"/>
              <w:spacing w:after="0"/>
              <w:rPr>
                <w:sz w:val="20"/>
                <w:szCs w:val="20"/>
                <w:color w:val="auto"/>
              </w:rPr>
            </w:pPr>
            <w:r>
              <w:rPr>
                <w:rFonts w:ascii="Times New Roman" w:cs="Times New Roman" w:eastAsia="Times New Roman" w:hAnsi="Times New Roman"/>
                <w:sz w:val="13"/>
                <w:szCs w:val="13"/>
                <w:color w:val="auto"/>
              </w:rPr>
              <w:t>— $</w:t>
            </w: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1,336</w:t>
            </w:r>
          </w:p>
        </w:tc>
        <w:tc>
          <w:tcPr>
            <w:tcW w:w="80" w:type="dxa"/>
            <w:vAlign w:val="bottom"/>
          </w:tcPr>
          <w:p>
            <w:pPr>
              <w:spacing w:after="0"/>
              <w:rPr>
                <w:sz w:val="13"/>
                <w:szCs w:val="13"/>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(1,446)</w:t>
            </w:r>
          </w:p>
        </w:tc>
        <w:tc>
          <w:tcPr>
            <w:tcW w:w="80" w:type="dxa"/>
            <w:vAlign w:val="bottom"/>
          </w:tcPr>
          <w:p>
            <w:pPr>
              <w:spacing w:after="0"/>
              <w:rPr>
                <w:sz w:val="13"/>
                <w:szCs w:val="13"/>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tcBorders>
              <w:top w:val="single" w:sz="8" w:color="auto"/>
            </w:tcBorders>
          </w:tcPr>
          <w:p>
            <w:pPr>
              <w:ind w:left="920"/>
              <w:spacing w:after="0"/>
              <w:rPr>
                <w:sz w:val="20"/>
                <w:szCs w:val="20"/>
                <w:color w:val="auto"/>
              </w:rPr>
            </w:pPr>
            <w:r>
              <w:rPr>
                <w:rFonts w:ascii="Times New Roman" w:cs="Times New Roman" w:eastAsia="Times New Roman" w:hAnsi="Times New Roman"/>
                <w:sz w:val="13"/>
                <w:szCs w:val="13"/>
                <w:color w:val="auto"/>
              </w:rPr>
              <w:t>30</w:t>
            </w:r>
          </w:p>
        </w:tc>
        <w:tc>
          <w:tcPr>
            <w:tcW w:w="80" w:type="dxa"/>
            <w:vAlign w:val="bottom"/>
          </w:tcPr>
          <w:p>
            <w:pPr>
              <w:spacing w:after="0"/>
              <w:rPr>
                <w:sz w:val="13"/>
                <w:szCs w:val="13"/>
                <w:color w:val="auto"/>
              </w:rPr>
            </w:pPr>
          </w:p>
        </w:tc>
        <w:tc>
          <w:tcPr>
            <w:tcW w:w="160" w:type="dxa"/>
            <w:vAlign w:val="bottom"/>
            <w:tcBorders>
              <w:top w:val="single" w:sz="8" w:color="auto"/>
            </w:tcBorders>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(80)</w:t>
            </w:r>
          </w:p>
        </w:tc>
        <w:tc>
          <w:tcPr>
            <w:tcW w:w="0" w:type="dxa"/>
            <w:vAlign w:val="bottom"/>
          </w:tcPr>
          <w:p>
            <w:pPr>
              <w:spacing w:after="0"/>
              <w:rPr>
                <w:sz w:val="1"/>
                <w:szCs w:val="1"/>
                <w:color w:val="auto"/>
              </w:rPr>
            </w:pPr>
          </w:p>
        </w:tc>
      </w:tr>
      <w:tr>
        <w:trPr>
          <w:trHeight w:val="26"/>
        </w:trPr>
        <w:tc>
          <w:tcPr>
            <w:tcW w:w="304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0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7"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14"/>
          <w:szCs w:val="14"/>
          <w:color w:val="231F20"/>
        </w:rPr>
        <w:t>The Notes to the Consolidated Interim Financial Statements are an integral part of this statement.</w:t>
      </w:r>
    </w:p>
    <w:p>
      <w:pPr>
        <w:spacing w:after="0" w:line="297"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171450</wp:posOffset>
            </wp:positionV>
            <wp:extent cx="7186930"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180"/>
          </w:cols>
          <w:pgMar w:left="300" w:top="762" w:right="419" w:bottom="1440" w:gutter="0" w:footer="0" w:header="0"/>
        </w:sectPr>
      </w:pPr>
    </w:p>
    <w:bookmarkStart w:id="7" w:name="page8"/>
    <w:bookmarkEnd w:id="7"/>
    <w:p>
      <w:pPr>
        <w:jc w:val="center"/>
        <w:ind w:right="-319"/>
        <w:spacing w:after="0"/>
        <w:rPr>
          <w:sz w:val="20"/>
          <w:szCs w:val="20"/>
          <w:color w:val="auto"/>
        </w:rPr>
      </w:pPr>
      <w:r>
        <w:rPr>
          <w:rFonts w:ascii="Times New Roman" w:cs="Times New Roman" w:eastAsia="Times New Roman" w:hAnsi="Times New Roman"/>
          <w:sz w:val="14"/>
          <w:szCs w:val="14"/>
          <w:b w:val="1"/>
          <w:bCs w:val="1"/>
          <w:color w:val="auto"/>
        </w:rPr>
        <w:t>GARRETT MOTION INC.</w:t>
      </w:r>
    </w:p>
    <w:p>
      <w:pPr>
        <w:spacing w:after="0" w:line="25"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4"/>
          <w:szCs w:val="14"/>
          <w:b w:val="1"/>
          <w:bCs w:val="1"/>
          <w:color w:val="auto"/>
        </w:rPr>
        <w:t>NOTES TO CONSOLIDATED INTERIM FINANCIAL STATEMENTS</w:t>
      </w:r>
    </w:p>
    <w:p>
      <w:pPr>
        <w:spacing w:after="0" w:line="9"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9"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4"/>
          <w:szCs w:val="14"/>
          <w:b w:val="1"/>
          <w:bCs w:val="1"/>
          <w:color w:val="auto"/>
        </w:rPr>
        <w:t>(Dollars in millions, except per share amounts)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 Background and Basis of Presentation</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Background</w:t>
      </w:r>
    </w:p>
    <w:p>
      <w:pPr>
        <w:spacing w:after="0" w:line="152" w:lineRule="exact"/>
        <w:rPr>
          <w:sz w:val="20"/>
          <w:szCs w:val="20"/>
          <w:color w:val="auto"/>
        </w:rPr>
      </w:pPr>
    </w:p>
    <w:p>
      <w:pPr>
        <w:jc w:val="both"/>
        <w:ind w:firstLine="307"/>
        <w:spacing w:after="0" w:line="261" w:lineRule="auto"/>
        <w:rPr>
          <w:sz w:val="20"/>
          <w:szCs w:val="20"/>
          <w:color w:val="auto"/>
        </w:rPr>
      </w:pPr>
      <w:r>
        <w:rPr>
          <w:rFonts w:ascii="Times New Roman" w:cs="Times New Roman" w:eastAsia="Times New Roman" w:hAnsi="Times New Roman"/>
          <w:sz w:val="14"/>
          <w:szCs w:val="14"/>
          <w:color w:val="auto"/>
        </w:rPr>
        <w:t>Garrett Motion Inc. (the “Company” or “Garrett”), is a cutting-edge technology leader delivering differentiated solutions for emission reduction and energy efficiency. We design, manufacture, and sell highly engineered turbocharging, air and fluid compression, and high-speed electric motor technologies to original equipment manufacturers (“OEMs”) and distributors within the mobility and industrial space. We have significant expertise in delivering products at scale for internal combustion engines using gasoline, diesel, natural gas, and hydrogen, as well as for zero emission technologies using hydrogen fuel cell systems, both for mobility and industrial use. As our customers continue to progress on electrification, we are applying our technological pillars to develop highly engineered E-Powertrain and E-Cooling compressor products to support their ambition. These products are key enablers for fuel economy, energy efficiency, thermal management, and compliance with emissions standards and overall greenhouse gas and other emission reduction targets.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Basis of Presentation</w:t>
      </w:r>
    </w:p>
    <w:p>
      <w:pPr>
        <w:spacing w:after="0" w:line="152" w:lineRule="exact"/>
        <w:rPr>
          <w:sz w:val="20"/>
          <w:szCs w:val="20"/>
          <w:color w:val="auto"/>
        </w:rPr>
      </w:pPr>
    </w:p>
    <w:p>
      <w:pPr>
        <w:jc w:val="both"/>
        <w:ind w:firstLine="307"/>
        <w:spacing w:after="0" w:line="261" w:lineRule="auto"/>
        <w:rPr>
          <w:sz w:val="20"/>
          <w:szCs w:val="20"/>
          <w:color w:val="auto"/>
        </w:rPr>
      </w:pPr>
      <w:r>
        <w:rPr>
          <w:rFonts w:ascii="Times New Roman" w:cs="Times New Roman" w:eastAsia="Times New Roman" w:hAnsi="Times New Roman"/>
          <w:sz w:val="14"/>
          <w:szCs w:val="14"/>
          <w:color w:val="auto"/>
        </w:rPr>
        <w:t>The accompanying unaudited Consolidated Interim Financial Statements have been prepared in accordance with the rules and regulations of the Securities and Exchange Commission applicable to interim financial statements. While these statements reflect all normal recurring adjustments that are, in the opinion of management, necessary for fair presentation of the results of the interim period, they do not include all of the information and footnotes required by United States generally accepted accounting principles (“GAAP”) for complete financial statements. The unaudited Consolidated Interim Financial Statements should therefore be read in conjunction with the Consolidated Financial Statements and accompanying notes for the year ended December 31, 2023 included in our Annual Report on Form 10-K, as filed with the Securities and Exchange Commission on February 15, 2024 (our “2023 Form 10-K”). The results of operations and cash flows for the three months ended March 31, 2024 should not necessarily be taken as indicative of the entire year. All amounts presented are in millions, except per share amounts.</w:t>
      </w:r>
    </w:p>
    <w:p>
      <w:pPr>
        <w:spacing w:after="0" w:line="110" w:lineRule="exact"/>
        <w:rPr>
          <w:sz w:val="20"/>
          <w:szCs w:val="20"/>
          <w:color w:val="auto"/>
        </w:rPr>
      </w:pPr>
    </w:p>
    <w:p>
      <w:pPr>
        <w:jc w:val="both"/>
        <w:ind w:firstLine="307"/>
        <w:spacing w:after="0" w:line="264" w:lineRule="auto"/>
        <w:rPr>
          <w:sz w:val="20"/>
          <w:szCs w:val="20"/>
          <w:color w:val="auto"/>
        </w:rPr>
      </w:pPr>
      <w:r>
        <w:rPr>
          <w:rFonts w:ascii="Times New Roman" w:cs="Times New Roman" w:eastAsia="Times New Roman" w:hAnsi="Times New Roman"/>
          <w:sz w:val="14"/>
          <w:szCs w:val="14"/>
          <w:color w:val="auto"/>
        </w:rPr>
        <w:t>We report our quarterly financial information using a calendar convention: the first, second and third quarters are consistently reported as ending on March 31, June 30 and September 30. It has been our practice to establish actual quarterly closing dates using a predetermined fiscal calendar, which requires our businesses to close their books on a Saturday to minimize the potentially disruptive effects of quarterly closing on our business processes. For differences in actual closing dates that are material to year-over-year comparisons of quarterly or year-to-date results, such differences have been adjusted for the three months ended March 31, 2024. Our actual closing dates for the three months ended March 31, 2024 and 2023 were March 30, 2024 and April 1, 2023, respectively.</w:t>
      </w:r>
    </w:p>
    <w:p>
      <w:pPr>
        <w:spacing w:after="0" w:line="291" w:lineRule="exact"/>
        <w:rPr>
          <w:sz w:val="20"/>
          <w:szCs w:val="20"/>
          <w:color w:val="auto"/>
        </w:rPr>
      </w:pPr>
    </w:p>
    <w:p>
      <w:pPr>
        <w:jc w:val="both"/>
        <w:ind w:firstLine="307"/>
        <w:spacing w:after="0" w:line="266" w:lineRule="auto"/>
        <w:rPr>
          <w:sz w:val="20"/>
          <w:szCs w:val="20"/>
          <w:color w:val="auto"/>
        </w:rPr>
      </w:pPr>
      <w:r>
        <w:rPr>
          <w:rFonts w:ascii="Times New Roman" w:cs="Times New Roman" w:eastAsia="Times New Roman" w:hAnsi="Times New Roman"/>
          <w:sz w:val="14"/>
          <w:szCs w:val="14"/>
          <w:color w:val="auto"/>
        </w:rPr>
        <w:t xml:space="preserve">We evaluate segment reporting in accordance with ASC 280, </w:t>
      </w:r>
      <w:r>
        <w:rPr>
          <w:rFonts w:ascii="Times New Roman" w:cs="Times New Roman" w:eastAsia="Times New Roman" w:hAnsi="Times New Roman"/>
          <w:sz w:val="14"/>
          <w:szCs w:val="14"/>
          <w:i w:val="1"/>
          <w:iCs w:val="1"/>
          <w:color w:val="auto"/>
        </w:rPr>
        <w:t>Segment Reporting</w:t>
      </w:r>
      <w:r>
        <w:rPr>
          <w:rFonts w:ascii="Times New Roman" w:cs="Times New Roman" w:eastAsia="Times New Roman" w:hAnsi="Times New Roman"/>
          <w:sz w:val="14"/>
          <w:szCs w:val="14"/>
          <w:color w:val="auto"/>
        </w:rPr>
        <w:t>. We concluded that Garrett operates in a single operating segment and a single reportable segment based on the operating results available and evaluated regularly by the chief operating decision maker (“CODM”), which is our Chief Executive Officer, to make decisions about resource allocation and performance assessment. The CODM makes operational performance assessments and resource allocation decisions on a consolidated basis, inclusive of all of the Company’s products across channels and geographies.</w:t>
      </w:r>
    </w:p>
    <w:p>
      <w:pPr>
        <w:spacing w:after="0" w:line="108" w:lineRule="exact"/>
        <w:rPr>
          <w:sz w:val="20"/>
          <w:szCs w:val="20"/>
          <w:color w:val="auto"/>
        </w:rPr>
      </w:pPr>
    </w:p>
    <w:p>
      <w:pPr>
        <w:jc w:val="both"/>
        <w:ind w:firstLine="307"/>
        <w:spacing w:after="0" w:line="271" w:lineRule="auto"/>
        <w:rPr>
          <w:sz w:val="20"/>
          <w:szCs w:val="20"/>
          <w:color w:val="auto"/>
        </w:rPr>
      </w:pPr>
      <w:r>
        <w:rPr>
          <w:rFonts w:ascii="Times New Roman" w:cs="Times New Roman" w:eastAsia="Times New Roman" w:hAnsi="Times New Roman"/>
          <w:sz w:val="14"/>
          <w:szCs w:val="14"/>
          <w:color w:val="auto"/>
        </w:rPr>
        <w:t>The preparation of the financial statements in conformity with GAAP requires management to make estimates that affect the reported amounts of assets and liabilities and disclosure of contingent assets and liabilities at the date of the financial statements and the reported amounts of revenues and expenses during the reporting period. Management bases these estimates on assumptions that it believes to be reasonable under the circumstances. Actual results could differ from the original estimates, requiring adjustments to these balances in future periods.</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2. Summary of Significant Accounting Policies</w:t>
      </w:r>
    </w:p>
    <w:p>
      <w:pPr>
        <w:spacing w:after="0" w:line="16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The accounting policies of the Company are set forth in Note 3 to the Consolidated Financial Statements for the year ended December 31, 2023 included in our 2023 Form 10-K.</w:t>
      </w:r>
    </w:p>
    <w:p>
      <w:pPr>
        <w:spacing w:after="0" w:line="286"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178435</wp:posOffset>
            </wp:positionV>
            <wp:extent cx="7186930"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62" w:right="31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4"/>
          <w:szCs w:val="14"/>
          <w:b w:val="1"/>
          <w:bCs w:val="1"/>
          <w:i w:val="1"/>
          <w:iCs w:val="1"/>
          <w:color w:val="auto"/>
        </w:rPr>
        <w:t>Accounting Standards Issued But Not Yet Adopted</w:t>
      </w:r>
    </w:p>
    <w:p>
      <w:pPr>
        <w:spacing w:after="0" w:line="160" w:lineRule="exact"/>
        <w:rPr>
          <w:sz w:val="20"/>
          <w:szCs w:val="20"/>
          <w:color w:val="auto"/>
        </w:rPr>
      </w:pPr>
    </w:p>
    <w:p>
      <w:pPr>
        <w:jc w:val="both"/>
        <w:ind w:firstLine="307"/>
        <w:spacing w:after="0" w:line="266" w:lineRule="auto"/>
        <w:rPr>
          <w:sz w:val="20"/>
          <w:szCs w:val="20"/>
          <w:color w:val="auto"/>
        </w:rPr>
      </w:pPr>
      <w:r>
        <w:rPr>
          <w:rFonts w:ascii="Times New Roman" w:cs="Times New Roman" w:eastAsia="Times New Roman" w:hAnsi="Times New Roman"/>
          <w:sz w:val="14"/>
          <w:szCs w:val="14"/>
          <w:color w:val="auto"/>
        </w:rPr>
        <w:t xml:space="preserve">In November 2023, the Financial Accounting Standards Board ("FASB") issued accounting standards update ("ASU") 2023-07, </w:t>
      </w:r>
      <w:r>
        <w:rPr>
          <w:rFonts w:ascii="Times New Roman" w:cs="Times New Roman" w:eastAsia="Times New Roman" w:hAnsi="Times New Roman"/>
          <w:sz w:val="14"/>
          <w:szCs w:val="14"/>
          <w:i w:val="1"/>
          <w:iCs w:val="1"/>
          <w:color w:val="auto"/>
        </w:rPr>
        <w:t>Segment Reporting (Topic 280)</w:t>
      </w:r>
      <w:r>
        <w:rPr>
          <w:rFonts w:ascii="Times New Roman" w:cs="Times New Roman" w:eastAsia="Times New Roman" w:hAnsi="Times New Roman"/>
          <w:sz w:val="14"/>
          <w:szCs w:val="14"/>
          <w:color w:val="auto"/>
        </w:rPr>
        <w:t>: Improvements to Reportable Segment Disclosures</w:t>
      </w:r>
      <w:r>
        <w:rPr>
          <w:rFonts w:ascii="Times New Roman" w:cs="Times New Roman" w:eastAsia="Times New Roman" w:hAnsi="Times New Roman"/>
          <w:sz w:val="14"/>
          <w:szCs w:val="14"/>
          <w:color w:val="231F20"/>
        </w:rPr>
        <w:t>. The amendments in this update require companies with a single reportable segment to provide all existing segment disclosures, as well as requires incremental segment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color w:val="231F20"/>
        </w:rPr>
        <w:t>information to be disclosed. The guidance is effective for fiscal years beginning after December 15, 2023 on a retrospective basis, and interim periods within fiscal years beginning after December 15, 2024. The Company is currently evaluating the guidance to determine the impact on its disclosures.</w:t>
      </w:r>
    </w:p>
    <w:p>
      <w:pPr>
        <w:spacing w:after="0" w:line="106" w:lineRule="exact"/>
        <w:rPr>
          <w:sz w:val="20"/>
          <w:szCs w:val="20"/>
          <w:color w:val="auto"/>
        </w:rPr>
      </w:pPr>
    </w:p>
    <w:p>
      <w:pPr>
        <w:jc w:val="both"/>
        <w:ind w:firstLine="307"/>
        <w:spacing w:after="0" w:line="273" w:lineRule="auto"/>
        <w:rPr>
          <w:sz w:val="20"/>
          <w:szCs w:val="20"/>
          <w:color w:val="auto"/>
        </w:rPr>
      </w:pPr>
      <w:r>
        <w:rPr>
          <w:rFonts w:ascii="Times New Roman" w:cs="Times New Roman" w:eastAsia="Times New Roman" w:hAnsi="Times New Roman"/>
          <w:sz w:val="14"/>
          <w:szCs w:val="14"/>
          <w:color w:val="231F20"/>
        </w:rPr>
        <w:t xml:space="preserve">In December 2023, the FASB issued ASU 2023-09, </w:t>
      </w:r>
      <w:r>
        <w:rPr>
          <w:rFonts w:ascii="Times New Roman" w:cs="Times New Roman" w:eastAsia="Times New Roman" w:hAnsi="Times New Roman"/>
          <w:sz w:val="14"/>
          <w:szCs w:val="14"/>
          <w:i w:val="1"/>
          <w:iCs w:val="1"/>
          <w:color w:val="231F20"/>
        </w:rPr>
        <w:t>Income Taxes (Topic 740): Improvements to Income Tax Disclosures</w:t>
      </w:r>
      <w:r>
        <w:rPr>
          <w:rFonts w:ascii="Times New Roman" w:cs="Times New Roman" w:eastAsia="Times New Roman" w:hAnsi="Times New Roman"/>
          <w:sz w:val="14"/>
          <w:szCs w:val="14"/>
          <w:color w:val="231F20"/>
        </w:rPr>
        <w:t>. The amendments in this update increase the transparency around income tax information through improvements to disclosures primarily related to the rate reconciliation and income taxes paid information. The guidance is effective for fiscal years beginning after December 15, 2024 on a prospective basis. Early adoption is permitted. The Company is currently evaluating the guidance to determine the impact on its disclosures.</w:t>
      </w:r>
    </w:p>
    <w:p>
      <w:pPr>
        <w:spacing w:after="0" w:line="102" w:lineRule="exact"/>
        <w:rPr>
          <w:sz w:val="20"/>
          <w:szCs w:val="20"/>
          <w:color w:val="auto"/>
        </w:rPr>
      </w:pPr>
    </w:p>
    <w:p>
      <w:pPr>
        <w:jc w:val="both"/>
        <w:ind w:firstLine="307"/>
        <w:spacing w:after="0" w:line="289" w:lineRule="auto"/>
        <w:rPr>
          <w:sz w:val="20"/>
          <w:szCs w:val="20"/>
          <w:color w:val="auto"/>
        </w:rPr>
      </w:pPr>
      <w:r>
        <w:rPr>
          <w:rFonts w:ascii="Times New Roman" w:cs="Times New Roman" w:eastAsia="Times New Roman" w:hAnsi="Times New Roman"/>
          <w:sz w:val="14"/>
          <w:szCs w:val="14"/>
          <w:color w:val="231F20"/>
        </w:rPr>
        <w:t>There are no other recently issued, but not yet adopted, accounting pronouncements which are expected to have a material impact on the Company's Consolidated Interim Financial Statements and related disclosures.</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3. Revenue Recognition and Contracts with Customers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Disaggregated Revenue</w:t>
      </w:r>
    </w:p>
    <w:p>
      <w:pPr>
        <w:spacing w:after="0" w:line="15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Net sales by region (determined based on country of shipment) and channel are as follows: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1440" w:type="dxa"/>
            <w:vAlign w:val="bottom"/>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920" w:type="dxa"/>
            <w:vAlign w:val="bottom"/>
            <w:tcBorders>
              <w:bottom w:val="single" w:sz="8" w:color="auto"/>
            </w:tcBorders>
            <w:gridSpan w:val="3"/>
          </w:tcPr>
          <w:p>
            <w:pPr>
              <w:ind w:left="80"/>
              <w:spacing w:after="0"/>
              <w:rPr>
                <w:sz w:val="20"/>
                <w:szCs w:val="20"/>
                <w:color w:val="auto"/>
              </w:rPr>
            </w:pPr>
            <w:r>
              <w:rPr>
                <w:rFonts w:ascii="Times New Roman" w:cs="Times New Roman" w:eastAsia="Times New Roman" w:hAnsi="Times New Roman"/>
                <w:sz w:val="11"/>
                <w:szCs w:val="11"/>
                <w:b w:val="1"/>
                <w:bCs w:val="1"/>
                <w:color w:val="auto"/>
              </w:rPr>
              <w:t>Three Months Ended March 31, 2024</w:t>
            </w:r>
          </w:p>
        </w:tc>
        <w:tc>
          <w:tcPr>
            <w:tcW w:w="2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34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920" w:type="dxa"/>
            <w:vAlign w:val="bottom"/>
            <w:tcBorders>
              <w:bottom w:val="single" w:sz="8" w:color="auto"/>
            </w:tcBorders>
            <w:gridSpan w:val="3"/>
          </w:tcPr>
          <w:p>
            <w:pPr>
              <w:ind w:left="80"/>
              <w:spacing w:after="0"/>
              <w:rPr>
                <w:sz w:val="20"/>
                <w:szCs w:val="20"/>
                <w:color w:val="auto"/>
              </w:rPr>
            </w:pPr>
            <w:r>
              <w:rPr>
                <w:rFonts w:ascii="Times New Roman" w:cs="Times New Roman" w:eastAsia="Times New Roman" w:hAnsi="Times New Roman"/>
                <w:sz w:val="11"/>
                <w:szCs w:val="11"/>
                <w:b w:val="1"/>
                <w:bCs w:val="1"/>
                <w:color w:val="auto"/>
              </w:rPr>
              <w:t>Three Months Ended March 31, 2023</w:t>
            </w:r>
          </w:p>
        </w:tc>
        <w:tc>
          <w:tcPr>
            <w:tcW w:w="2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r>
      <w:tr>
        <w:trPr>
          <w:trHeight w:val="161"/>
        </w:trPr>
        <w:tc>
          <w:tcPr>
            <w:tcW w:w="1440" w:type="dxa"/>
            <w:vAlign w:val="bottom"/>
          </w:tcPr>
          <w:p>
            <w:pPr>
              <w:spacing w:after="0"/>
              <w:rPr>
                <w:sz w:val="14"/>
                <w:szCs w:val="14"/>
                <w:color w:val="auto"/>
              </w:rPr>
            </w:pPr>
          </w:p>
        </w:tc>
        <w:tc>
          <w:tcPr>
            <w:tcW w:w="76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1"/>
                <w:szCs w:val="11"/>
                <w:b w:val="1"/>
                <w:bCs w:val="1"/>
                <w:color w:val="auto"/>
              </w:rPr>
              <w:t>OEM</w:t>
            </w:r>
          </w:p>
        </w:tc>
        <w:tc>
          <w:tcPr>
            <w:tcW w:w="3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1"/>
                <w:szCs w:val="11"/>
                <w:b w:val="1"/>
                <w:bCs w:val="1"/>
                <w:color w:val="auto"/>
              </w:rPr>
              <w:t>Aftermarket</w:t>
            </w:r>
          </w:p>
        </w:tc>
        <w:tc>
          <w:tcPr>
            <w:tcW w:w="88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1"/>
                <w:szCs w:val="11"/>
                <w:b w:val="1"/>
                <w:bCs w:val="1"/>
                <w:color w:val="auto"/>
              </w:rPr>
              <w:t>Other</w:t>
            </w:r>
          </w:p>
        </w:tc>
        <w:tc>
          <w:tcPr>
            <w:tcW w:w="2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gridSpan w:val="2"/>
          </w:tcPr>
          <w:p>
            <w:pPr>
              <w:ind w:left="180"/>
              <w:spacing w:after="0"/>
              <w:rPr>
                <w:sz w:val="20"/>
                <w:szCs w:val="20"/>
                <w:color w:val="auto"/>
              </w:rPr>
            </w:pPr>
            <w:r>
              <w:rPr>
                <w:rFonts w:ascii="Times New Roman" w:cs="Times New Roman" w:eastAsia="Times New Roman" w:hAnsi="Times New Roman"/>
                <w:sz w:val="11"/>
                <w:szCs w:val="11"/>
                <w:b w:val="1"/>
                <w:bCs w:val="1"/>
                <w:color w:val="auto"/>
              </w:rPr>
              <w:t>Total</w:t>
            </w:r>
          </w:p>
        </w:tc>
        <w:tc>
          <w:tcPr>
            <w:tcW w:w="3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1"/>
                <w:szCs w:val="11"/>
                <w:b w:val="1"/>
                <w:bCs w:val="1"/>
                <w:color w:val="auto"/>
              </w:rPr>
              <w:t>OEM</w:t>
            </w:r>
          </w:p>
        </w:tc>
        <w:tc>
          <w:tcPr>
            <w:tcW w:w="1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1"/>
                <w:szCs w:val="11"/>
                <w:b w:val="1"/>
                <w:bCs w:val="1"/>
                <w:color w:val="auto"/>
              </w:rPr>
              <w:t>Aftermarket</w:t>
            </w:r>
          </w:p>
        </w:tc>
        <w:tc>
          <w:tcPr>
            <w:tcW w:w="90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1"/>
                <w:szCs w:val="11"/>
                <w:b w:val="1"/>
                <w:bCs w:val="1"/>
                <w:color w:val="auto"/>
              </w:rPr>
              <w:t>Other</w:t>
            </w:r>
          </w:p>
        </w:tc>
        <w:tc>
          <w:tcPr>
            <w:tcW w:w="2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51"/>
              <w:spacing w:after="0"/>
              <w:rPr>
                <w:sz w:val="20"/>
                <w:szCs w:val="20"/>
                <w:color w:val="auto"/>
              </w:rPr>
            </w:pPr>
            <w:r>
              <w:rPr>
                <w:rFonts w:ascii="Times New Roman" w:cs="Times New Roman" w:eastAsia="Times New Roman" w:hAnsi="Times New Roman"/>
                <w:sz w:val="11"/>
                <w:szCs w:val="11"/>
                <w:b w:val="1"/>
                <w:bCs w:val="1"/>
                <w:color w:val="auto"/>
              </w:rPr>
              <w:t>Total</w:t>
            </w:r>
          </w:p>
        </w:tc>
      </w:tr>
      <w:tr>
        <w:trPr>
          <w:trHeight w:val="161"/>
        </w:trPr>
        <w:tc>
          <w:tcPr>
            <w:tcW w:w="1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540" w:type="dxa"/>
            <w:vAlign w:val="bottom"/>
            <w:gridSpan w:val="3"/>
          </w:tcPr>
          <w:p>
            <w:pPr>
              <w:jc w:val="right"/>
              <w:spacing w:after="0"/>
              <w:rPr>
                <w:sz w:val="20"/>
                <w:szCs w:val="20"/>
                <w:color w:val="auto"/>
              </w:rPr>
            </w:pPr>
            <w:r>
              <w:rPr>
                <w:rFonts w:ascii="Times New Roman" w:cs="Times New Roman" w:eastAsia="Times New Roman" w:hAnsi="Times New Roman"/>
                <w:sz w:val="11"/>
                <w:szCs w:val="11"/>
                <w:b w:val="1"/>
                <w:bCs w:val="1"/>
                <w:color w:val="auto"/>
              </w:rPr>
              <w:t>(Dollars in millions)</w:t>
            </w: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40" w:type="dxa"/>
            <w:vAlign w:val="bottom"/>
          </w:tcPr>
          <w:p>
            <w:pPr>
              <w:spacing w:after="0"/>
              <w:rPr>
                <w:sz w:val="13"/>
                <w:szCs w:val="13"/>
                <w:color w:val="auto"/>
              </w:rPr>
            </w:pPr>
          </w:p>
        </w:tc>
      </w:tr>
      <w:tr>
        <w:trPr>
          <w:trHeight w:val="212"/>
        </w:trPr>
        <w:tc>
          <w:tcPr>
            <w:tcW w:w="1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United States</w:t>
            </w:r>
          </w:p>
        </w:tc>
        <w:tc>
          <w:tcPr>
            <w:tcW w:w="760" w:type="dxa"/>
            <w:vAlign w:val="bottom"/>
            <w:shd w:val="clear" w:color="auto" w:fill="CCEEFF"/>
          </w:tcPr>
          <w:p>
            <w:pPr>
              <w:jc w:val="right"/>
              <w:ind w:right="614"/>
              <w:spacing w:after="0"/>
              <w:rPr>
                <w:sz w:val="20"/>
                <w:szCs w:val="20"/>
                <w:color w:val="auto"/>
              </w:rPr>
            </w:pPr>
            <w:r>
              <w:rPr>
                <w:rFonts w:ascii="Times New Roman" w:cs="Times New Roman" w:eastAsia="Times New Roman" w:hAnsi="Times New Roman"/>
                <w:sz w:val="14"/>
                <w:szCs w:val="14"/>
                <w:color w:val="auto"/>
                <w:w w:val="85"/>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734"/>
              <w:spacing w:after="0"/>
              <w:rPr>
                <w:sz w:val="20"/>
                <w:szCs w:val="20"/>
                <w:color w:val="auto"/>
              </w:rPr>
            </w:pPr>
            <w:r>
              <w:rPr>
                <w:rFonts w:ascii="Times New Roman" w:cs="Times New Roman" w:eastAsia="Times New Roman" w:hAnsi="Times New Roman"/>
                <w:sz w:val="14"/>
                <w:szCs w:val="14"/>
                <w:color w:val="auto"/>
                <w:w w:val="85"/>
              </w:rPr>
              <w:t>$</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178</w:t>
            </w: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w:t>
            </w: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754"/>
              <w:spacing w:after="0"/>
              <w:rPr>
                <w:sz w:val="20"/>
                <w:szCs w:val="20"/>
                <w:color w:val="auto"/>
              </w:rPr>
            </w:pPr>
            <w:r>
              <w:rPr>
                <w:rFonts w:ascii="Times New Roman" w:cs="Times New Roman" w:eastAsia="Times New Roman" w:hAnsi="Times New Roman"/>
                <w:sz w:val="14"/>
                <w:szCs w:val="14"/>
                <w:color w:val="auto"/>
                <w:w w:val="85"/>
              </w:rPr>
              <w:t>$</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173</w:t>
            </w:r>
          </w:p>
        </w:tc>
      </w:tr>
      <w:tr>
        <w:trPr>
          <w:trHeight w:val="197"/>
        </w:trPr>
        <w:tc>
          <w:tcPr>
            <w:tcW w:w="1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Europe</w:t>
            </w:r>
          </w:p>
        </w:tc>
        <w:tc>
          <w:tcPr>
            <w:tcW w:w="760" w:type="dxa"/>
            <w:vAlign w:val="bottom"/>
          </w:tcPr>
          <w:p>
            <w:pPr>
              <w:spacing w:after="0"/>
              <w:rPr>
                <w:sz w:val="17"/>
                <w:szCs w:val="17"/>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418</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w:t>
            </w: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469</w:t>
            </w:r>
          </w:p>
        </w:tc>
        <w:tc>
          <w:tcPr>
            <w:tcW w:w="3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446</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w:t>
            </w: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497</w:t>
            </w:r>
          </w:p>
        </w:tc>
      </w:tr>
      <w:tr>
        <w:trPr>
          <w:trHeight w:val="208"/>
        </w:trPr>
        <w:tc>
          <w:tcPr>
            <w:tcW w:w="1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Asia</w:t>
            </w:r>
          </w:p>
        </w:tc>
        <w:tc>
          <w:tcPr>
            <w:tcW w:w="76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252</w:t>
            </w: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282</w:t>
            </w:r>
          </w:p>
        </w:tc>
      </w:tr>
      <w:tr>
        <w:trPr>
          <w:trHeight w:val="197"/>
        </w:trPr>
        <w:tc>
          <w:tcPr>
            <w:tcW w:w="1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w:t>
            </w:r>
          </w:p>
        </w:tc>
        <w:tc>
          <w:tcPr>
            <w:tcW w:w="760" w:type="dxa"/>
            <w:vAlign w:val="bottom"/>
          </w:tcPr>
          <w:p>
            <w:pPr>
              <w:spacing w:after="0"/>
              <w:rPr>
                <w:sz w:val="17"/>
                <w:szCs w:val="17"/>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w w:val="99"/>
              </w:rPr>
              <w:t>—</w:t>
            </w:r>
          </w:p>
        </w:tc>
        <w:tc>
          <w:tcPr>
            <w:tcW w:w="2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3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w w:val="99"/>
              </w:rPr>
              <w:t>—</w:t>
            </w:r>
          </w:p>
        </w:tc>
        <w:tc>
          <w:tcPr>
            <w:tcW w:w="2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w:t>
            </w:r>
          </w:p>
        </w:tc>
      </w:tr>
      <w:tr>
        <w:trPr>
          <w:trHeight w:val="218"/>
        </w:trPr>
        <w:tc>
          <w:tcPr>
            <w:tcW w:w="1440" w:type="dxa"/>
            <w:vAlign w:val="bottom"/>
            <w:tcBorders>
              <w:top w:val="single" w:sz="8" w:color="CCEEFF"/>
              <w:bottom w:val="single" w:sz="8" w:color="CCEEFF"/>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ind w:right="614"/>
              <w:spacing w:after="0"/>
              <w:rPr>
                <w:sz w:val="20"/>
                <w:szCs w:val="20"/>
                <w:color w:val="auto"/>
              </w:rPr>
            </w:pPr>
            <w:r>
              <w:rPr>
                <w:rFonts w:ascii="Times New Roman" w:cs="Times New Roman" w:eastAsia="Times New Roman" w:hAnsi="Times New Roman"/>
                <w:sz w:val="14"/>
                <w:szCs w:val="14"/>
                <w:color w:val="auto"/>
                <w:w w:val="85"/>
              </w:rPr>
              <w:t>$</w:t>
            </w: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ind w:right="734"/>
              <w:spacing w:after="0"/>
              <w:rPr>
                <w:sz w:val="20"/>
                <w:szCs w:val="20"/>
                <w:color w:val="auto"/>
              </w:rPr>
            </w:pPr>
            <w:r>
              <w:rPr>
                <w:rFonts w:ascii="Times New Roman" w:cs="Times New Roman" w:eastAsia="Times New Roman" w:hAnsi="Times New Roman"/>
                <w:sz w:val="14"/>
                <w:szCs w:val="14"/>
                <w:color w:val="auto"/>
                <w:w w:val="85"/>
              </w:rPr>
              <w:t>$</w:t>
            </w:r>
          </w:p>
        </w:tc>
        <w:tc>
          <w:tcPr>
            <w:tcW w:w="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9"/>
              </w:rPr>
              <w:t>13</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915</w:t>
            </w:r>
          </w:p>
        </w:tc>
        <w:tc>
          <w:tcPr>
            <w:tcW w:w="340" w:type="dxa"/>
            <w:vAlign w:val="bottom"/>
            <w:tcBorders>
              <w:top w:val="single" w:sz="8" w:color="CCEEFF"/>
              <w:bottom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848</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ind w:right="754"/>
              <w:spacing w:after="0"/>
              <w:rPr>
                <w:sz w:val="20"/>
                <w:szCs w:val="20"/>
                <w:color w:val="auto"/>
              </w:rPr>
            </w:pPr>
            <w:r>
              <w:rPr>
                <w:rFonts w:ascii="Times New Roman" w:cs="Times New Roman" w:eastAsia="Times New Roman" w:hAnsi="Times New Roman"/>
                <w:sz w:val="14"/>
                <w:szCs w:val="14"/>
                <w:color w:val="auto"/>
                <w:w w:val="85"/>
              </w:rPr>
              <w:t>$</w:t>
            </w:r>
          </w:p>
        </w:tc>
        <w:tc>
          <w:tcPr>
            <w:tcW w:w="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9"/>
              </w:rPr>
              <w:t>12</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970</w:t>
            </w:r>
          </w:p>
        </w:tc>
      </w:tr>
      <w:tr>
        <w:trPr>
          <w:trHeight w:val="20"/>
        </w:trPr>
        <w:tc>
          <w:tcPr>
            <w:tcW w:w="144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r>
    </w:tbl>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Contract Balances</w:t>
      </w:r>
    </w:p>
    <w:p>
      <w:pPr>
        <w:spacing w:after="0" w:line="16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The following table summarizes our contract assets and liabilities balances: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8000" w:type="dxa"/>
            <w:vAlign w:val="bottom"/>
          </w:tcPr>
          <w:p>
            <w:pPr>
              <w:spacing w:after="0"/>
              <w:rPr>
                <w:sz w:val="13"/>
                <w:szCs w:val="13"/>
                <w:color w:val="auto"/>
              </w:rPr>
            </w:pPr>
          </w:p>
        </w:tc>
        <w:tc>
          <w:tcPr>
            <w:tcW w:w="102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1"/>
                <w:szCs w:val="11"/>
                <w:b w:val="1"/>
                <w:bCs w:val="1"/>
                <w:color w:val="auto"/>
              </w:rPr>
              <w:t>2024</w:t>
            </w:r>
          </w:p>
        </w:tc>
        <w:tc>
          <w:tcPr>
            <w:tcW w:w="5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611"/>
              <w:spacing w:after="0"/>
              <w:rPr>
                <w:sz w:val="20"/>
                <w:szCs w:val="20"/>
                <w:color w:val="auto"/>
              </w:rPr>
            </w:pPr>
            <w:r>
              <w:rPr>
                <w:rFonts w:ascii="Times New Roman" w:cs="Times New Roman" w:eastAsia="Times New Roman" w:hAnsi="Times New Roman"/>
                <w:sz w:val="11"/>
                <w:szCs w:val="11"/>
                <w:b w:val="1"/>
                <w:bCs w:val="1"/>
                <w:color w:val="auto"/>
              </w:rPr>
              <w:t>2023</w:t>
            </w:r>
          </w:p>
        </w:tc>
        <w:tc>
          <w:tcPr>
            <w:tcW w:w="0" w:type="dxa"/>
            <w:vAlign w:val="bottom"/>
          </w:tcPr>
          <w:p>
            <w:pPr>
              <w:spacing w:after="0"/>
              <w:rPr>
                <w:sz w:val="1"/>
                <w:szCs w:val="1"/>
                <w:color w:val="auto"/>
              </w:rPr>
            </w:pPr>
          </w:p>
        </w:tc>
      </w:tr>
      <w:tr>
        <w:trPr>
          <w:trHeight w:val="161"/>
        </w:trPr>
        <w:tc>
          <w:tcPr>
            <w:tcW w:w="80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20" w:type="dxa"/>
            <w:vAlign w:val="bottom"/>
            <w:gridSpan w:val="3"/>
          </w:tcPr>
          <w:p>
            <w:pPr>
              <w:jc w:val="right"/>
              <w:ind w:right="49"/>
              <w:spacing w:after="0"/>
              <w:rPr>
                <w:sz w:val="20"/>
                <w:szCs w:val="20"/>
                <w:color w:val="auto"/>
              </w:rPr>
            </w:pPr>
            <w:r>
              <w:rPr>
                <w:rFonts w:ascii="Times New Roman" w:cs="Times New Roman" w:eastAsia="Times New Roman" w:hAnsi="Times New Roman"/>
                <w:sz w:val="11"/>
                <w:szCs w:val="11"/>
                <w:b w:val="1"/>
                <w:bCs w:val="1"/>
                <w:color w:val="auto"/>
              </w:rPr>
              <w:t>(Dollars in millions)</w:t>
            </w: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2"/>
        </w:trPr>
        <w:tc>
          <w:tcPr>
            <w:tcW w:w="80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Contract assets—January 1</w:t>
            </w:r>
          </w:p>
        </w:tc>
        <w:tc>
          <w:tcPr>
            <w:tcW w:w="1020" w:type="dxa"/>
            <w:vAlign w:val="bottom"/>
            <w:shd w:val="clear" w:color="auto" w:fill="CCEEFF"/>
          </w:tcPr>
          <w:p>
            <w:pPr>
              <w:jc w:val="right"/>
              <w:ind w:right="872"/>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40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w:t>
            </w:r>
          </w:p>
        </w:tc>
        <w:tc>
          <w:tcPr>
            <w:tcW w:w="0" w:type="dxa"/>
            <w:vAlign w:val="bottom"/>
          </w:tcPr>
          <w:p>
            <w:pPr>
              <w:spacing w:after="0"/>
              <w:rPr>
                <w:sz w:val="1"/>
                <w:szCs w:val="1"/>
                <w:color w:val="auto"/>
              </w:rPr>
            </w:pPr>
          </w:p>
        </w:tc>
      </w:tr>
      <w:tr>
        <w:trPr>
          <w:trHeight w:val="197"/>
        </w:trPr>
        <w:tc>
          <w:tcPr>
            <w:tcW w:w="8000" w:type="dxa"/>
            <w:vAlign w:val="bottom"/>
            <w:tcBorders>
              <w:bottom w:val="single" w:sz="8" w:color="CFF0FC"/>
            </w:tcBorders>
          </w:tcPr>
          <w:p>
            <w:pPr>
              <w:ind w:left="20"/>
              <w:spacing w:after="0"/>
              <w:rPr>
                <w:sz w:val="20"/>
                <w:szCs w:val="20"/>
                <w:color w:val="auto"/>
              </w:rPr>
            </w:pPr>
            <w:r>
              <w:rPr>
                <w:rFonts w:ascii="Times New Roman" w:cs="Times New Roman" w:eastAsia="Times New Roman" w:hAnsi="Times New Roman"/>
                <w:sz w:val="14"/>
                <w:szCs w:val="14"/>
                <w:color w:val="auto"/>
              </w:rPr>
              <w:t>Contract assets—March 31</w:t>
            </w:r>
          </w:p>
        </w:tc>
        <w:tc>
          <w:tcPr>
            <w:tcW w:w="102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48</w:t>
            </w:r>
          </w:p>
        </w:tc>
        <w:tc>
          <w:tcPr>
            <w:tcW w:w="100" w:type="dxa"/>
            <w:vAlign w:val="bottom"/>
            <w:tcBorders>
              <w:bottom w:val="single" w:sz="8" w:color="CCEEFF"/>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66</w:t>
            </w:r>
          </w:p>
        </w:tc>
        <w:tc>
          <w:tcPr>
            <w:tcW w:w="0" w:type="dxa"/>
            <w:vAlign w:val="bottom"/>
          </w:tcPr>
          <w:p>
            <w:pPr>
              <w:spacing w:after="0"/>
              <w:rPr>
                <w:sz w:val="1"/>
                <w:szCs w:val="1"/>
                <w:color w:val="auto"/>
              </w:rPr>
            </w:pPr>
          </w:p>
        </w:tc>
      </w:tr>
      <w:tr>
        <w:trPr>
          <w:trHeight w:val="218"/>
        </w:trPr>
        <w:tc>
          <w:tcPr>
            <w:tcW w:w="80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Change in contract assets—Increase/(Decrease)</w:t>
            </w:r>
          </w:p>
        </w:tc>
        <w:tc>
          <w:tcPr>
            <w:tcW w:w="1020" w:type="dxa"/>
            <w:vAlign w:val="bottom"/>
            <w:tcBorders>
              <w:bottom w:val="single" w:sz="8" w:color="auto"/>
            </w:tcBorders>
            <w:shd w:val="clear" w:color="auto" w:fill="CCEEFF"/>
          </w:tcPr>
          <w:p>
            <w:pPr>
              <w:jc w:val="right"/>
              <w:ind w:right="872"/>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ind w:right="40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0" w:type="dxa"/>
            <w:vAlign w:val="bottom"/>
          </w:tcPr>
          <w:p>
            <w:pPr>
              <w:spacing w:after="0"/>
              <w:rPr>
                <w:sz w:val="1"/>
                <w:szCs w:val="1"/>
                <w:color w:val="auto"/>
              </w:rPr>
            </w:pPr>
          </w:p>
        </w:tc>
      </w:tr>
      <w:tr>
        <w:trPr>
          <w:trHeight w:val="20"/>
        </w:trPr>
        <w:tc>
          <w:tcPr>
            <w:tcW w:w="8000" w:type="dxa"/>
            <w:vAlign w:val="bottom"/>
            <w:tcBorders>
              <w:top w:val="single" w:sz="8" w:color="CFF0FC"/>
              <w:bottom w:val="single" w:sz="8" w:color="CFF0FC"/>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Contract liabilities—January 1</w:t>
            </w: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8000" w:type="dxa"/>
            <w:vAlign w:val="bottom"/>
            <w:vMerge w:val="continue"/>
          </w:tcPr>
          <w:p>
            <w:pPr>
              <w:spacing w:after="0"/>
              <w:rPr>
                <w:sz w:val="14"/>
                <w:szCs w:val="14"/>
                <w:color w:val="auto"/>
              </w:rPr>
            </w:pPr>
          </w:p>
        </w:tc>
        <w:tc>
          <w:tcPr>
            <w:tcW w:w="1020" w:type="dxa"/>
            <w:vAlign w:val="bottom"/>
          </w:tcPr>
          <w:p>
            <w:pPr>
              <w:jc w:val="right"/>
              <w:ind w:right="872"/>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00" w:type="dxa"/>
            <w:vAlign w:val="bottom"/>
          </w:tcPr>
          <w:p>
            <w:pPr>
              <w:spacing w:after="0"/>
              <w:rPr>
                <w:sz w:val="14"/>
                <w:szCs w:val="14"/>
                <w:color w:val="auto"/>
              </w:rPr>
            </w:pPr>
          </w:p>
        </w:tc>
        <w:tc>
          <w:tcPr>
            <w:tcW w:w="560" w:type="dxa"/>
            <w:vAlign w:val="bottom"/>
          </w:tcPr>
          <w:p>
            <w:pPr>
              <w:jc w:val="right"/>
              <w:ind w:right="40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0" w:type="dxa"/>
            <w:vAlign w:val="bottom"/>
          </w:tcPr>
          <w:p>
            <w:pPr>
              <w:spacing w:after="0"/>
              <w:rPr>
                <w:sz w:val="1"/>
                <w:szCs w:val="1"/>
                <w:color w:val="auto"/>
              </w:rPr>
            </w:pPr>
          </w:p>
        </w:tc>
      </w:tr>
      <w:tr>
        <w:trPr>
          <w:trHeight w:val="208"/>
        </w:trPr>
        <w:tc>
          <w:tcPr>
            <w:tcW w:w="80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Contract liabilities—March 31</w:t>
            </w:r>
          </w:p>
        </w:tc>
        <w:tc>
          <w:tcPr>
            <w:tcW w:w="1020" w:type="dxa"/>
            <w:vAlign w:val="bottom"/>
            <w:tcBorders>
              <w:bottom w:val="single" w:sz="8" w:color="auto"/>
            </w:tcBorders>
            <w:shd w:val="clear" w:color="auto" w:fill="CFF0FC"/>
          </w:tcPr>
          <w:p>
            <w:pPr>
              <w:spacing w:after="0"/>
              <w:rPr>
                <w:sz w:val="18"/>
                <w:szCs w:val="18"/>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shd w:val="clear" w:color="auto" w:fill="CFF0FC"/>
          </w:tcPr>
          <w:p>
            <w:pPr>
              <w:spacing w:after="0"/>
              <w:rPr>
                <w:sz w:val="18"/>
                <w:szCs w:val="18"/>
                <w:color w:val="auto"/>
              </w:rPr>
            </w:pPr>
          </w:p>
        </w:tc>
        <w:tc>
          <w:tcPr>
            <w:tcW w:w="56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0" w:type="dxa"/>
            <w:vAlign w:val="bottom"/>
          </w:tcPr>
          <w:p>
            <w:pPr>
              <w:spacing w:after="0"/>
              <w:rPr>
                <w:sz w:val="1"/>
                <w:szCs w:val="1"/>
                <w:color w:val="auto"/>
              </w:rPr>
            </w:pPr>
          </w:p>
        </w:tc>
      </w:tr>
      <w:tr>
        <w:trPr>
          <w:trHeight w:val="187"/>
        </w:trPr>
        <w:tc>
          <w:tcPr>
            <w:tcW w:w="8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Change in contract liabilities—Decrease/(Increase)</w:t>
            </w:r>
          </w:p>
        </w:tc>
        <w:tc>
          <w:tcPr>
            <w:tcW w:w="1020" w:type="dxa"/>
            <w:vAlign w:val="bottom"/>
            <w:tcBorders>
              <w:bottom w:val="single" w:sz="8" w:color="auto"/>
            </w:tcBorders>
          </w:tcPr>
          <w:p>
            <w:pPr>
              <w:jc w:val="right"/>
              <w:ind w:right="872"/>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6"/>
                <w:szCs w:val="16"/>
                <w:color w:val="auto"/>
              </w:rPr>
            </w:pPr>
          </w:p>
        </w:tc>
        <w:tc>
          <w:tcPr>
            <w:tcW w:w="560" w:type="dxa"/>
            <w:vAlign w:val="bottom"/>
            <w:tcBorders>
              <w:bottom w:val="single" w:sz="8" w:color="auto"/>
            </w:tcBorders>
          </w:tcPr>
          <w:p>
            <w:pPr>
              <w:jc w:val="right"/>
              <w:ind w:right="40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20"/>
        </w:trPr>
        <w:tc>
          <w:tcPr>
            <w:tcW w:w="80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4. Research, Development &amp; Engineering</w:t>
      </w:r>
    </w:p>
    <w:p>
      <w:pPr>
        <w:spacing w:after="0" w:line="150" w:lineRule="exact"/>
        <w:rPr>
          <w:sz w:val="20"/>
          <w:szCs w:val="20"/>
          <w:color w:val="auto"/>
        </w:rPr>
      </w:pPr>
    </w:p>
    <w:p>
      <w:pPr>
        <w:jc w:val="both"/>
        <w:ind w:firstLine="307"/>
        <w:spacing w:after="0" w:line="271" w:lineRule="auto"/>
        <w:rPr>
          <w:sz w:val="20"/>
          <w:szCs w:val="20"/>
          <w:color w:val="auto"/>
        </w:rPr>
      </w:pPr>
      <w:r>
        <w:rPr>
          <w:rFonts w:ascii="Times New Roman" w:cs="Times New Roman" w:eastAsia="Times New Roman" w:hAnsi="Times New Roman"/>
          <w:sz w:val="14"/>
          <w:szCs w:val="14"/>
          <w:color w:val="231F20"/>
        </w:rPr>
        <w:t>Garrett conducts research, development and engineering (“RD&amp;E”) activities, which consist primarily of the development of new products and product applications. RD&amp;E costs are charged to expense as incurred unless the Company has a contractual guarantee for reimbursement from the customer. Customer reimbursements are netted against gross RD&amp;E expenditures as they are considered a recovery of cost. Such costs are included in Cost of goods sold as follows:</w:t>
      </w:r>
    </w:p>
    <w:p>
      <w:pPr>
        <w:spacing w:after="0" w:line="253"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171450</wp:posOffset>
            </wp:positionV>
            <wp:extent cx="7186930"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98" w:right="319" w:bottom="1440" w:gutter="0" w:footer="0" w:header="0"/>
        </w:sectPr>
      </w:pPr>
    </w:p>
    <w:bookmarkStart w:id="9" w:name="page10"/>
    <w:bookmarkEnd w:id="9"/>
    <w:p>
      <w:pPr>
        <w:jc w:val="center"/>
        <w:ind w:left="8000"/>
        <w:spacing w:after="0"/>
        <w:rPr>
          <w:sz w:val="20"/>
          <w:szCs w:val="20"/>
          <w:color w:val="auto"/>
        </w:rPr>
      </w:pPr>
      <w:r>
        <w:rPr>
          <w:rFonts w:ascii="Times New Roman" w:cs="Times New Roman" w:eastAsia="Times New Roman" w:hAnsi="Times New Roman"/>
          <w:sz w:val="11"/>
          <w:szCs w:val="11"/>
          <w:b w:val="1"/>
          <w:bCs w:val="1"/>
          <w:color w:val="auto"/>
        </w:rPr>
        <w:t>Three Months Ended</w:t>
      </w:r>
    </w:p>
    <w:p>
      <w:pPr>
        <w:spacing w:after="0" w:line="15" w:lineRule="exact"/>
        <w:rPr>
          <w:sz w:val="20"/>
          <w:szCs w:val="20"/>
          <w:color w:val="auto"/>
        </w:rPr>
      </w:pPr>
    </w:p>
    <w:p>
      <w:pPr>
        <w:jc w:val="center"/>
        <w:ind w:left="8000"/>
        <w:spacing w:after="0"/>
        <w:rPr>
          <w:sz w:val="20"/>
          <w:szCs w:val="20"/>
          <w:color w:val="auto"/>
        </w:rPr>
      </w:pPr>
      <w:r>
        <w:rPr>
          <w:rFonts w:ascii="Times New Roman" w:cs="Times New Roman" w:eastAsia="Times New Roman" w:hAnsi="Times New Roman"/>
          <w:sz w:val="11"/>
          <w:szCs w:val="11"/>
          <w:b w:val="1"/>
          <w:bCs w:val="1"/>
          <w:color w:val="auto"/>
        </w:rPr>
        <w:t>March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020" w:type="dxa"/>
            <w:vAlign w:val="bottom"/>
          </w:tcPr>
          <w:p>
            <w:pPr>
              <w:spacing w:after="0"/>
              <w:rPr>
                <w:sz w:val="14"/>
                <w:szCs w:val="14"/>
                <w:color w:val="auto"/>
              </w:rPr>
            </w:pPr>
          </w:p>
        </w:tc>
        <w:tc>
          <w:tcPr>
            <w:tcW w:w="1040" w:type="dxa"/>
            <w:vAlign w:val="bottom"/>
            <w:tcBorders>
              <w:top w:val="single" w:sz="8" w:color="auto"/>
              <w:bottom w:val="single" w:sz="8" w:color="auto"/>
            </w:tcBorders>
          </w:tcPr>
          <w:p>
            <w:pPr>
              <w:jc w:val="right"/>
              <w:ind w:right="54"/>
              <w:spacing w:after="0"/>
              <w:rPr>
                <w:sz w:val="20"/>
                <w:szCs w:val="20"/>
                <w:color w:val="auto"/>
              </w:rPr>
            </w:pPr>
            <w:r>
              <w:rPr>
                <w:rFonts w:ascii="Times New Roman" w:cs="Times New Roman" w:eastAsia="Times New Roman" w:hAnsi="Times New Roman"/>
                <w:sz w:val="11"/>
                <w:szCs w:val="11"/>
                <w:b w:val="1"/>
                <w:bCs w:val="1"/>
                <w:color w:val="auto"/>
              </w:rPr>
              <w:t>2024</w:t>
            </w:r>
          </w:p>
        </w:tc>
        <w:tc>
          <w:tcPr>
            <w:tcW w:w="560" w:type="dxa"/>
            <w:vAlign w:val="bottom"/>
            <w:tcBorders>
              <w:top w:val="single" w:sz="8" w:color="auto"/>
              <w:bottom w:val="single" w:sz="8" w:color="auto"/>
            </w:tcBorders>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560" w:type="dxa"/>
            <w:vAlign w:val="bottom"/>
            <w:tcBorders>
              <w:top w:val="single" w:sz="8" w:color="auto"/>
              <w:bottom w:val="single" w:sz="8" w:color="auto"/>
            </w:tcBorders>
          </w:tcPr>
          <w:p>
            <w:pPr>
              <w:spacing w:after="0"/>
              <w:rPr>
                <w:sz w:val="14"/>
                <w:szCs w:val="14"/>
                <w:color w:val="auto"/>
              </w:rPr>
            </w:pPr>
          </w:p>
        </w:tc>
        <w:tc>
          <w:tcPr>
            <w:tcW w:w="1020" w:type="dxa"/>
            <w:vAlign w:val="bottom"/>
            <w:tcBorders>
              <w:top w:val="single" w:sz="8" w:color="auto"/>
              <w:bottom w:val="single" w:sz="8" w:color="auto"/>
            </w:tcBorders>
          </w:tcPr>
          <w:p>
            <w:pPr>
              <w:jc w:val="right"/>
              <w:ind w:right="613"/>
              <w:spacing w:after="0"/>
              <w:rPr>
                <w:sz w:val="20"/>
                <w:szCs w:val="20"/>
                <w:color w:val="auto"/>
              </w:rPr>
            </w:pPr>
            <w:r>
              <w:rPr>
                <w:rFonts w:ascii="Times New Roman" w:cs="Times New Roman" w:eastAsia="Times New Roman" w:hAnsi="Times New Roman"/>
                <w:sz w:val="11"/>
                <w:szCs w:val="11"/>
                <w:b w:val="1"/>
                <w:bCs w:val="1"/>
                <w:color w:val="auto"/>
              </w:rPr>
              <w:t>2023</w:t>
            </w:r>
          </w:p>
        </w:tc>
      </w:tr>
      <w:tr>
        <w:trPr>
          <w:trHeight w:val="161"/>
        </w:trPr>
        <w:tc>
          <w:tcPr>
            <w:tcW w:w="80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0" w:type="dxa"/>
            <w:vAlign w:val="bottom"/>
            <w:gridSpan w:val="3"/>
          </w:tcPr>
          <w:p>
            <w:pPr>
              <w:jc w:val="right"/>
              <w:ind w:right="49"/>
              <w:spacing w:after="0"/>
              <w:rPr>
                <w:sz w:val="20"/>
                <w:szCs w:val="20"/>
                <w:color w:val="auto"/>
              </w:rPr>
            </w:pPr>
            <w:r>
              <w:rPr>
                <w:rFonts w:ascii="Times New Roman" w:cs="Times New Roman" w:eastAsia="Times New Roman" w:hAnsi="Times New Roman"/>
                <w:sz w:val="11"/>
                <w:szCs w:val="11"/>
                <w:b w:val="1"/>
                <w:bCs w:val="1"/>
                <w:color w:val="auto"/>
              </w:rPr>
              <w:t>(Dollars in millions)</w:t>
            </w:r>
          </w:p>
        </w:tc>
        <w:tc>
          <w:tcPr>
            <w:tcW w:w="1020" w:type="dxa"/>
            <w:vAlign w:val="bottom"/>
          </w:tcPr>
          <w:p>
            <w:pPr>
              <w:spacing w:after="0"/>
              <w:rPr>
                <w:sz w:val="13"/>
                <w:szCs w:val="13"/>
                <w:color w:val="auto"/>
              </w:rPr>
            </w:pPr>
          </w:p>
        </w:tc>
      </w:tr>
      <w:tr>
        <w:trPr>
          <w:trHeight w:val="212"/>
        </w:trPr>
        <w:tc>
          <w:tcPr>
            <w:tcW w:w="80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Research and development costs</w:t>
            </w:r>
          </w:p>
        </w:tc>
        <w:tc>
          <w:tcPr>
            <w:tcW w:w="1040" w:type="dxa"/>
            <w:vAlign w:val="bottom"/>
            <w:shd w:val="clear" w:color="auto" w:fill="CFF0FC"/>
          </w:tcPr>
          <w:p>
            <w:pPr>
              <w:jc w:val="right"/>
              <w:ind w:right="894"/>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43</w:t>
            </w:r>
          </w:p>
        </w:tc>
        <w:tc>
          <w:tcPr>
            <w:tcW w:w="80" w:type="dxa"/>
            <w:vAlign w:val="bottom"/>
            <w:shd w:val="clear" w:color="auto" w:fill="CFF0FC"/>
          </w:tcPr>
          <w:p>
            <w:pPr>
              <w:spacing w:after="0"/>
              <w:rPr>
                <w:sz w:val="18"/>
                <w:szCs w:val="18"/>
                <w:color w:val="auto"/>
              </w:rPr>
            </w:pPr>
          </w:p>
        </w:tc>
        <w:tc>
          <w:tcPr>
            <w:tcW w:w="560" w:type="dxa"/>
            <w:vAlign w:val="bottom"/>
            <w:shd w:val="clear" w:color="auto" w:fill="CFF0FC"/>
          </w:tcPr>
          <w:p>
            <w:pPr>
              <w:jc w:val="right"/>
              <w:ind w:right="40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shd w:val="clear" w:color="auto" w:fill="CFF0FC"/>
          </w:tcPr>
          <w:p>
            <w:pPr>
              <w:ind w:left="820"/>
              <w:spacing w:after="0"/>
              <w:rPr>
                <w:sz w:val="20"/>
                <w:szCs w:val="20"/>
                <w:color w:val="auto"/>
              </w:rPr>
            </w:pPr>
            <w:r>
              <w:rPr>
                <w:rFonts w:ascii="Times New Roman" w:cs="Times New Roman" w:eastAsia="Times New Roman" w:hAnsi="Times New Roman"/>
                <w:sz w:val="14"/>
                <w:szCs w:val="14"/>
                <w:color w:val="auto"/>
              </w:rPr>
              <w:t>40</w:t>
            </w:r>
          </w:p>
        </w:tc>
      </w:tr>
      <w:tr>
        <w:trPr>
          <w:trHeight w:val="202"/>
        </w:trPr>
        <w:tc>
          <w:tcPr>
            <w:tcW w:w="8020" w:type="dxa"/>
            <w:vAlign w:val="bottom"/>
            <w:tcBorders>
              <w:bottom w:val="single" w:sz="8" w:color="CFF0FC"/>
            </w:tcBorders>
          </w:tcPr>
          <w:p>
            <w:pPr>
              <w:ind w:left="20"/>
              <w:spacing w:after="0" w:line="202" w:lineRule="exact"/>
              <w:rPr>
                <w:sz w:val="20"/>
                <w:szCs w:val="20"/>
                <w:color w:val="auto"/>
              </w:rPr>
            </w:pPr>
            <w:r>
              <w:rPr>
                <w:rFonts w:ascii="Times New Roman" w:cs="Times New Roman" w:eastAsia="Times New Roman" w:hAnsi="Times New Roman"/>
                <w:sz w:val="14"/>
                <w:szCs w:val="14"/>
                <w:color w:val="auto"/>
              </w:rPr>
              <w:t xml:space="preserve">Engineering-related expenses, net of customer (reimbursements) </w:t>
            </w:r>
            <w:r>
              <w:rPr>
                <w:rFonts w:ascii="Times New Roman" w:cs="Times New Roman" w:eastAsia="Times New Roman" w:hAnsi="Times New Roman"/>
                <w:sz w:val="18"/>
                <w:szCs w:val="18"/>
                <w:color w:val="auto"/>
                <w:vertAlign w:val="superscript"/>
              </w:rPr>
              <w:t>(1)</w:t>
            </w:r>
          </w:p>
        </w:tc>
        <w:tc>
          <w:tcPr>
            <w:tcW w:w="104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Borders>
              <w:bottom w:val="single" w:sz="8" w:color="CFF0FC"/>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ind w:left="840"/>
              <w:spacing w:after="0"/>
              <w:rPr>
                <w:sz w:val="20"/>
                <w:szCs w:val="20"/>
                <w:color w:val="auto"/>
              </w:rPr>
            </w:pPr>
            <w:r>
              <w:rPr>
                <w:rFonts w:ascii="Times New Roman" w:cs="Times New Roman" w:eastAsia="Times New Roman" w:hAnsi="Times New Roman"/>
                <w:sz w:val="14"/>
                <w:szCs w:val="14"/>
                <w:color w:val="auto"/>
                <w:w w:val="97"/>
              </w:rPr>
              <w:t>(1)</w:t>
            </w:r>
          </w:p>
        </w:tc>
      </w:tr>
      <w:tr>
        <w:trPr>
          <w:trHeight w:val="212"/>
        </w:trPr>
        <w:tc>
          <w:tcPr>
            <w:tcW w:w="8020" w:type="dxa"/>
            <w:vAlign w:val="bottom"/>
            <w:tcBorders>
              <w:bottom w:val="single" w:sz="8" w:color="CFF0FC"/>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ind w:right="894"/>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44</w:t>
            </w:r>
          </w:p>
        </w:tc>
        <w:tc>
          <w:tcPr>
            <w:tcW w:w="80" w:type="dxa"/>
            <w:vAlign w:val="bottom"/>
            <w:tcBorders>
              <w:bottom w:val="single" w:sz="8" w:color="CFF0FC"/>
            </w:tcBorders>
            <w:shd w:val="clear" w:color="auto" w:fill="CFF0FC"/>
          </w:tcPr>
          <w:p>
            <w:pPr>
              <w:spacing w:after="0"/>
              <w:rPr>
                <w:sz w:val="18"/>
                <w:szCs w:val="18"/>
                <w:color w:val="auto"/>
              </w:rPr>
            </w:pPr>
          </w:p>
        </w:tc>
        <w:tc>
          <w:tcPr>
            <w:tcW w:w="560" w:type="dxa"/>
            <w:vAlign w:val="bottom"/>
            <w:tcBorders>
              <w:bottom w:val="single" w:sz="8" w:color="auto"/>
            </w:tcBorders>
            <w:shd w:val="clear" w:color="auto" w:fill="CFF0FC"/>
          </w:tcPr>
          <w:p>
            <w:pPr>
              <w:jc w:val="right"/>
              <w:ind w:right="40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shd w:val="clear" w:color="auto" w:fill="CFF0FC"/>
          </w:tcPr>
          <w:p>
            <w:pPr>
              <w:ind w:left="820"/>
              <w:spacing w:after="0"/>
              <w:rPr>
                <w:sz w:val="20"/>
                <w:szCs w:val="20"/>
                <w:color w:val="auto"/>
              </w:rPr>
            </w:pPr>
            <w:r>
              <w:rPr>
                <w:rFonts w:ascii="Times New Roman" w:cs="Times New Roman" w:eastAsia="Times New Roman" w:hAnsi="Times New Roman"/>
                <w:sz w:val="14"/>
                <w:szCs w:val="14"/>
                <w:color w:val="auto"/>
              </w:rPr>
              <w:t>39</w:t>
            </w:r>
          </w:p>
        </w:tc>
      </w:tr>
      <w:tr>
        <w:trPr>
          <w:trHeight w:val="20"/>
        </w:trPr>
        <w:tc>
          <w:tcPr>
            <w:tcW w:w="8020" w:type="dxa"/>
            <w:vAlign w:val="bottom"/>
            <w:tcBorders>
              <w:top w:val="single" w:sz="8" w:color="CFF0FC"/>
            </w:tcBorders>
          </w:tcPr>
          <w:p>
            <w:pPr>
              <w:spacing w:after="0" w:line="20" w:lineRule="exact"/>
              <w:rPr>
                <w:sz w:val="1"/>
                <w:szCs w:val="1"/>
                <w:color w:val="auto"/>
              </w:rPr>
            </w:pPr>
          </w:p>
        </w:tc>
        <w:tc>
          <w:tcPr>
            <w:tcW w:w="1040" w:type="dxa"/>
            <w:vAlign w:val="bottom"/>
            <w:tcBorders>
              <w:top w:val="single" w:sz="8" w:color="CFF0FC"/>
              <w:bottom w:val="single" w:sz="8" w:color="auto"/>
            </w:tcBorders>
          </w:tcPr>
          <w:p>
            <w:pPr>
              <w:spacing w:after="0" w:line="20" w:lineRule="exact"/>
              <w:rPr>
                <w:sz w:val="1"/>
                <w:szCs w:val="1"/>
                <w:color w:val="auto"/>
              </w:rPr>
            </w:pPr>
          </w:p>
        </w:tc>
        <w:tc>
          <w:tcPr>
            <w:tcW w:w="560" w:type="dxa"/>
            <w:vAlign w:val="bottom"/>
            <w:tcBorders>
              <w:top w:val="single" w:sz="8" w:color="CFF0FC"/>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560" w:type="dxa"/>
            <w:vAlign w:val="bottom"/>
            <w:tcBorders>
              <w:top w:val="single" w:sz="8" w:color="CFF0FC"/>
              <w:bottom w:val="single" w:sz="8" w:color="auto"/>
            </w:tcBorders>
          </w:tcPr>
          <w:p>
            <w:pPr>
              <w:spacing w:after="0" w:line="20" w:lineRule="exact"/>
              <w:rPr>
                <w:sz w:val="1"/>
                <w:szCs w:val="1"/>
                <w:color w:val="auto"/>
              </w:rPr>
            </w:pPr>
          </w:p>
        </w:tc>
        <w:tc>
          <w:tcPr>
            <w:tcW w:w="1020" w:type="dxa"/>
            <w:vAlign w:val="bottom"/>
            <w:tcBorders>
              <w:top w:val="single" w:sz="8" w:color="CFF0FC"/>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640" w:hanging="315"/>
        <w:spacing w:after="0"/>
        <w:tabs>
          <w:tab w:leader="none" w:pos="64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Engineering-related expenses include customer reimbursements of $8 million and $11 million for the three months ended March 31, 2024 and 2023, respectively.</w:t>
      </w:r>
    </w:p>
    <w:p>
      <w:pPr>
        <w:spacing w:after="0" w:line="158" w:lineRule="exact"/>
        <w:rPr>
          <w:sz w:val="20"/>
          <w:szCs w:val="20"/>
          <w:color w:val="auto"/>
        </w:rPr>
      </w:pPr>
    </w:p>
    <w:p>
      <w:pPr>
        <w:jc w:val="both"/>
        <w:ind w:firstLine="307"/>
        <w:spacing w:after="0" w:line="271" w:lineRule="auto"/>
        <w:rPr>
          <w:sz w:val="20"/>
          <w:szCs w:val="20"/>
          <w:color w:val="auto"/>
        </w:rPr>
      </w:pPr>
      <w:r>
        <w:rPr>
          <w:rFonts w:ascii="Times New Roman" w:cs="Times New Roman" w:eastAsia="Times New Roman" w:hAnsi="Times New Roman"/>
          <w:sz w:val="14"/>
          <w:szCs w:val="14"/>
          <w:color w:val="231F20"/>
        </w:rPr>
        <w:t xml:space="preserve">Certain engineering expenses related to long-term supply arrangements are capitalized when defined criteria, such as the existence of a contractual guarantee for reimbursement, are met. As of March 31, 2024 and December 31, 2023, </w:t>
      </w:r>
      <w:r>
        <w:rPr>
          <w:rFonts w:ascii="Times New Roman" w:cs="Times New Roman" w:eastAsia="Times New Roman" w:hAnsi="Times New Roman"/>
          <w:sz w:val="14"/>
          <w:szCs w:val="14"/>
          <w:color w:val="000000"/>
        </w:rPr>
        <w:t>$15 million</w:t>
      </w:r>
      <w:r>
        <w:rPr>
          <w:rFonts w:ascii="Times New Roman" w:cs="Times New Roman" w:eastAsia="Times New Roman" w:hAnsi="Times New Roman"/>
          <w:sz w:val="14"/>
          <w:szCs w:val="14"/>
          <w:color w:val="231F20"/>
        </w:rPr>
        <w:t xml:space="preserve"> and </w:t>
      </w:r>
      <w:r>
        <w:rPr>
          <w:rFonts w:ascii="Times New Roman" w:cs="Times New Roman" w:eastAsia="Times New Roman" w:hAnsi="Times New Roman"/>
          <w:sz w:val="14"/>
          <w:szCs w:val="14"/>
          <w:color w:val="000000"/>
        </w:rPr>
        <w:t>$12 million</w:t>
      </w:r>
      <w:r>
        <w:rPr>
          <w:rFonts w:ascii="Times New Roman" w:cs="Times New Roman" w:eastAsia="Times New Roman" w:hAnsi="Times New Roman"/>
          <w:sz w:val="14"/>
          <w:szCs w:val="14"/>
          <w:color w:val="231F20"/>
        </w:rPr>
        <w:t>, respectively, of such contractually reimbursable costs were capitalized. These amounts are recorded within Other current assets in the Consolidated Interim Balance Sheet.</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5. Income Taxes</w:t>
      </w:r>
    </w:p>
    <w:p>
      <w:pPr>
        <w:spacing w:after="0" w:line="188" w:lineRule="exact"/>
        <w:rPr>
          <w:sz w:val="20"/>
          <w:szCs w:val="20"/>
          <w:color w:val="auto"/>
        </w:rPr>
      </w:pPr>
    </w:p>
    <w:p>
      <w:pPr>
        <w:jc w:val="center"/>
        <w:ind w:left="7820"/>
        <w:spacing w:after="0"/>
        <w:rPr>
          <w:sz w:val="20"/>
          <w:szCs w:val="20"/>
          <w:color w:val="auto"/>
        </w:rPr>
      </w:pPr>
      <w:r>
        <w:rPr>
          <w:rFonts w:ascii="Times New Roman" w:cs="Times New Roman" w:eastAsia="Times New Roman" w:hAnsi="Times New Roman"/>
          <w:sz w:val="11"/>
          <w:szCs w:val="11"/>
          <w:b w:val="1"/>
          <w:bCs w:val="1"/>
          <w:color w:val="auto"/>
        </w:rPr>
        <w:t>Three Months Ended</w:t>
      </w:r>
    </w:p>
    <w:p>
      <w:pPr>
        <w:spacing w:after="0" w:line="15" w:lineRule="exact"/>
        <w:rPr>
          <w:sz w:val="20"/>
          <w:szCs w:val="20"/>
          <w:color w:val="auto"/>
        </w:rPr>
      </w:pPr>
    </w:p>
    <w:p>
      <w:pPr>
        <w:jc w:val="center"/>
        <w:ind w:left="7820"/>
        <w:spacing w:after="0"/>
        <w:rPr>
          <w:sz w:val="20"/>
          <w:szCs w:val="20"/>
          <w:color w:val="auto"/>
        </w:rPr>
      </w:pPr>
      <w:r>
        <w:rPr>
          <w:rFonts w:ascii="Times New Roman" w:cs="Times New Roman" w:eastAsia="Times New Roman" w:hAnsi="Times New Roman"/>
          <w:sz w:val="11"/>
          <w:szCs w:val="11"/>
          <w:b w:val="1"/>
          <w:bCs w:val="1"/>
          <w:color w:val="auto"/>
        </w:rPr>
        <w:t>March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840" w:type="dxa"/>
            <w:vAlign w:val="bottom"/>
          </w:tcPr>
          <w:p>
            <w:pPr>
              <w:spacing w:after="0"/>
              <w:rPr>
                <w:sz w:val="14"/>
                <w:szCs w:val="14"/>
                <w:color w:val="auto"/>
              </w:rPr>
            </w:pPr>
          </w:p>
        </w:tc>
        <w:tc>
          <w:tcPr>
            <w:tcW w:w="1100" w:type="dxa"/>
            <w:vAlign w:val="bottom"/>
            <w:tcBorders>
              <w:top w:val="single" w:sz="8" w:color="auto"/>
              <w:bottom w:val="single" w:sz="8" w:color="auto"/>
            </w:tcBorders>
          </w:tcPr>
          <w:p>
            <w:pPr>
              <w:jc w:val="right"/>
              <w:ind w:right="96"/>
              <w:spacing w:after="0"/>
              <w:rPr>
                <w:sz w:val="20"/>
                <w:szCs w:val="20"/>
                <w:color w:val="auto"/>
              </w:rPr>
            </w:pPr>
            <w:r>
              <w:rPr>
                <w:rFonts w:ascii="Times New Roman" w:cs="Times New Roman" w:eastAsia="Times New Roman" w:hAnsi="Times New Roman"/>
                <w:sz w:val="11"/>
                <w:szCs w:val="11"/>
                <w:b w:val="1"/>
                <w:bCs w:val="1"/>
                <w:color w:val="auto"/>
              </w:rPr>
              <w:t>2024</w:t>
            </w:r>
          </w:p>
        </w:tc>
        <w:tc>
          <w:tcPr>
            <w:tcW w:w="620" w:type="dxa"/>
            <w:vAlign w:val="bottom"/>
            <w:tcBorders>
              <w:top w:val="single" w:sz="8" w:color="auto"/>
              <w:bottom w:val="single" w:sz="8" w:color="auto"/>
            </w:tcBorders>
          </w:tcPr>
          <w:p>
            <w:pPr>
              <w:spacing w:after="0"/>
              <w:rPr>
                <w:sz w:val="14"/>
                <w:szCs w:val="14"/>
                <w:color w:val="auto"/>
              </w:rPr>
            </w:pPr>
          </w:p>
        </w:tc>
        <w:tc>
          <w:tcPr>
            <w:tcW w:w="620" w:type="dxa"/>
            <w:vAlign w:val="bottom"/>
            <w:tcBorders>
              <w:top w:val="single" w:sz="8" w:color="auto"/>
              <w:bottom w:val="single" w:sz="8" w:color="auto"/>
            </w:tcBorders>
          </w:tcPr>
          <w:p>
            <w:pPr>
              <w:spacing w:after="0"/>
              <w:rPr>
                <w:sz w:val="14"/>
                <w:szCs w:val="14"/>
                <w:color w:val="auto"/>
              </w:rPr>
            </w:pPr>
          </w:p>
        </w:tc>
        <w:tc>
          <w:tcPr>
            <w:tcW w:w="1100" w:type="dxa"/>
            <w:vAlign w:val="bottom"/>
            <w:tcBorders>
              <w:top w:val="single" w:sz="8" w:color="auto"/>
              <w:bottom w:val="single" w:sz="8" w:color="auto"/>
            </w:tcBorders>
          </w:tcPr>
          <w:p>
            <w:pPr>
              <w:jc w:val="right"/>
              <w:ind w:right="654"/>
              <w:spacing w:after="0"/>
              <w:rPr>
                <w:sz w:val="20"/>
                <w:szCs w:val="20"/>
                <w:color w:val="auto"/>
              </w:rPr>
            </w:pPr>
            <w:r>
              <w:rPr>
                <w:rFonts w:ascii="Times New Roman" w:cs="Times New Roman" w:eastAsia="Times New Roman" w:hAnsi="Times New Roman"/>
                <w:sz w:val="11"/>
                <w:szCs w:val="11"/>
                <w:b w:val="1"/>
                <w:bCs w:val="1"/>
                <w:color w:val="auto"/>
              </w:rPr>
              <w:t>2023</w:t>
            </w:r>
          </w:p>
        </w:tc>
      </w:tr>
      <w:tr>
        <w:trPr>
          <w:trHeight w:val="161"/>
        </w:trPr>
        <w:tc>
          <w:tcPr>
            <w:tcW w:w="78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40" w:type="dxa"/>
            <w:vAlign w:val="bottom"/>
            <w:gridSpan w:val="2"/>
          </w:tcPr>
          <w:p>
            <w:pPr>
              <w:jc w:val="right"/>
              <w:ind w:right="69"/>
              <w:spacing w:after="0"/>
              <w:rPr>
                <w:sz w:val="20"/>
                <w:szCs w:val="20"/>
                <w:color w:val="auto"/>
              </w:rPr>
            </w:pPr>
            <w:r>
              <w:rPr>
                <w:rFonts w:ascii="Times New Roman" w:cs="Times New Roman" w:eastAsia="Times New Roman" w:hAnsi="Times New Roman"/>
                <w:sz w:val="11"/>
                <w:szCs w:val="11"/>
                <w:b w:val="1"/>
                <w:bCs w:val="1"/>
                <w:color w:val="auto"/>
              </w:rPr>
              <w:t>(Dollars in millions)</w:t>
            </w:r>
          </w:p>
        </w:tc>
        <w:tc>
          <w:tcPr>
            <w:tcW w:w="1100" w:type="dxa"/>
            <w:vAlign w:val="bottom"/>
          </w:tcPr>
          <w:p>
            <w:pPr>
              <w:spacing w:after="0"/>
              <w:rPr>
                <w:sz w:val="13"/>
                <w:szCs w:val="13"/>
                <w:color w:val="auto"/>
              </w:rPr>
            </w:pPr>
          </w:p>
        </w:tc>
      </w:tr>
      <w:tr>
        <w:trPr>
          <w:trHeight w:val="212"/>
        </w:trPr>
        <w:tc>
          <w:tcPr>
            <w:tcW w:w="78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Tax expense</w:t>
            </w:r>
          </w:p>
        </w:tc>
        <w:tc>
          <w:tcPr>
            <w:tcW w:w="1100" w:type="dxa"/>
            <w:vAlign w:val="bottom"/>
            <w:shd w:val="clear" w:color="auto" w:fill="CFF0FC"/>
          </w:tcPr>
          <w:p>
            <w:pPr>
              <w:jc w:val="right"/>
              <w:ind w:right="956"/>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shd w:val="clear" w:color="auto" w:fill="CFF0FC"/>
          </w:tcPr>
          <w:p>
            <w:pPr>
              <w:jc w:val="right"/>
              <w:ind w:right="154"/>
              <w:spacing w:after="0"/>
              <w:rPr>
                <w:sz w:val="20"/>
                <w:szCs w:val="20"/>
                <w:color w:val="auto"/>
              </w:rPr>
            </w:pPr>
            <w:r>
              <w:rPr>
                <w:rFonts w:ascii="Times New Roman" w:cs="Times New Roman" w:eastAsia="Times New Roman" w:hAnsi="Times New Roman"/>
                <w:sz w:val="14"/>
                <w:szCs w:val="14"/>
                <w:color w:val="auto"/>
              </w:rPr>
              <w:t>15</w:t>
            </w:r>
          </w:p>
        </w:tc>
        <w:tc>
          <w:tcPr>
            <w:tcW w:w="620" w:type="dxa"/>
            <w:vAlign w:val="bottom"/>
            <w:shd w:val="clear" w:color="auto" w:fill="CFF0FC"/>
          </w:tcPr>
          <w:p>
            <w:pPr>
              <w:jc w:val="right"/>
              <w:ind w:right="429"/>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shd w:val="clear" w:color="auto" w:fill="CFF0FC"/>
          </w:tcPr>
          <w:p>
            <w:pPr>
              <w:jc w:val="right"/>
              <w:ind w:right="114"/>
              <w:spacing w:after="0"/>
              <w:rPr>
                <w:sz w:val="20"/>
                <w:szCs w:val="20"/>
                <w:color w:val="auto"/>
              </w:rPr>
            </w:pPr>
            <w:r>
              <w:rPr>
                <w:rFonts w:ascii="Times New Roman" w:cs="Times New Roman" w:eastAsia="Times New Roman" w:hAnsi="Times New Roman"/>
                <w:sz w:val="14"/>
                <w:szCs w:val="14"/>
                <w:color w:val="auto"/>
              </w:rPr>
              <w:t>27</w:t>
            </w:r>
          </w:p>
        </w:tc>
      </w:tr>
      <w:tr>
        <w:trPr>
          <w:trHeight w:val="191"/>
        </w:trPr>
        <w:tc>
          <w:tcPr>
            <w:tcW w:w="7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Effective tax rate</w:t>
            </w:r>
          </w:p>
        </w:tc>
        <w:tc>
          <w:tcPr>
            <w:tcW w:w="110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18.5 %</w:t>
            </w:r>
          </w:p>
        </w:tc>
        <w:tc>
          <w:tcPr>
            <w:tcW w:w="6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25.0 %</w:t>
            </w:r>
          </w:p>
        </w:tc>
      </w:tr>
    </w:tbl>
    <w:p>
      <w:pPr>
        <w:spacing w:after="0" w:line="295" w:lineRule="exact"/>
        <w:rPr>
          <w:sz w:val="20"/>
          <w:szCs w:val="20"/>
          <w:color w:val="auto"/>
        </w:rPr>
      </w:pPr>
    </w:p>
    <w:p>
      <w:pPr>
        <w:ind w:firstLine="319"/>
        <w:spacing w:after="0" w:line="289" w:lineRule="auto"/>
        <w:rPr>
          <w:sz w:val="20"/>
          <w:szCs w:val="20"/>
          <w:color w:val="auto"/>
        </w:rPr>
      </w:pPr>
      <w:r>
        <w:rPr>
          <w:rFonts w:ascii="Times New Roman" w:cs="Times New Roman" w:eastAsia="Times New Roman" w:hAnsi="Times New Roman"/>
          <w:sz w:val="14"/>
          <w:szCs w:val="14"/>
          <w:color w:val="231F20"/>
        </w:rPr>
        <w:t xml:space="preserve">The effective tax rates for the </w:t>
      </w:r>
      <w:r>
        <w:rPr>
          <w:rFonts w:ascii="Times New Roman" w:cs="Times New Roman" w:eastAsia="Times New Roman" w:hAnsi="Times New Roman"/>
          <w:sz w:val="14"/>
          <w:szCs w:val="14"/>
          <w:color w:val="000000"/>
        </w:rPr>
        <w:t>three months ended March 31, 2024</w:t>
      </w:r>
      <w:r>
        <w:rPr>
          <w:rFonts w:ascii="Times New Roman" w:cs="Times New Roman" w:eastAsia="Times New Roman" w:hAnsi="Times New Roman"/>
          <w:sz w:val="14"/>
          <w:szCs w:val="14"/>
          <w:color w:val="231F20"/>
        </w:rPr>
        <w:t xml:space="preserve"> and 2023 were 18.5% and 25.0%, respectively. The change in the effective tax rate for the three months ended March 31, 2024 compared to the prior period is primarily related to reversal of tax reserves and lower U.S. taxes on international operations, partially offset by increased withholding taxes.</w:t>
      </w:r>
    </w:p>
    <w:p>
      <w:pPr>
        <w:spacing w:after="0" w:line="14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231F20"/>
        </w:rPr>
        <w:t xml:space="preserve">The effective tax rate for the </w:t>
      </w:r>
      <w:r>
        <w:rPr>
          <w:rFonts w:ascii="Times New Roman" w:cs="Times New Roman" w:eastAsia="Times New Roman" w:hAnsi="Times New Roman"/>
          <w:sz w:val="14"/>
          <w:szCs w:val="14"/>
          <w:color w:val="000000"/>
        </w:rPr>
        <w:t>three months ended March 31, 2024</w:t>
      </w:r>
      <w:r>
        <w:rPr>
          <w:rFonts w:ascii="Times New Roman" w:cs="Times New Roman" w:eastAsia="Times New Roman" w:hAnsi="Times New Roman"/>
          <w:sz w:val="14"/>
          <w:szCs w:val="14"/>
          <w:color w:val="231F20"/>
        </w:rPr>
        <w:t xml:space="preserve"> was lower than the U.S. federal statutory rate of 21% primarily related to reversals of tax reserves, lower taxes on non-U.S.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231F20"/>
        </w:rPr>
        <w:t>earnings, and global research and development benefits partially offset by U.S. taxes on international operations and withholding taxes.</w:t>
      </w: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6. Accounts, Notes and Other Receivables—Net</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80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360" w:type="dxa"/>
            <w:vAlign w:val="bottom"/>
            <w:gridSpan w:val="2"/>
          </w:tcPr>
          <w:p>
            <w:pPr>
              <w:ind w:left="220"/>
              <w:spacing w:after="0"/>
              <w:rPr>
                <w:sz w:val="20"/>
                <w:szCs w:val="20"/>
                <w:color w:val="auto"/>
              </w:rPr>
            </w:pPr>
            <w:r>
              <w:rPr>
                <w:rFonts w:ascii="Times New Roman" w:cs="Times New Roman" w:eastAsia="Times New Roman" w:hAnsi="Times New Roman"/>
                <w:sz w:val="11"/>
                <w:szCs w:val="11"/>
                <w:b w:val="1"/>
                <w:bCs w:val="1"/>
                <w:color w:val="auto"/>
              </w:rPr>
              <w:t>March 31,</w:t>
            </w:r>
          </w:p>
        </w:tc>
        <w:tc>
          <w:tcPr>
            <w:tcW w:w="440" w:type="dxa"/>
            <w:vAlign w:val="bottom"/>
          </w:tcPr>
          <w:p>
            <w:pPr>
              <w:spacing w:after="0"/>
              <w:rPr>
                <w:sz w:val="12"/>
                <w:szCs w:val="12"/>
                <w:color w:val="auto"/>
              </w:rPr>
            </w:pPr>
          </w:p>
        </w:tc>
        <w:tc>
          <w:tcPr>
            <w:tcW w:w="1140" w:type="dxa"/>
            <w:vAlign w:val="bottom"/>
          </w:tcPr>
          <w:p>
            <w:pPr>
              <w:jc w:val="right"/>
              <w:ind w:right="393"/>
              <w:spacing w:after="0"/>
              <w:rPr>
                <w:sz w:val="20"/>
                <w:szCs w:val="20"/>
                <w:color w:val="auto"/>
              </w:rPr>
            </w:pPr>
            <w:r>
              <w:rPr>
                <w:rFonts w:ascii="Times New Roman" w:cs="Times New Roman" w:eastAsia="Times New Roman" w:hAnsi="Times New Roman"/>
                <w:sz w:val="11"/>
                <w:szCs w:val="11"/>
                <w:b w:val="1"/>
                <w:bCs w:val="1"/>
                <w:color w:val="auto"/>
              </w:rPr>
              <w:t>December 31,</w:t>
            </w:r>
          </w:p>
        </w:tc>
      </w:tr>
      <w:tr>
        <w:trPr>
          <w:trHeight w:val="159"/>
        </w:trPr>
        <w:tc>
          <w:tcPr>
            <w:tcW w:w="800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jc w:val="right"/>
              <w:ind w:right="614"/>
              <w:spacing w:after="0"/>
              <w:rPr>
                <w:sz w:val="20"/>
                <w:szCs w:val="20"/>
                <w:color w:val="auto"/>
              </w:rPr>
            </w:pPr>
            <w:r>
              <w:rPr>
                <w:rFonts w:ascii="Times New Roman" w:cs="Times New Roman" w:eastAsia="Times New Roman" w:hAnsi="Times New Roman"/>
                <w:sz w:val="11"/>
                <w:szCs w:val="11"/>
                <w:b w:val="1"/>
                <w:bCs w:val="1"/>
                <w:color w:val="auto"/>
              </w:rPr>
              <w:t>2024</w:t>
            </w:r>
          </w:p>
        </w:tc>
        <w:tc>
          <w:tcPr>
            <w:tcW w:w="10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613"/>
              <w:spacing w:after="0"/>
              <w:rPr>
                <w:sz w:val="20"/>
                <w:szCs w:val="20"/>
                <w:color w:val="auto"/>
              </w:rPr>
            </w:pPr>
            <w:r>
              <w:rPr>
                <w:rFonts w:ascii="Times New Roman" w:cs="Times New Roman" w:eastAsia="Times New Roman" w:hAnsi="Times New Roman"/>
                <w:sz w:val="11"/>
                <w:szCs w:val="11"/>
                <w:b w:val="1"/>
                <w:bCs w:val="1"/>
                <w:color w:val="auto"/>
              </w:rPr>
              <w:t>2023</w:t>
            </w:r>
          </w:p>
        </w:tc>
      </w:tr>
      <w:tr>
        <w:trPr>
          <w:trHeight w:val="161"/>
        </w:trPr>
        <w:tc>
          <w:tcPr>
            <w:tcW w:w="80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800" w:type="dxa"/>
            <w:vAlign w:val="bottom"/>
            <w:gridSpan w:val="3"/>
          </w:tcPr>
          <w:p>
            <w:pPr>
              <w:jc w:val="right"/>
              <w:spacing w:after="0"/>
              <w:rPr>
                <w:sz w:val="20"/>
                <w:szCs w:val="20"/>
                <w:color w:val="auto"/>
              </w:rPr>
            </w:pPr>
            <w:r>
              <w:rPr>
                <w:rFonts w:ascii="Times New Roman" w:cs="Times New Roman" w:eastAsia="Times New Roman" w:hAnsi="Times New Roman"/>
                <w:sz w:val="11"/>
                <w:szCs w:val="11"/>
                <w:b w:val="1"/>
                <w:bCs w:val="1"/>
                <w:color w:val="auto"/>
              </w:rPr>
              <w:t>(Dollars in millions)</w:t>
            </w:r>
          </w:p>
        </w:tc>
        <w:tc>
          <w:tcPr>
            <w:tcW w:w="1140" w:type="dxa"/>
            <w:vAlign w:val="bottom"/>
          </w:tcPr>
          <w:p>
            <w:pPr>
              <w:spacing w:after="0"/>
              <w:rPr>
                <w:sz w:val="13"/>
                <w:szCs w:val="13"/>
                <w:color w:val="auto"/>
              </w:rPr>
            </w:pPr>
          </w:p>
        </w:tc>
      </w:tr>
      <w:tr>
        <w:trPr>
          <w:trHeight w:val="212"/>
        </w:trPr>
        <w:tc>
          <w:tcPr>
            <w:tcW w:w="80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Trade receivables</w:t>
            </w:r>
          </w:p>
        </w:tc>
        <w:tc>
          <w:tcPr>
            <w:tcW w:w="320" w:type="dxa"/>
            <w:vAlign w:val="bottom"/>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621</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8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614</w:t>
            </w:r>
          </w:p>
        </w:tc>
      </w:tr>
      <w:tr>
        <w:trPr>
          <w:trHeight w:val="197"/>
        </w:trPr>
        <w:tc>
          <w:tcPr>
            <w:tcW w:w="8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Notes receivable</w:t>
            </w:r>
          </w:p>
        </w:tc>
        <w:tc>
          <w:tcPr>
            <w:tcW w:w="32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w:t>
            </w:r>
          </w:p>
        </w:tc>
      </w:tr>
      <w:tr>
        <w:trPr>
          <w:trHeight w:val="202"/>
        </w:trPr>
        <w:tc>
          <w:tcPr>
            <w:tcW w:w="80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Other receivables</w:t>
            </w:r>
          </w:p>
        </w:tc>
        <w:tc>
          <w:tcPr>
            <w:tcW w:w="32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w:t>
            </w:r>
          </w:p>
        </w:tc>
        <w:tc>
          <w:tcPr>
            <w:tcW w:w="100" w:type="dxa"/>
            <w:vAlign w:val="bottom"/>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w:t>
            </w:r>
          </w:p>
        </w:tc>
      </w:tr>
      <w:tr>
        <w:trPr>
          <w:trHeight w:val="193"/>
        </w:trPr>
        <w:tc>
          <w:tcPr>
            <w:tcW w:w="80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792</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814</w:t>
            </w:r>
          </w:p>
        </w:tc>
      </w:tr>
      <w:tr>
        <w:trPr>
          <w:trHeight w:val="202"/>
        </w:trPr>
        <w:tc>
          <w:tcPr>
            <w:tcW w:w="80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Less—Allowance for expected credit losses</w:t>
            </w:r>
          </w:p>
        </w:tc>
        <w:tc>
          <w:tcPr>
            <w:tcW w:w="32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r>
      <w:tr>
        <w:trPr>
          <w:trHeight w:val="193"/>
        </w:trPr>
        <w:tc>
          <w:tcPr>
            <w:tcW w:w="8000" w:type="dxa"/>
            <w:vAlign w:val="bottom"/>
          </w:tcPr>
          <w:p>
            <w:pPr>
              <w:spacing w:after="0"/>
              <w:rPr>
                <w:sz w:val="16"/>
                <w:szCs w:val="16"/>
                <w:color w:val="auto"/>
              </w:rPr>
            </w:pPr>
          </w:p>
        </w:tc>
        <w:tc>
          <w:tcPr>
            <w:tcW w:w="320" w:type="dxa"/>
            <w:vAlign w:val="bottom"/>
            <w:tcBorders>
              <w:bottom w:val="single" w:sz="8" w:color="auto"/>
            </w:tcBorders>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787</w:t>
            </w:r>
          </w:p>
        </w:tc>
        <w:tc>
          <w:tcPr>
            <w:tcW w:w="100" w:type="dxa"/>
            <w:vAlign w:val="bottom"/>
          </w:tcPr>
          <w:p>
            <w:pPr>
              <w:spacing w:after="0"/>
              <w:rPr>
                <w:sz w:val="16"/>
                <w:szCs w:val="16"/>
                <w:color w:val="auto"/>
              </w:rPr>
            </w:pPr>
          </w:p>
        </w:tc>
        <w:tc>
          <w:tcPr>
            <w:tcW w:w="440" w:type="dxa"/>
            <w:vAlign w:val="bottom"/>
            <w:tcBorders>
              <w:bottom w:val="single" w:sz="8" w:color="auto"/>
            </w:tcBorders>
          </w:tcPr>
          <w:p>
            <w:pPr>
              <w:jc w:val="right"/>
              <w:ind w:right="28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808</w:t>
            </w:r>
          </w:p>
        </w:tc>
      </w:tr>
      <w:tr>
        <w:trPr>
          <w:trHeight w:val="20"/>
        </w:trPr>
        <w:tc>
          <w:tcPr>
            <w:tcW w:w="80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firstLine="307"/>
        <w:spacing w:after="0" w:line="336" w:lineRule="auto"/>
        <w:rPr>
          <w:sz w:val="20"/>
          <w:szCs w:val="20"/>
          <w:color w:val="auto"/>
        </w:rPr>
      </w:pPr>
      <w:r>
        <w:rPr>
          <w:rFonts w:ascii="Times New Roman" w:cs="Times New Roman" w:eastAsia="Times New Roman" w:hAnsi="Times New Roman"/>
          <w:sz w:val="14"/>
          <w:szCs w:val="14"/>
          <w:color w:val="auto"/>
        </w:rPr>
        <w:t xml:space="preserve">Trade receivables include $48 million and $38 million of unbilled customer contract asset balances as of </w:t>
      </w:r>
      <w:r>
        <w:rPr>
          <w:rFonts w:ascii="Times New Roman" w:cs="Times New Roman" w:eastAsia="Times New Roman" w:hAnsi="Times New Roman"/>
          <w:sz w:val="14"/>
          <w:szCs w:val="14"/>
          <w:color w:val="231F20"/>
        </w:rPr>
        <w:t>March 31, 2024</w:t>
      </w:r>
      <w:r>
        <w:rPr>
          <w:rFonts w:ascii="Times New Roman" w:cs="Times New Roman" w:eastAsia="Times New Roman" w:hAnsi="Times New Roman"/>
          <w:sz w:val="14"/>
          <w:szCs w:val="14"/>
          <w:color w:val="auto"/>
        </w:rPr>
        <w:t xml:space="preserve"> and December 31, 2023, respectively. These amounts are billed in accordance with the terms of customer contracts to which they relate. See Note 3</w:t>
      </w:r>
      <w:r>
        <w:rPr>
          <w:rFonts w:ascii="Times New Roman" w:cs="Times New Roman" w:eastAsia="Times New Roman" w:hAnsi="Times New Roman"/>
          <w:sz w:val="14"/>
          <w:szCs w:val="14"/>
          <w:i w:val="1"/>
          <w:iCs w:val="1"/>
          <w:color w:val="auto"/>
        </w:rPr>
        <w:t>, Revenue Recognition and Contracts with Customers</w:t>
      </w:r>
      <w:r>
        <w:rPr>
          <w:rFonts w:ascii="Times New Roman" w:cs="Times New Roman" w:eastAsia="Times New Roman" w:hAnsi="Times New Roman"/>
          <w:sz w:val="14"/>
          <w:szCs w:val="14"/>
          <w:color w:val="auto"/>
        </w:rPr>
        <w:t>.</w:t>
      </w:r>
    </w:p>
    <w:p>
      <w:pPr>
        <w:spacing w:after="0" w:line="71" w:lineRule="exact"/>
        <w:rPr>
          <w:sz w:val="20"/>
          <w:szCs w:val="20"/>
          <w:color w:val="auto"/>
        </w:rPr>
      </w:pPr>
    </w:p>
    <w:p>
      <w:pPr>
        <w:jc w:val="both"/>
        <w:ind w:firstLine="307"/>
        <w:spacing w:after="0" w:line="289" w:lineRule="auto"/>
        <w:rPr>
          <w:sz w:val="20"/>
          <w:szCs w:val="20"/>
          <w:color w:val="auto"/>
        </w:rPr>
      </w:pPr>
      <w:r>
        <w:rPr>
          <w:rFonts w:ascii="Times New Roman" w:cs="Times New Roman" w:eastAsia="Times New Roman" w:hAnsi="Times New Roman"/>
          <w:sz w:val="14"/>
          <w:szCs w:val="14"/>
          <w:color w:val="auto"/>
        </w:rPr>
        <w:t xml:space="preserve">Notes receivable is related to guaranteed bank notes without recourse that the Company receives in settlement of accounts receivables, primarily in the Asia Pacific region. See Note 7, </w:t>
      </w:r>
      <w:r>
        <w:rPr>
          <w:rFonts w:ascii="Times New Roman" w:cs="Times New Roman" w:eastAsia="Times New Roman" w:hAnsi="Times New Roman"/>
          <w:sz w:val="14"/>
          <w:szCs w:val="14"/>
          <w:i w:val="1"/>
          <w:iCs w:val="1"/>
          <w:color w:val="auto"/>
        </w:rPr>
        <w:t xml:space="preserve">Factoring and Notes Receivable </w:t>
      </w:r>
      <w:r>
        <w:rPr>
          <w:rFonts w:ascii="Times New Roman" w:cs="Times New Roman" w:eastAsia="Times New Roman" w:hAnsi="Times New Roman"/>
          <w:sz w:val="14"/>
          <w:szCs w:val="14"/>
          <w:color w:val="auto"/>
        </w:rPr>
        <w:t>for further information.</w:t>
      </w:r>
    </w:p>
    <w:p>
      <w:pPr>
        <w:spacing w:after="0" w:line="241"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171450</wp:posOffset>
            </wp:positionV>
            <wp:extent cx="7186930"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40" w:right="31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4"/>
          <w:szCs w:val="14"/>
          <w:b w:val="1"/>
          <w:bCs w:val="1"/>
          <w:color w:val="auto"/>
        </w:rPr>
        <w:t>Note 7. Factoring and Notes Receivable</w:t>
      </w:r>
    </w:p>
    <w:p>
      <w:pPr>
        <w:spacing w:after="0" w:line="160" w:lineRule="exact"/>
        <w:rPr>
          <w:sz w:val="20"/>
          <w:szCs w:val="20"/>
          <w:color w:val="auto"/>
        </w:rPr>
      </w:pPr>
    </w:p>
    <w:p>
      <w:pPr>
        <w:jc w:val="both"/>
        <w:ind w:firstLine="307"/>
        <w:spacing w:after="0" w:line="265" w:lineRule="auto"/>
        <w:rPr>
          <w:sz w:val="20"/>
          <w:szCs w:val="20"/>
          <w:color w:val="auto"/>
        </w:rPr>
      </w:pPr>
      <w:r>
        <w:rPr>
          <w:rFonts w:ascii="Times New Roman" w:cs="Times New Roman" w:eastAsia="Times New Roman" w:hAnsi="Times New Roman"/>
          <w:sz w:val="14"/>
          <w:szCs w:val="14"/>
          <w:color w:val="auto"/>
        </w:rPr>
        <w:t>The Company enters into arrangements with financial institutions to sell eligible trade receivables. The receivables are sold without recourse and the Company accounts for these arrangements as true sales. The Company also receives guaranteed bank notes without recourse, in settlement of accounts receivables, primarily in the Asia Pacific region. The Company can hold the bank notes until maturity, exchange them with suppliers to settle liabilities, or sell them to third-party financial institutions in exchange for cash. Bank notes sold to third-party financial institutions without recourse are likewise accounted for as true sales.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8080" w:type="dxa"/>
            <w:vAlign w:val="bottom"/>
          </w:tcPr>
          <w:p>
            <w:pPr>
              <w:spacing w:after="0"/>
              <w:rPr>
                <w:sz w:val="13"/>
                <w:szCs w:val="13"/>
                <w:color w:val="auto"/>
              </w:rPr>
            </w:pPr>
          </w:p>
        </w:tc>
        <w:tc>
          <w:tcPr>
            <w:tcW w:w="2720" w:type="dxa"/>
            <w:vAlign w:val="bottom"/>
            <w:tcBorders>
              <w:bottom w:val="single" w:sz="8" w:color="auto"/>
            </w:tcBorders>
            <w:gridSpan w:val="3"/>
          </w:tcPr>
          <w:p>
            <w:pPr>
              <w:jc w:val="center"/>
              <w:ind w:left="419"/>
              <w:spacing w:after="0"/>
              <w:rPr>
                <w:sz w:val="20"/>
                <w:szCs w:val="20"/>
                <w:color w:val="auto"/>
              </w:rPr>
            </w:pPr>
            <w:r>
              <w:rPr>
                <w:rFonts w:ascii="Times New Roman" w:cs="Times New Roman" w:eastAsia="Times New Roman" w:hAnsi="Times New Roman"/>
                <w:sz w:val="11"/>
                <w:szCs w:val="11"/>
                <w:b w:val="1"/>
                <w:bCs w:val="1"/>
                <w:color w:val="auto"/>
              </w:rPr>
              <w:t>Three Months Ended March 31,</w:t>
            </w:r>
          </w:p>
        </w:tc>
        <w:tc>
          <w:tcPr>
            <w:tcW w:w="480" w:type="dxa"/>
            <w:vAlign w:val="bottom"/>
            <w:tcBorders>
              <w:bottom w:val="single" w:sz="8" w:color="auto"/>
            </w:tcBorders>
          </w:tcPr>
          <w:p>
            <w:pPr>
              <w:spacing w:after="0"/>
              <w:rPr>
                <w:sz w:val="13"/>
                <w:szCs w:val="13"/>
                <w:color w:val="auto"/>
              </w:rPr>
            </w:pPr>
          </w:p>
        </w:tc>
      </w:tr>
      <w:tr>
        <w:trPr>
          <w:trHeight w:val="161"/>
        </w:trPr>
        <w:tc>
          <w:tcPr>
            <w:tcW w:w="8080" w:type="dxa"/>
            <w:vAlign w:val="bottom"/>
          </w:tcPr>
          <w:p>
            <w:pPr>
              <w:spacing w:after="0"/>
              <w:rPr>
                <w:sz w:val="14"/>
                <w:szCs w:val="14"/>
                <w:color w:val="auto"/>
              </w:rPr>
            </w:pPr>
          </w:p>
        </w:tc>
        <w:tc>
          <w:tcPr>
            <w:tcW w:w="102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1"/>
                <w:szCs w:val="11"/>
                <w:b w:val="1"/>
                <w:bCs w:val="1"/>
                <w:color w:val="auto"/>
              </w:rPr>
              <w:t>2024</w:t>
            </w:r>
          </w:p>
        </w:tc>
        <w:tc>
          <w:tcPr>
            <w:tcW w:w="54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1"/>
                <w:szCs w:val="11"/>
                <w:b w:val="1"/>
                <w:bCs w:val="1"/>
                <w:color w:val="auto"/>
              </w:rPr>
              <w:t>2023</w:t>
            </w:r>
          </w:p>
        </w:tc>
        <w:tc>
          <w:tcPr>
            <w:tcW w:w="480" w:type="dxa"/>
            <w:vAlign w:val="bottom"/>
            <w:tcBorders>
              <w:bottom w:val="single" w:sz="8" w:color="auto"/>
            </w:tcBorders>
          </w:tcPr>
          <w:p>
            <w:pPr>
              <w:spacing w:after="0"/>
              <w:rPr>
                <w:sz w:val="14"/>
                <w:szCs w:val="14"/>
                <w:color w:val="auto"/>
              </w:rPr>
            </w:pPr>
          </w:p>
        </w:tc>
      </w:tr>
      <w:tr>
        <w:trPr>
          <w:trHeight w:val="161"/>
        </w:trPr>
        <w:tc>
          <w:tcPr>
            <w:tcW w:w="80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700" w:type="dxa"/>
            <w:vAlign w:val="bottom"/>
            <w:gridSpan w:val="2"/>
          </w:tcPr>
          <w:p>
            <w:pPr>
              <w:jc w:val="center"/>
              <w:ind w:right="476"/>
              <w:spacing w:after="0"/>
              <w:rPr>
                <w:sz w:val="20"/>
                <w:szCs w:val="20"/>
                <w:color w:val="auto"/>
              </w:rPr>
            </w:pPr>
            <w:r>
              <w:rPr>
                <w:rFonts w:ascii="Times New Roman" w:cs="Times New Roman" w:eastAsia="Times New Roman" w:hAnsi="Times New Roman"/>
                <w:sz w:val="11"/>
                <w:szCs w:val="11"/>
                <w:b w:val="1"/>
                <w:bCs w:val="1"/>
                <w:color w:val="auto"/>
              </w:rPr>
              <w:t>(Dollars in millions)</w:t>
            </w:r>
          </w:p>
        </w:tc>
        <w:tc>
          <w:tcPr>
            <w:tcW w:w="480" w:type="dxa"/>
            <w:vAlign w:val="bottom"/>
          </w:tcPr>
          <w:p>
            <w:pPr>
              <w:spacing w:after="0"/>
              <w:rPr>
                <w:sz w:val="13"/>
                <w:szCs w:val="13"/>
                <w:color w:val="auto"/>
              </w:rPr>
            </w:pPr>
          </w:p>
        </w:tc>
      </w:tr>
      <w:tr>
        <w:trPr>
          <w:trHeight w:val="212"/>
        </w:trPr>
        <w:tc>
          <w:tcPr>
            <w:tcW w:w="808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4"/>
                <w:szCs w:val="14"/>
                <w:color w:val="auto"/>
              </w:rPr>
              <w:t>Eligible receivables sold without recourse</w:t>
            </w:r>
          </w:p>
        </w:tc>
        <w:tc>
          <w:tcPr>
            <w:tcW w:w="1020" w:type="dxa"/>
            <w:vAlign w:val="bottom"/>
            <w:shd w:val="clear" w:color="auto" w:fill="CFF0FC"/>
          </w:tcPr>
          <w:p>
            <w:pPr>
              <w:jc w:val="right"/>
              <w:ind w:right="859"/>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4"/>
                <w:szCs w:val="14"/>
                <w:color w:val="auto"/>
              </w:rPr>
              <w:t>163</w:t>
            </w:r>
          </w:p>
        </w:tc>
        <w:tc>
          <w:tcPr>
            <w:tcW w:w="1160" w:type="dxa"/>
            <w:vAlign w:val="bottom"/>
            <w:shd w:val="clear" w:color="auto" w:fill="CFF0FC"/>
          </w:tcPr>
          <w:p>
            <w:pPr>
              <w:jc w:val="right"/>
              <w:ind w:right="916"/>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shd w:val="clear" w:color="auto" w:fill="CFF0FC"/>
          </w:tcPr>
          <w:p>
            <w:pPr>
              <w:jc w:val="right"/>
              <w:ind w:right="29"/>
              <w:spacing w:after="0"/>
              <w:rPr>
                <w:sz w:val="20"/>
                <w:szCs w:val="20"/>
                <w:color w:val="auto"/>
              </w:rPr>
            </w:pPr>
            <w:r>
              <w:rPr>
                <w:rFonts w:ascii="Times New Roman" w:cs="Times New Roman" w:eastAsia="Times New Roman" w:hAnsi="Times New Roman"/>
                <w:sz w:val="14"/>
                <w:szCs w:val="14"/>
                <w:color w:val="auto"/>
              </w:rPr>
              <w:t>182</w:t>
            </w:r>
          </w:p>
        </w:tc>
      </w:tr>
      <w:tr>
        <w:trPr>
          <w:trHeight w:val="191"/>
        </w:trPr>
        <w:tc>
          <w:tcPr>
            <w:tcW w:w="80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Guaranteed bank notes sold without recourse</w:t>
            </w:r>
          </w:p>
        </w:tc>
        <w:tc>
          <w:tcPr>
            <w:tcW w:w="1020" w:type="dxa"/>
            <w:vAlign w:val="bottom"/>
          </w:tcPr>
          <w:p>
            <w:pPr>
              <w:spacing w:after="0"/>
              <w:rPr>
                <w:sz w:val="16"/>
                <w:szCs w:val="16"/>
                <w:color w:val="auto"/>
              </w:rPr>
            </w:pPr>
          </w:p>
        </w:tc>
        <w:tc>
          <w:tcPr>
            <w:tcW w:w="540" w:type="dxa"/>
            <w:vAlign w:val="bottom"/>
          </w:tcPr>
          <w:p>
            <w:pPr>
              <w:jc w:val="right"/>
              <w:ind w:right="34"/>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Pr>
          <w:p>
            <w:pPr>
              <w:spacing w:after="0"/>
              <w:rPr>
                <w:sz w:val="16"/>
                <w:szCs w:val="16"/>
                <w:color w:val="auto"/>
              </w:rPr>
            </w:pPr>
          </w:p>
        </w:tc>
        <w:tc>
          <w:tcPr>
            <w:tcW w:w="4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r>
    </w:tbl>
    <w:p>
      <w:pPr>
        <w:spacing w:after="0" w:line="210" w:lineRule="exact"/>
        <w:rPr>
          <w:sz w:val="20"/>
          <w:szCs w:val="20"/>
          <w:color w:val="auto"/>
        </w:rPr>
      </w:pPr>
    </w:p>
    <w:p>
      <w:pPr>
        <w:jc w:val="both"/>
        <w:ind w:firstLine="319"/>
        <w:spacing w:after="0" w:line="289" w:lineRule="auto"/>
        <w:rPr>
          <w:sz w:val="20"/>
          <w:szCs w:val="20"/>
          <w:color w:val="auto"/>
        </w:rPr>
      </w:pPr>
      <w:r>
        <w:rPr>
          <w:rFonts w:ascii="Times New Roman" w:cs="Times New Roman" w:eastAsia="Times New Roman" w:hAnsi="Times New Roman"/>
          <w:sz w:val="14"/>
          <w:szCs w:val="14"/>
          <w:color w:val="auto"/>
        </w:rPr>
        <w:t xml:space="preserve">The expenses related to the sale of trade receivables and guaranteed bank notes are recognized within Other expense, net in the Consolidated Interim Statements of Operations, and were immaterial for the three months ended </w:t>
      </w:r>
      <w:r>
        <w:rPr>
          <w:rFonts w:ascii="Times New Roman" w:cs="Times New Roman" w:eastAsia="Times New Roman" w:hAnsi="Times New Roman"/>
          <w:sz w:val="14"/>
          <w:szCs w:val="14"/>
          <w:color w:val="231F20"/>
        </w:rPr>
        <w:t>March 31, 2024 and</w:t>
      </w:r>
      <w:r>
        <w:rPr>
          <w:rFonts w:ascii="Times New Roman" w:cs="Times New Roman" w:eastAsia="Times New Roman" w:hAnsi="Times New Roman"/>
          <w:sz w:val="14"/>
          <w:szCs w:val="14"/>
          <w:color w:val="auto"/>
        </w:rPr>
        <w:t xml:space="preserve"> 2023</w:t>
      </w:r>
      <w:r>
        <w:rPr>
          <w:rFonts w:ascii="Times New Roman" w:cs="Times New Roman" w:eastAsia="Times New Roman" w:hAnsi="Times New Roman"/>
          <w:sz w:val="14"/>
          <w:szCs w:val="14"/>
          <w:color w:val="231F20"/>
        </w:rPr>
        <w:t>.</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128"/>
        </w:trPr>
        <w:tc>
          <w:tcPr>
            <w:tcW w:w="80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jc w:val="right"/>
              <w:ind w:right="196"/>
              <w:spacing w:after="0"/>
              <w:rPr>
                <w:sz w:val="20"/>
                <w:szCs w:val="20"/>
                <w:color w:val="auto"/>
              </w:rPr>
            </w:pPr>
            <w:r>
              <w:rPr>
                <w:rFonts w:ascii="Times New Roman" w:cs="Times New Roman" w:eastAsia="Times New Roman" w:hAnsi="Times New Roman"/>
                <w:sz w:val="11"/>
                <w:szCs w:val="11"/>
                <w:b w:val="1"/>
                <w:bCs w:val="1"/>
                <w:color w:val="auto"/>
              </w:rPr>
              <w:t>March 31,</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60" w:type="dxa"/>
            <w:vAlign w:val="bottom"/>
            <w:gridSpan w:val="2"/>
          </w:tcPr>
          <w:p>
            <w:pPr>
              <w:ind w:left="120"/>
              <w:spacing w:after="0"/>
              <w:rPr>
                <w:sz w:val="20"/>
                <w:szCs w:val="20"/>
                <w:color w:val="auto"/>
              </w:rPr>
            </w:pPr>
            <w:r>
              <w:rPr>
                <w:rFonts w:ascii="Times New Roman" w:cs="Times New Roman" w:eastAsia="Times New Roman" w:hAnsi="Times New Roman"/>
                <w:sz w:val="11"/>
                <w:szCs w:val="11"/>
                <w:b w:val="1"/>
                <w:bCs w:val="1"/>
                <w:color w:val="auto"/>
              </w:rPr>
              <w:t>December 31,</w:t>
            </w:r>
          </w:p>
        </w:tc>
        <w:tc>
          <w:tcPr>
            <w:tcW w:w="0" w:type="dxa"/>
            <w:vAlign w:val="bottom"/>
          </w:tcPr>
          <w:p>
            <w:pPr>
              <w:spacing w:after="0"/>
              <w:rPr>
                <w:sz w:val="1"/>
                <w:szCs w:val="1"/>
                <w:color w:val="auto"/>
              </w:rPr>
            </w:pPr>
          </w:p>
        </w:tc>
      </w:tr>
      <w:tr>
        <w:trPr>
          <w:trHeight w:val="149"/>
        </w:trPr>
        <w:tc>
          <w:tcPr>
            <w:tcW w:w="80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jc w:val="right"/>
              <w:ind w:right="336"/>
              <w:spacing w:after="0"/>
              <w:rPr>
                <w:sz w:val="20"/>
                <w:szCs w:val="20"/>
                <w:color w:val="auto"/>
              </w:rPr>
            </w:pPr>
            <w:r>
              <w:rPr>
                <w:rFonts w:ascii="Times New Roman" w:cs="Times New Roman" w:eastAsia="Times New Roman" w:hAnsi="Times New Roman"/>
                <w:sz w:val="11"/>
                <w:szCs w:val="11"/>
                <w:b w:val="1"/>
                <w:bCs w:val="1"/>
                <w:color w:val="auto"/>
              </w:rPr>
              <w:t>2024</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40" w:type="dxa"/>
            <w:vAlign w:val="bottom"/>
          </w:tcPr>
          <w:p>
            <w:pPr>
              <w:jc w:val="right"/>
              <w:ind w:right="514"/>
              <w:spacing w:after="0"/>
              <w:rPr>
                <w:sz w:val="20"/>
                <w:szCs w:val="20"/>
                <w:color w:val="auto"/>
              </w:rPr>
            </w:pPr>
            <w:r>
              <w:rPr>
                <w:rFonts w:ascii="Times New Roman" w:cs="Times New Roman" w:eastAsia="Times New Roman" w:hAnsi="Times New Roman"/>
                <w:sz w:val="11"/>
                <w:szCs w:val="11"/>
                <w:b w:val="1"/>
                <w:bCs w:val="1"/>
                <w:color w:val="auto"/>
              </w:rPr>
              <w:t>2023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
        </w:trPr>
        <w:tc>
          <w:tcPr>
            <w:tcW w:w="8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3"/>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1"/>
        </w:trPr>
        <w:tc>
          <w:tcPr>
            <w:tcW w:w="80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780" w:type="dxa"/>
            <w:vAlign w:val="bottom"/>
            <w:gridSpan w:val="6"/>
          </w:tcPr>
          <w:p>
            <w:pPr>
              <w:ind w:left="840"/>
              <w:spacing w:after="0"/>
              <w:rPr>
                <w:sz w:val="20"/>
                <w:szCs w:val="20"/>
                <w:color w:val="auto"/>
              </w:rPr>
            </w:pPr>
            <w:r>
              <w:rPr>
                <w:rFonts w:ascii="Times New Roman" w:cs="Times New Roman" w:eastAsia="Times New Roman" w:hAnsi="Times New Roman"/>
                <w:sz w:val="11"/>
                <w:szCs w:val="11"/>
                <w:b w:val="1"/>
                <w:bCs w:val="1"/>
                <w:color w:val="auto"/>
              </w:rPr>
              <w:t>(Dollars in millions)</w:t>
            </w:r>
          </w:p>
        </w:tc>
        <w:tc>
          <w:tcPr>
            <w:tcW w:w="0" w:type="dxa"/>
            <w:vAlign w:val="bottom"/>
          </w:tcPr>
          <w:p>
            <w:pPr>
              <w:spacing w:after="0"/>
              <w:rPr>
                <w:sz w:val="1"/>
                <w:szCs w:val="1"/>
                <w:color w:val="auto"/>
              </w:rPr>
            </w:pPr>
          </w:p>
        </w:tc>
      </w:tr>
      <w:tr>
        <w:trPr>
          <w:trHeight w:val="212"/>
        </w:trPr>
        <w:tc>
          <w:tcPr>
            <w:tcW w:w="80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Receivables sold but not yet collected by the bank from the customer</w:t>
            </w:r>
          </w:p>
        </w:tc>
        <w:tc>
          <w:tcPr>
            <w:tcW w:w="5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shd w:val="clear" w:color="auto" w:fill="CFF0FC"/>
          </w:tcPr>
          <w:p>
            <w:pPr>
              <w:spacing w:after="0"/>
              <w:rPr>
                <w:sz w:val="18"/>
                <w:szCs w:val="18"/>
                <w:color w:val="auto"/>
              </w:rPr>
            </w:pPr>
          </w:p>
        </w:tc>
        <w:tc>
          <w:tcPr>
            <w:tcW w:w="2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5</w:t>
            </w:r>
          </w:p>
        </w:tc>
        <w:tc>
          <w:tcPr>
            <w:tcW w:w="300" w:type="dxa"/>
            <w:vAlign w:val="bottom"/>
            <w:shd w:val="clear" w:color="auto" w:fill="CFF0FC"/>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8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Guaranteed bank notes sold but not yet collected by the bank from the customer</w:t>
            </w:r>
          </w:p>
        </w:tc>
        <w:tc>
          <w:tcPr>
            <w:tcW w:w="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w w:val="85"/>
              </w:rPr>
              <w:t>—</w:t>
            </w:r>
          </w:p>
        </w:tc>
        <w:tc>
          <w:tcPr>
            <w:tcW w:w="300" w:type="dxa"/>
            <w:vAlign w:val="bottom"/>
          </w:tcPr>
          <w:p>
            <w:pPr>
              <w:spacing w:after="0"/>
              <w:rPr>
                <w:sz w:val="16"/>
                <w:szCs w:val="16"/>
                <w:color w:val="auto"/>
              </w:rPr>
            </w:pP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394"/>
        </w:trPr>
        <w:tc>
          <w:tcPr>
            <w:tcW w:w="800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As of March 31, 2024 and December 31, 2023, the Company had no guaranteed bank notes pledged as collateral.</w:t>
            </w: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1"/>
        </w:trPr>
        <w:tc>
          <w:tcPr>
            <w:tcW w:w="80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Note 8. Inventories—Net</w:t>
            </w: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80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jc w:val="right"/>
              <w:ind w:right="476"/>
              <w:spacing w:after="0"/>
              <w:rPr>
                <w:sz w:val="20"/>
                <w:szCs w:val="20"/>
                <w:color w:val="auto"/>
              </w:rPr>
            </w:pPr>
            <w:r>
              <w:rPr>
                <w:rFonts w:ascii="Times New Roman" w:cs="Times New Roman" w:eastAsia="Times New Roman" w:hAnsi="Times New Roman"/>
                <w:sz w:val="11"/>
                <w:szCs w:val="11"/>
                <w:b w:val="1"/>
                <w:bCs w:val="1"/>
                <w:color w:val="auto"/>
              </w:rPr>
              <w:t>March 31,</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6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December 31,</w:t>
            </w:r>
          </w:p>
        </w:tc>
        <w:tc>
          <w:tcPr>
            <w:tcW w:w="0" w:type="dxa"/>
            <w:vAlign w:val="bottom"/>
          </w:tcPr>
          <w:p>
            <w:pPr>
              <w:spacing w:after="0"/>
              <w:rPr>
                <w:sz w:val="1"/>
                <w:szCs w:val="1"/>
                <w:color w:val="auto"/>
              </w:rPr>
            </w:pPr>
          </w:p>
        </w:tc>
      </w:tr>
      <w:tr>
        <w:trPr>
          <w:trHeight w:val="149"/>
        </w:trPr>
        <w:tc>
          <w:tcPr>
            <w:tcW w:w="80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jc w:val="right"/>
              <w:ind w:right="616"/>
              <w:spacing w:after="0"/>
              <w:rPr>
                <w:sz w:val="20"/>
                <w:szCs w:val="20"/>
                <w:color w:val="auto"/>
              </w:rPr>
            </w:pPr>
            <w:r>
              <w:rPr>
                <w:rFonts w:ascii="Times New Roman" w:cs="Times New Roman" w:eastAsia="Times New Roman" w:hAnsi="Times New Roman"/>
                <w:sz w:val="11"/>
                <w:szCs w:val="11"/>
                <w:b w:val="1"/>
                <w:bCs w:val="1"/>
                <w:color w:val="auto"/>
              </w:rPr>
              <w:t>2024</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40" w:type="dxa"/>
            <w:vAlign w:val="bottom"/>
          </w:tcPr>
          <w:p>
            <w:pPr>
              <w:jc w:val="right"/>
              <w:ind w:right="614"/>
              <w:spacing w:after="0"/>
              <w:rPr>
                <w:sz w:val="20"/>
                <w:szCs w:val="20"/>
                <w:color w:val="auto"/>
              </w:rPr>
            </w:pPr>
            <w:r>
              <w:rPr>
                <w:rFonts w:ascii="Times New Roman" w:cs="Times New Roman" w:eastAsia="Times New Roman" w:hAnsi="Times New Roman"/>
                <w:sz w:val="11"/>
                <w:szCs w:val="11"/>
                <w:b w:val="1"/>
                <w:bCs w:val="1"/>
                <w:color w:val="auto"/>
              </w:rPr>
              <w:t>2023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
        </w:trPr>
        <w:tc>
          <w:tcPr>
            <w:tcW w:w="80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gridSpan w:val="4"/>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51"/>
        </w:trPr>
        <w:tc>
          <w:tcPr>
            <w:tcW w:w="80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20" w:type="dxa"/>
            <w:vAlign w:val="bottom"/>
            <w:gridSpan w:val="4"/>
          </w:tcPr>
          <w:p>
            <w:pPr>
              <w:ind w:left="640"/>
              <w:spacing w:after="0"/>
              <w:rPr>
                <w:sz w:val="20"/>
                <w:szCs w:val="20"/>
                <w:color w:val="auto"/>
              </w:rPr>
            </w:pPr>
            <w:r>
              <w:rPr>
                <w:rFonts w:ascii="Times New Roman" w:cs="Times New Roman" w:eastAsia="Times New Roman" w:hAnsi="Times New Roman"/>
                <w:sz w:val="11"/>
                <w:szCs w:val="11"/>
                <w:b w:val="1"/>
                <w:bCs w:val="1"/>
                <w:color w:val="auto"/>
              </w:rPr>
              <w:t>(Dollars in millions)</w:t>
            </w:r>
          </w:p>
        </w:tc>
        <w:tc>
          <w:tcPr>
            <w:tcW w:w="1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2"/>
        </w:trPr>
        <w:tc>
          <w:tcPr>
            <w:tcW w:w="80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Raw materials</w:t>
            </w:r>
          </w:p>
        </w:tc>
        <w:tc>
          <w:tcPr>
            <w:tcW w:w="360" w:type="dxa"/>
            <w:vAlign w:val="bottom"/>
            <w:shd w:val="clear" w:color="auto" w:fill="CFF0FC"/>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4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193</w:t>
            </w:r>
          </w:p>
        </w:tc>
        <w:tc>
          <w:tcPr>
            <w:tcW w:w="2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198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8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Work in process</w:t>
            </w: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80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Finished products</w:t>
            </w:r>
          </w:p>
        </w:tc>
        <w:tc>
          <w:tcPr>
            <w:tcW w:w="360" w:type="dxa"/>
            <w:vAlign w:val="bottom"/>
            <w:tcBorders>
              <w:bottom w:val="single" w:sz="8" w:color="auto"/>
            </w:tcBorders>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rPr>
                <w:sz w:val="17"/>
                <w:szCs w:val="17"/>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98</w:t>
            </w:r>
          </w:p>
        </w:tc>
        <w:tc>
          <w:tcPr>
            <w:tcW w:w="100" w:type="dxa"/>
            <w:vAlign w:val="bottom"/>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spacing w:after="0"/>
              <w:rPr>
                <w:sz w:val="17"/>
                <w:szCs w:val="17"/>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80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314</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80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Less—Reserves</w:t>
            </w:r>
          </w:p>
        </w:tc>
        <w:tc>
          <w:tcPr>
            <w:tcW w:w="360" w:type="dxa"/>
            <w:vAlign w:val="bottom"/>
            <w:tcBorders>
              <w:bottom w:val="single" w:sz="8" w:color="auto"/>
            </w:tcBorders>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rPr>
                <w:sz w:val="17"/>
                <w:szCs w:val="17"/>
                <w:color w:val="auto"/>
              </w:rPr>
            </w:pPr>
          </w:p>
        </w:tc>
        <w:tc>
          <w:tcPr>
            <w:tcW w:w="1080" w:type="dxa"/>
            <w:vAlign w:val="bottom"/>
            <w:tcBorders>
              <w:bottom w:val="single" w:sz="8" w:color="auto"/>
            </w:tcBorders>
            <w:shd w:val="clear" w:color="auto" w:fill="CFF0FC"/>
          </w:tcPr>
          <w:p>
            <w:pPr>
              <w:ind w:left="840"/>
              <w:spacing w:after="0"/>
              <w:rPr>
                <w:sz w:val="20"/>
                <w:szCs w:val="20"/>
                <w:color w:val="auto"/>
              </w:rPr>
            </w:pPr>
            <w:r>
              <w:rPr>
                <w:rFonts w:ascii="Times New Roman" w:cs="Times New Roman" w:eastAsia="Times New Roman" w:hAnsi="Times New Roman"/>
                <w:sz w:val="14"/>
                <w:szCs w:val="14"/>
                <w:color w:val="auto"/>
                <w:w w:val="94"/>
              </w:rPr>
              <w:t>(42)</w:t>
            </w:r>
          </w:p>
        </w:tc>
        <w:tc>
          <w:tcPr>
            <w:tcW w:w="100" w:type="dxa"/>
            <w:vAlign w:val="bottom"/>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spacing w:after="0"/>
              <w:rPr>
                <w:sz w:val="17"/>
                <w:szCs w:val="17"/>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8000" w:type="dxa"/>
            <w:vAlign w:val="bottom"/>
          </w:tcPr>
          <w:p>
            <w:pPr>
              <w:spacing w:after="0"/>
              <w:rPr>
                <w:sz w:val="16"/>
                <w:szCs w:val="16"/>
                <w:color w:val="auto"/>
              </w:rPr>
            </w:pPr>
          </w:p>
        </w:tc>
        <w:tc>
          <w:tcPr>
            <w:tcW w:w="360" w:type="dxa"/>
            <w:vAlign w:val="bottom"/>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272</w:t>
            </w:r>
          </w:p>
        </w:tc>
        <w:tc>
          <w:tcPr>
            <w:tcW w:w="2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8000" w:type="dxa"/>
            <w:vAlign w:val="bottom"/>
            <w:vMerge w:val="restart"/>
          </w:tcPr>
          <w:p>
            <w:pPr>
              <w:ind w:left="5720"/>
              <w:spacing w:after="0"/>
              <w:rPr>
                <w:sz w:val="20"/>
                <w:szCs w:val="20"/>
                <w:color w:val="auto"/>
              </w:rPr>
            </w:pPr>
            <w:r>
              <w:rPr>
                <w:rFonts w:ascii="Times New Roman" w:cs="Times New Roman" w:eastAsia="Times New Roman" w:hAnsi="Times New Roman"/>
                <w:sz w:val="14"/>
                <w:szCs w:val="14"/>
                <w:color w:val="auto"/>
              </w:rPr>
              <w:t>10</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04"/>
        </w:trPr>
        <w:tc>
          <w:tcPr>
            <w:tcW w:w="800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800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7145020</wp:posOffset>
            </wp:positionH>
            <wp:positionV relativeFrom="paragraph">
              <wp:posOffset>-25400</wp:posOffset>
            </wp:positionV>
            <wp:extent cx="3238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092" w:right="31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4"/>
          <w:szCs w:val="14"/>
          <w:b w:val="1"/>
          <w:bCs w:val="1"/>
          <w:color w:val="auto"/>
        </w:rPr>
        <w:t>Note 9. Other Assets</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128"/>
        </w:trPr>
        <w:tc>
          <w:tcPr>
            <w:tcW w:w="8000" w:type="dxa"/>
            <w:vAlign w:val="bottom"/>
          </w:tcPr>
          <w:p>
            <w:pPr>
              <w:spacing w:after="0"/>
              <w:rPr>
                <w:sz w:val="11"/>
                <w:szCs w:val="1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March 31,</w:t>
            </w: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tcPr>
          <w:p>
            <w:pPr>
              <w:jc w:val="right"/>
              <w:ind w:right="392"/>
              <w:spacing w:after="0"/>
              <w:rPr>
                <w:sz w:val="20"/>
                <w:szCs w:val="20"/>
                <w:color w:val="auto"/>
              </w:rPr>
            </w:pPr>
            <w:r>
              <w:rPr>
                <w:rFonts w:ascii="Times New Roman" w:cs="Times New Roman" w:eastAsia="Times New Roman" w:hAnsi="Times New Roman"/>
                <w:sz w:val="11"/>
                <w:szCs w:val="11"/>
                <w:b w:val="1"/>
                <w:bCs w:val="1"/>
                <w:color w:val="auto"/>
              </w:rPr>
              <w:t>December 31,</w:t>
            </w:r>
          </w:p>
        </w:tc>
      </w:tr>
      <w:tr>
        <w:trPr>
          <w:trHeight w:val="159"/>
        </w:trPr>
        <w:tc>
          <w:tcPr>
            <w:tcW w:w="8000" w:type="dxa"/>
            <w:vAlign w:val="bottom"/>
          </w:tcPr>
          <w:p>
            <w:pPr>
              <w:spacing w:after="0"/>
              <w:rPr>
                <w:sz w:val="13"/>
                <w:szCs w:val="13"/>
                <w:color w:val="auto"/>
              </w:rPr>
            </w:pPr>
          </w:p>
        </w:tc>
        <w:tc>
          <w:tcPr>
            <w:tcW w:w="110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1"/>
                <w:szCs w:val="11"/>
                <w:b w:val="1"/>
                <w:bCs w:val="1"/>
                <w:color w:val="auto"/>
              </w:rPr>
              <w:t>2024</w:t>
            </w:r>
          </w:p>
        </w:tc>
        <w:tc>
          <w:tcPr>
            <w:tcW w:w="4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612"/>
              <w:spacing w:after="0"/>
              <w:rPr>
                <w:sz w:val="20"/>
                <w:szCs w:val="20"/>
                <w:color w:val="auto"/>
              </w:rPr>
            </w:pPr>
            <w:r>
              <w:rPr>
                <w:rFonts w:ascii="Times New Roman" w:cs="Times New Roman" w:eastAsia="Times New Roman" w:hAnsi="Times New Roman"/>
                <w:sz w:val="11"/>
                <w:szCs w:val="11"/>
                <w:b w:val="1"/>
                <w:bCs w:val="1"/>
                <w:color w:val="auto"/>
              </w:rPr>
              <w:t>2023</w:t>
            </w:r>
          </w:p>
        </w:tc>
      </w:tr>
      <w:tr>
        <w:trPr>
          <w:trHeight w:val="161"/>
        </w:trPr>
        <w:tc>
          <w:tcPr>
            <w:tcW w:w="80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20" w:type="dxa"/>
            <w:vAlign w:val="bottom"/>
            <w:gridSpan w:val="3"/>
          </w:tcPr>
          <w:p>
            <w:pPr>
              <w:jc w:val="right"/>
              <w:spacing w:after="0"/>
              <w:rPr>
                <w:sz w:val="20"/>
                <w:szCs w:val="20"/>
                <w:color w:val="auto"/>
              </w:rPr>
            </w:pPr>
            <w:r>
              <w:rPr>
                <w:rFonts w:ascii="Times New Roman" w:cs="Times New Roman" w:eastAsia="Times New Roman" w:hAnsi="Times New Roman"/>
                <w:sz w:val="11"/>
                <w:szCs w:val="11"/>
                <w:b w:val="1"/>
                <w:bCs w:val="1"/>
                <w:color w:val="auto"/>
              </w:rPr>
              <w:t>(Dollars in millions)</w:t>
            </w:r>
          </w:p>
        </w:tc>
        <w:tc>
          <w:tcPr>
            <w:tcW w:w="1140" w:type="dxa"/>
            <w:vAlign w:val="bottom"/>
          </w:tcPr>
          <w:p>
            <w:pPr>
              <w:spacing w:after="0"/>
              <w:rPr>
                <w:sz w:val="13"/>
                <w:szCs w:val="13"/>
                <w:color w:val="auto"/>
              </w:rPr>
            </w:pPr>
          </w:p>
        </w:tc>
      </w:tr>
      <w:tr>
        <w:trPr>
          <w:trHeight w:val="212"/>
        </w:trPr>
        <w:tc>
          <w:tcPr>
            <w:tcW w:w="80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Advanced discounts to customers, non-current</w:t>
            </w:r>
          </w:p>
        </w:tc>
        <w:tc>
          <w:tcPr>
            <w:tcW w:w="1100" w:type="dxa"/>
            <w:vAlign w:val="bottom"/>
            <w:shd w:val="clear" w:color="auto" w:fill="CFF0FC"/>
          </w:tcPr>
          <w:p>
            <w:pPr>
              <w:jc w:val="right"/>
              <w:ind w:right="956"/>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39</w:t>
            </w:r>
          </w:p>
        </w:tc>
        <w:tc>
          <w:tcPr>
            <w:tcW w:w="100" w:type="dxa"/>
            <w:vAlign w:val="bottom"/>
            <w:shd w:val="clear" w:color="auto" w:fill="CFF0FC"/>
          </w:tcPr>
          <w:p>
            <w:pPr>
              <w:spacing w:after="0"/>
              <w:rPr>
                <w:sz w:val="18"/>
                <w:szCs w:val="18"/>
                <w:color w:val="auto"/>
              </w:rPr>
            </w:pPr>
          </w:p>
        </w:tc>
        <w:tc>
          <w:tcPr>
            <w:tcW w:w="440" w:type="dxa"/>
            <w:vAlign w:val="bottom"/>
            <w:shd w:val="clear" w:color="auto" w:fill="CFF0FC"/>
          </w:tcPr>
          <w:p>
            <w:pPr>
              <w:jc w:val="right"/>
              <w:ind w:right="28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41</w:t>
            </w:r>
          </w:p>
        </w:tc>
      </w:tr>
      <w:tr>
        <w:trPr>
          <w:trHeight w:val="197"/>
        </w:trPr>
        <w:tc>
          <w:tcPr>
            <w:tcW w:w="8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Operating right-of-use assets (Note 13)</w:t>
            </w:r>
          </w:p>
        </w:tc>
        <w:tc>
          <w:tcPr>
            <w:tcW w:w="110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w:t>
            </w:r>
          </w:p>
        </w:tc>
      </w:tr>
      <w:tr>
        <w:trPr>
          <w:trHeight w:val="208"/>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Income tax receivable</w:t>
            </w:r>
          </w:p>
        </w:tc>
        <w:tc>
          <w:tcPr>
            <w:tcW w:w="1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w:t>
            </w:r>
          </w:p>
        </w:tc>
      </w:tr>
      <w:tr>
        <w:trPr>
          <w:trHeight w:val="197"/>
        </w:trPr>
        <w:tc>
          <w:tcPr>
            <w:tcW w:w="8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Pension and other employee related</w:t>
            </w:r>
          </w:p>
        </w:tc>
        <w:tc>
          <w:tcPr>
            <w:tcW w:w="110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w:t>
            </w:r>
          </w:p>
        </w:tc>
      </w:tr>
      <w:tr>
        <w:trPr>
          <w:trHeight w:val="208"/>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Derivatives designated as net investment hedges</w:t>
            </w:r>
          </w:p>
        </w:tc>
        <w:tc>
          <w:tcPr>
            <w:tcW w:w="1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w:t>
            </w:r>
          </w:p>
        </w:tc>
      </w:tr>
      <w:tr>
        <w:trPr>
          <w:trHeight w:val="197"/>
        </w:trPr>
        <w:tc>
          <w:tcPr>
            <w:tcW w:w="8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Designated and undesignated derivatives</w:t>
            </w:r>
          </w:p>
        </w:tc>
        <w:tc>
          <w:tcPr>
            <w:tcW w:w="110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w:t>
            </w:r>
          </w:p>
        </w:tc>
      </w:tr>
      <w:tr>
        <w:trPr>
          <w:trHeight w:val="202"/>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w:t>
            </w:r>
          </w:p>
        </w:tc>
        <w:tc>
          <w:tcPr>
            <w:tcW w:w="1100" w:type="dxa"/>
            <w:vAlign w:val="bottom"/>
            <w:tcBorders>
              <w:bottom w:val="single" w:sz="8" w:color="auto"/>
            </w:tcBorders>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100" w:type="dxa"/>
            <w:vAlign w:val="bottom"/>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r>
      <w:tr>
        <w:trPr>
          <w:trHeight w:val="193"/>
        </w:trPr>
        <w:tc>
          <w:tcPr>
            <w:tcW w:w="8000" w:type="dxa"/>
            <w:vAlign w:val="bottom"/>
          </w:tcPr>
          <w:p>
            <w:pPr>
              <w:spacing w:after="0"/>
              <w:rPr>
                <w:sz w:val="16"/>
                <w:szCs w:val="16"/>
                <w:color w:val="auto"/>
              </w:rPr>
            </w:pPr>
          </w:p>
        </w:tc>
        <w:tc>
          <w:tcPr>
            <w:tcW w:w="1100" w:type="dxa"/>
            <w:vAlign w:val="bottom"/>
            <w:tcBorders>
              <w:bottom w:val="single" w:sz="8" w:color="auto"/>
            </w:tcBorders>
          </w:tcPr>
          <w:p>
            <w:pPr>
              <w:jc w:val="right"/>
              <w:ind w:right="956"/>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222</w:t>
            </w:r>
          </w:p>
        </w:tc>
        <w:tc>
          <w:tcPr>
            <w:tcW w:w="100" w:type="dxa"/>
            <w:vAlign w:val="bottom"/>
          </w:tcPr>
          <w:p>
            <w:pPr>
              <w:spacing w:after="0"/>
              <w:rPr>
                <w:sz w:val="16"/>
                <w:szCs w:val="16"/>
                <w:color w:val="auto"/>
              </w:rPr>
            </w:pPr>
          </w:p>
        </w:tc>
        <w:tc>
          <w:tcPr>
            <w:tcW w:w="440" w:type="dxa"/>
            <w:vAlign w:val="bottom"/>
            <w:tcBorders>
              <w:bottom w:val="single" w:sz="8" w:color="auto"/>
            </w:tcBorders>
          </w:tcPr>
          <w:p>
            <w:pPr>
              <w:jc w:val="right"/>
              <w:ind w:right="28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206</w:t>
            </w:r>
          </w:p>
        </w:tc>
      </w:tr>
      <w:tr>
        <w:trPr>
          <w:trHeight w:val="20"/>
        </w:trPr>
        <w:tc>
          <w:tcPr>
            <w:tcW w:w="80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10. Supplier Financing</w:t>
      </w:r>
    </w:p>
    <w:p>
      <w:pPr>
        <w:spacing w:after="0" w:line="160" w:lineRule="exact"/>
        <w:rPr>
          <w:sz w:val="20"/>
          <w:szCs w:val="20"/>
          <w:color w:val="auto"/>
        </w:rPr>
      </w:pPr>
    </w:p>
    <w:p>
      <w:pPr>
        <w:jc w:val="both"/>
        <w:ind w:firstLine="319"/>
        <w:spacing w:after="0" w:line="265" w:lineRule="auto"/>
        <w:rPr>
          <w:sz w:val="20"/>
          <w:szCs w:val="20"/>
          <w:color w:val="auto"/>
        </w:rPr>
      </w:pPr>
      <w:r>
        <w:rPr>
          <w:rFonts w:ascii="Times New Roman" w:cs="Times New Roman" w:eastAsia="Times New Roman" w:hAnsi="Times New Roman"/>
          <w:sz w:val="14"/>
          <w:szCs w:val="14"/>
          <w:color w:val="auto"/>
        </w:rPr>
        <w:t>The Company has supplier financing arrangements with two third-party financial institutions under which certain suppliers may factor their receivables from Garrett. The Company also enters into arrangements with banking institutions to issue bankers acceptance drafts in settlement of accounts payables, primarily in the Asia Pacific region. The bankers acceptance drafts, or guaranteed bank notes, have a contractual maturity of six months or less, and may be held by suppliers until maturity, transferred to their suppliers, or discounted with financial institutions in exchange for cash. The supplier financing obligations and guaranteed bank notes outstanding are recorded within Accounts payable in our Consolidated Interim Balance Sheet.</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47"/>
        </w:trPr>
        <w:tc>
          <w:tcPr>
            <w:tcW w:w="80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40" w:type="dxa"/>
            <w:vAlign w:val="bottom"/>
          </w:tcPr>
          <w:p>
            <w:pPr>
              <w:jc w:val="center"/>
              <w:ind w:right="253"/>
              <w:spacing w:after="0"/>
              <w:rPr>
                <w:sz w:val="20"/>
                <w:szCs w:val="20"/>
                <w:color w:val="auto"/>
              </w:rPr>
            </w:pPr>
            <w:r>
              <w:rPr>
                <w:rFonts w:ascii="Times New Roman" w:cs="Times New Roman" w:eastAsia="Times New Roman" w:hAnsi="Times New Roman"/>
                <w:sz w:val="11"/>
                <w:szCs w:val="11"/>
                <w:b w:val="1"/>
                <w:bCs w:val="1"/>
                <w:color w:val="auto"/>
                <w:w w:val="99"/>
              </w:rPr>
              <w:t>March 31,</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120" w:type="dxa"/>
            <w:vAlign w:val="bottom"/>
          </w:tcPr>
          <w:p>
            <w:pPr>
              <w:jc w:val="center"/>
              <w:ind w:right="372"/>
              <w:spacing w:after="0"/>
              <w:rPr>
                <w:sz w:val="20"/>
                <w:szCs w:val="20"/>
                <w:color w:val="auto"/>
              </w:rPr>
            </w:pPr>
            <w:r>
              <w:rPr>
                <w:rFonts w:ascii="Times New Roman" w:cs="Times New Roman" w:eastAsia="Times New Roman" w:hAnsi="Times New Roman"/>
                <w:sz w:val="11"/>
                <w:szCs w:val="11"/>
                <w:b w:val="1"/>
                <w:bCs w:val="1"/>
                <w:color w:val="auto"/>
              </w:rPr>
              <w:t>December 31,</w:t>
            </w:r>
          </w:p>
        </w:tc>
      </w:tr>
      <w:tr>
        <w:trPr>
          <w:trHeight w:val="154"/>
        </w:trPr>
        <w:tc>
          <w:tcPr>
            <w:tcW w:w="806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center"/>
              <w:ind w:right="253"/>
              <w:spacing w:after="0"/>
              <w:rPr>
                <w:sz w:val="20"/>
                <w:szCs w:val="20"/>
                <w:color w:val="auto"/>
              </w:rPr>
            </w:pPr>
            <w:r>
              <w:rPr>
                <w:rFonts w:ascii="Times New Roman" w:cs="Times New Roman" w:eastAsia="Times New Roman" w:hAnsi="Times New Roman"/>
                <w:sz w:val="11"/>
                <w:szCs w:val="11"/>
                <w:b w:val="1"/>
                <w:bCs w:val="1"/>
                <w:color w:val="auto"/>
              </w:rPr>
              <w:t>2024</w:t>
            </w: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center"/>
              <w:ind w:right="372"/>
              <w:spacing w:after="0"/>
              <w:rPr>
                <w:sz w:val="20"/>
                <w:szCs w:val="20"/>
                <w:color w:val="auto"/>
              </w:rPr>
            </w:pPr>
            <w:r>
              <w:rPr>
                <w:rFonts w:ascii="Times New Roman" w:cs="Times New Roman" w:eastAsia="Times New Roman" w:hAnsi="Times New Roman"/>
                <w:sz w:val="11"/>
                <w:szCs w:val="11"/>
                <w:b w:val="1"/>
                <w:bCs w:val="1"/>
                <w:color w:val="auto"/>
              </w:rPr>
              <w:t>2023</w:t>
            </w:r>
          </w:p>
        </w:tc>
      </w:tr>
      <w:tr>
        <w:trPr>
          <w:trHeight w:val="157"/>
        </w:trPr>
        <w:tc>
          <w:tcPr>
            <w:tcW w:w="80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780" w:type="dxa"/>
            <w:vAlign w:val="bottom"/>
            <w:gridSpan w:val="4"/>
          </w:tcPr>
          <w:p>
            <w:pPr>
              <w:jc w:val="right"/>
              <w:spacing w:after="0"/>
              <w:rPr>
                <w:sz w:val="20"/>
                <w:szCs w:val="20"/>
                <w:color w:val="auto"/>
              </w:rPr>
            </w:pPr>
            <w:r>
              <w:rPr>
                <w:rFonts w:ascii="Times New Roman" w:cs="Times New Roman" w:eastAsia="Times New Roman" w:hAnsi="Times New Roman"/>
                <w:sz w:val="11"/>
                <w:szCs w:val="11"/>
                <w:b w:val="1"/>
                <w:bCs w:val="1"/>
                <w:color w:val="auto"/>
              </w:rPr>
              <w:t>(Dollars in millions)</w:t>
            </w:r>
          </w:p>
        </w:tc>
        <w:tc>
          <w:tcPr>
            <w:tcW w:w="1120" w:type="dxa"/>
            <w:vAlign w:val="bottom"/>
          </w:tcPr>
          <w:p>
            <w:pPr>
              <w:spacing w:after="0"/>
              <w:rPr>
                <w:sz w:val="13"/>
                <w:szCs w:val="13"/>
                <w:color w:val="auto"/>
              </w:rPr>
            </w:pPr>
          </w:p>
        </w:tc>
      </w:tr>
      <w:tr>
        <w:trPr>
          <w:trHeight w:val="212"/>
        </w:trPr>
        <w:tc>
          <w:tcPr>
            <w:tcW w:w="80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Supplier financing obligations outstanding with financial institutions</w:t>
            </w:r>
          </w:p>
        </w:tc>
        <w:tc>
          <w:tcPr>
            <w:tcW w:w="320" w:type="dxa"/>
            <w:vAlign w:val="bottom"/>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w:t>
            </w:r>
          </w:p>
        </w:tc>
        <w:tc>
          <w:tcPr>
            <w:tcW w:w="540" w:type="dxa"/>
            <w:vAlign w:val="bottom"/>
            <w:gridSpan w:val="3"/>
            <w:shd w:val="clear" w:color="auto" w:fill="CFF0FC"/>
          </w:tcPr>
          <w:p>
            <w:pPr>
              <w:jc w:val="right"/>
              <w:ind w:right="36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68</w:t>
            </w:r>
          </w:p>
        </w:tc>
      </w:tr>
      <w:tr>
        <w:trPr>
          <w:trHeight w:val="191"/>
        </w:trPr>
        <w:tc>
          <w:tcPr>
            <w:tcW w:w="8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Guaranteed bank notes outstanding</w:t>
            </w:r>
          </w:p>
        </w:tc>
        <w:tc>
          <w:tcPr>
            <w:tcW w:w="32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191</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193</w:t>
            </w:r>
          </w:p>
        </w:tc>
      </w:tr>
      <w:tr>
        <w:trPr>
          <w:trHeight w:val="394"/>
        </w:trPr>
        <w:tc>
          <w:tcPr>
            <w:tcW w:w="80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Note 11. Accrued Liabilities</w:t>
            </w:r>
          </w:p>
        </w:tc>
        <w:tc>
          <w:tcPr>
            <w:tcW w:w="3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28"/>
        </w:trPr>
        <w:tc>
          <w:tcPr>
            <w:tcW w:w="80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40" w:type="dxa"/>
            <w:vAlign w:val="bottom"/>
          </w:tcPr>
          <w:p>
            <w:pPr>
              <w:jc w:val="center"/>
              <w:ind w:right="233"/>
              <w:spacing w:after="0"/>
              <w:rPr>
                <w:sz w:val="20"/>
                <w:szCs w:val="20"/>
                <w:color w:val="auto"/>
              </w:rPr>
            </w:pPr>
            <w:r>
              <w:rPr>
                <w:rFonts w:ascii="Times New Roman" w:cs="Times New Roman" w:eastAsia="Times New Roman" w:hAnsi="Times New Roman"/>
                <w:sz w:val="11"/>
                <w:szCs w:val="11"/>
                <w:b w:val="1"/>
                <w:bCs w:val="1"/>
                <w:color w:val="auto"/>
              </w:rPr>
              <w:t>March 31,</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20" w:type="dxa"/>
            <w:vAlign w:val="bottom"/>
          </w:tcPr>
          <w:p>
            <w:pPr>
              <w:jc w:val="center"/>
              <w:ind w:right="372"/>
              <w:spacing w:after="0"/>
              <w:rPr>
                <w:sz w:val="20"/>
                <w:szCs w:val="20"/>
                <w:color w:val="auto"/>
              </w:rPr>
            </w:pPr>
            <w:r>
              <w:rPr>
                <w:rFonts w:ascii="Times New Roman" w:cs="Times New Roman" w:eastAsia="Times New Roman" w:hAnsi="Times New Roman"/>
                <w:sz w:val="11"/>
                <w:szCs w:val="11"/>
                <w:b w:val="1"/>
                <w:bCs w:val="1"/>
                <w:color w:val="auto"/>
              </w:rPr>
              <w:t>December 31,</w:t>
            </w:r>
          </w:p>
        </w:tc>
      </w:tr>
      <w:tr>
        <w:trPr>
          <w:trHeight w:val="154"/>
        </w:trPr>
        <w:tc>
          <w:tcPr>
            <w:tcW w:w="806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center"/>
              <w:ind w:right="233"/>
              <w:spacing w:after="0"/>
              <w:rPr>
                <w:sz w:val="20"/>
                <w:szCs w:val="20"/>
                <w:color w:val="auto"/>
              </w:rPr>
            </w:pPr>
            <w:r>
              <w:rPr>
                <w:rFonts w:ascii="Times New Roman" w:cs="Times New Roman" w:eastAsia="Times New Roman" w:hAnsi="Times New Roman"/>
                <w:sz w:val="11"/>
                <w:szCs w:val="11"/>
                <w:b w:val="1"/>
                <w:bCs w:val="1"/>
                <w:color w:val="auto"/>
                <w:w w:val="99"/>
              </w:rPr>
              <w:t>2024</w:t>
            </w: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center"/>
              <w:ind w:right="372"/>
              <w:spacing w:after="0"/>
              <w:rPr>
                <w:sz w:val="20"/>
                <w:szCs w:val="20"/>
                <w:color w:val="auto"/>
              </w:rPr>
            </w:pPr>
            <w:r>
              <w:rPr>
                <w:rFonts w:ascii="Times New Roman" w:cs="Times New Roman" w:eastAsia="Times New Roman" w:hAnsi="Times New Roman"/>
                <w:sz w:val="11"/>
                <w:szCs w:val="11"/>
                <w:b w:val="1"/>
                <w:bCs w:val="1"/>
                <w:color w:val="auto"/>
              </w:rPr>
              <w:t>2023</w:t>
            </w:r>
          </w:p>
        </w:tc>
      </w:tr>
      <w:tr>
        <w:trPr>
          <w:trHeight w:val="157"/>
        </w:trPr>
        <w:tc>
          <w:tcPr>
            <w:tcW w:w="80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780" w:type="dxa"/>
            <w:vAlign w:val="bottom"/>
            <w:gridSpan w:val="4"/>
          </w:tcPr>
          <w:p>
            <w:pPr>
              <w:jc w:val="right"/>
              <w:spacing w:after="0"/>
              <w:rPr>
                <w:sz w:val="20"/>
                <w:szCs w:val="20"/>
                <w:color w:val="auto"/>
              </w:rPr>
            </w:pPr>
            <w:r>
              <w:rPr>
                <w:rFonts w:ascii="Times New Roman" w:cs="Times New Roman" w:eastAsia="Times New Roman" w:hAnsi="Times New Roman"/>
                <w:sz w:val="11"/>
                <w:szCs w:val="11"/>
                <w:b w:val="1"/>
                <w:bCs w:val="1"/>
                <w:color w:val="auto"/>
              </w:rPr>
              <w:t>(Dollars in millions)</w:t>
            </w:r>
          </w:p>
        </w:tc>
        <w:tc>
          <w:tcPr>
            <w:tcW w:w="1120" w:type="dxa"/>
            <w:vAlign w:val="bottom"/>
          </w:tcPr>
          <w:p>
            <w:pPr>
              <w:spacing w:after="0"/>
              <w:rPr>
                <w:sz w:val="13"/>
                <w:szCs w:val="13"/>
                <w:color w:val="auto"/>
              </w:rPr>
            </w:pPr>
          </w:p>
        </w:tc>
      </w:tr>
      <w:tr>
        <w:trPr>
          <w:trHeight w:val="212"/>
        </w:trPr>
        <w:tc>
          <w:tcPr>
            <w:tcW w:w="80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Customer pricing reserve</w:t>
            </w:r>
          </w:p>
        </w:tc>
        <w:tc>
          <w:tcPr>
            <w:tcW w:w="320" w:type="dxa"/>
            <w:vAlign w:val="bottom"/>
            <w:shd w:val="clear" w:color="auto" w:fill="CFF0FC"/>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72</w:t>
            </w:r>
          </w:p>
        </w:tc>
        <w:tc>
          <w:tcPr>
            <w:tcW w:w="540" w:type="dxa"/>
            <w:vAlign w:val="bottom"/>
            <w:gridSpan w:val="3"/>
            <w:shd w:val="clear" w:color="auto" w:fill="CFF0FC"/>
          </w:tcPr>
          <w:p>
            <w:pPr>
              <w:jc w:val="right"/>
              <w:ind w:right="36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57</w:t>
            </w:r>
          </w:p>
        </w:tc>
      </w:tr>
      <w:tr>
        <w:trPr>
          <w:trHeight w:val="197"/>
        </w:trPr>
        <w:tc>
          <w:tcPr>
            <w:tcW w:w="8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Compensation, benefit and other employee related</w:t>
            </w:r>
          </w:p>
        </w:tc>
        <w:tc>
          <w:tcPr>
            <w:tcW w:w="32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w:t>
            </w:r>
          </w:p>
        </w:tc>
      </w:tr>
      <w:tr>
        <w:trPr>
          <w:trHeight w:val="208"/>
        </w:trPr>
        <w:tc>
          <w:tcPr>
            <w:tcW w:w="80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Repositioning</w:t>
            </w:r>
          </w:p>
        </w:tc>
        <w:tc>
          <w:tcPr>
            <w:tcW w:w="32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w:t>
            </w:r>
          </w:p>
        </w:tc>
      </w:tr>
      <w:tr>
        <w:trPr>
          <w:trHeight w:val="197"/>
        </w:trPr>
        <w:tc>
          <w:tcPr>
            <w:tcW w:w="8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Product warranties and performance guarantees - short-term (Note 20)</w:t>
            </w:r>
          </w:p>
        </w:tc>
        <w:tc>
          <w:tcPr>
            <w:tcW w:w="32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w:t>
            </w:r>
          </w:p>
        </w:tc>
      </w:tr>
      <w:tr>
        <w:trPr>
          <w:trHeight w:val="208"/>
        </w:trPr>
        <w:tc>
          <w:tcPr>
            <w:tcW w:w="80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Income and other taxes</w:t>
            </w:r>
          </w:p>
        </w:tc>
        <w:tc>
          <w:tcPr>
            <w:tcW w:w="32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37</w:t>
            </w:r>
          </w:p>
        </w:tc>
        <w:tc>
          <w:tcPr>
            <w:tcW w:w="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42</w:t>
            </w:r>
          </w:p>
        </w:tc>
      </w:tr>
      <w:tr>
        <w:trPr>
          <w:trHeight w:val="213"/>
        </w:trPr>
        <w:tc>
          <w:tcPr>
            <w:tcW w:w="8060" w:type="dxa"/>
            <w:vAlign w:val="bottom"/>
          </w:tcPr>
          <w:p>
            <w:pPr>
              <w:ind w:left="20"/>
              <w:spacing w:after="0" w:line="213" w:lineRule="exact"/>
              <w:rPr>
                <w:sz w:val="20"/>
                <w:szCs w:val="20"/>
                <w:color w:val="auto"/>
              </w:rPr>
            </w:pPr>
            <w:r>
              <w:rPr>
                <w:rFonts w:ascii="Times New Roman" w:cs="Times New Roman" w:eastAsia="Times New Roman" w:hAnsi="Times New Roman"/>
                <w:sz w:val="14"/>
                <w:szCs w:val="14"/>
                <w:color w:val="auto"/>
              </w:rPr>
              <w:t xml:space="preserve">Customer advances and deferred income </w:t>
            </w:r>
            <w:r>
              <w:rPr>
                <w:rFonts w:ascii="Times New Roman" w:cs="Times New Roman" w:eastAsia="Times New Roman" w:hAnsi="Times New Roman"/>
                <w:sz w:val="22"/>
                <w:szCs w:val="22"/>
                <w:color w:val="auto"/>
                <w:vertAlign w:val="superscript"/>
              </w:rPr>
              <w:t>(1)</w:t>
            </w:r>
          </w:p>
        </w:tc>
        <w:tc>
          <w:tcPr>
            <w:tcW w:w="3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w:t>
            </w:r>
          </w:p>
        </w:tc>
      </w:tr>
      <w:tr>
        <w:trPr>
          <w:trHeight w:val="202"/>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Accrued interest</w:t>
            </w:r>
          </w:p>
        </w:tc>
        <w:tc>
          <w:tcPr>
            <w:tcW w:w="32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w:t>
            </w:r>
          </w:p>
        </w:tc>
      </w:tr>
      <w:tr>
        <w:trPr>
          <w:trHeight w:val="197"/>
        </w:trPr>
        <w:tc>
          <w:tcPr>
            <w:tcW w:w="8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Short-term lease liability (Note 13)</w:t>
            </w:r>
          </w:p>
        </w:tc>
        <w:tc>
          <w:tcPr>
            <w:tcW w:w="32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w:t>
            </w:r>
          </w:p>
        </w:tc>
      </w:tr>
      <w:tr>
        <w:trPr>
          <w:trHeight w:val="208"/>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Accrued freight</w:t>
            </w: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w:t>
            </w:r>
          </w:p>
        </w:tc>
      </w:tr>
      <w:tr>
        <w:trPr>
          <w:trHeight w:val="197"/>
        </w:trPr>
        <w:tc>
          <w:tcPr>
            <w:tcW w:w="8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Designated and undesignated derivatives</w:t>
            </w:r>
          </w:p>
        </w:tc>
        <w:tc>
          <w:tcPr>
            <w:tcW w:w="32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w:t>
            </w:r>
          </w:p>
        </w:tc>
      </w:tr>
      <w:tr>
        <w:trPr>
          <w:trHeight w:val="208"/>
        </w:trPr>
        <w:tc>
          <w:tcPr>
            <w:tcW w:w="8060" w:type="dxa"/>
            <w:vAlign w:val="bottom"/>
            <w:shd w:val="clear" w:color="auto" w:fill="CCEEFF"/>
          </w:tcPr>
          <w:p>
            <w:pPr>
              <w:ind w:left="20"/>
              <w:spacing w:after="0" w:line="208" w:lineRule="exact"/>
              <w:rPr>
                <w:sz w:val="20"/>
                <w:szCs w:val="20"/>
                <w:color w:val="auto"/>
              </w:rPr>
            </w:pPr>
            <w:r>
              <w:rPr>
                <w:rFonts w:ascii="Times New Roman" w:cs="Times New Roman" w:eastAsia="Times New Roman" w:hAnsi="Times New Roman"/>
                <w:sz w:val="14"/>
                <w:szCs w:val="14"/>
                <w:color w:val="auto"/>
              </w:rPr>
              <w:t xml:space="preserve">Other (primarily operating expenses) </w:t>
            </w:r>
            <w:r>
              <w:rPr>
                <w:rFonts w:ascii="Times New Roman" w:cs="Times New Roman" w:eastAsia="Times New Roman" w:hAnsi="Times New Roman"/>
                <w:sz w:val="22"/>
                <w:szCs w:val="22"/>
                <w:color w:val="auto"/>
                <w:vertAlign w:val="superscript"/>
              </w:rPr>
              <w:t>(2)</w:t>
            </w:r>
          </w:p>
        </w:tc>
        <w:tc>
          <w:tcPr>
            <w:tcW w:w="3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2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w:t>
            </w:r>
          </w:p>
        </w:tc>
      </w:tr>
      <w:tr>
        <w:trPr>
          <w:trHeight w:val="187"/>
        </w:trPr>
        <w:tc>
          <w:tcPr>
            <w:tcW w:w="80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283</w:t>
            </w:r>
          </w:p>
        </w:tc>
        <w:tc>
          <w:tcPr>
            <w:tcW w:w="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293</w:t>
            </w:r>
          </w:p>
        </w:tc>
      </w:tr>
      <w:tr>
        <w:trPr>
          <w:trHeight w:val="20"/>
        </w:trPr>
        <w:tc>
          <w:tcPr>
            <w:tcW w:w="80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28" w:lineRule="exact"/>
        <w:rPr>
          <w:sz w:val="20"/>
          <w:szCs w:val="20"/>
          <w:color w:val="auto"/>
        </w:rPr>
      </w:pPr>
    </w:p>
    <w:p>
      <w:pPr>
        <w:ind w:left="580" w:hanging="255"/>
        <w:spacing w:after="0" w:line="292" w:lineRule="auto"/>
        <w:tabs>
          <w:tab w:leader="none" w:pos="575"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Customer advances and deferred income include $10 million and $9 million of contract liabilities as of March 31, 2024 and December 31, 2023, respectively. See Note 3, </w:t>
      </w:r>
      <w:r>
        <w:rPr>
          <w:rFonts w:ascii="Times New Roman" w:cs="Times New Roman" w:eastAsia="Times New Roman" w:hAnsi="Times New Roman"/>
          <w:sz w:val="14"/>
          <w:szCs w:val="14"/>
          <w:i w:val="1"/>
          <w:iCs w:val="1"/>
          <w:color w:val="auto"/>
        </w:rPr>
        <w:t>Revenue</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Recognition and Contracts with Customers</w:t>
      </w:r>
      <w:r>
        <w:rPr>
          <w:rFonts w:ascii="Times New Roman" w:cs="Times New Roman" w:eastAsia="Times New Roman" w:hAnsi="Times New Roman"/>
          <w:sz w:val="14"/>
          <w:szCs w:val="14"/>
          <w:color w:val="auto"/>
        </w:rPr>
        <w:t>.</w:t>
      </w:r>
    </w:p>
    <w:p>
      <w:pPr>
        <w:spacing w:after="0" w:line="228"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178435</wp:posOffset>
            </wp:positionV>
            <wp:extent cx="7186930"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00" w:right="319" w:bottom="1440" w:gutter="0" w:footer="0" w:header="0"/>
        </w:sectPr>
      </w:pPr>
    </w:p>
    <w:bookmarkStart w:id="12" w:name="page13"/>
    <w:bookmarkEnd w:id="12"/>
    <w:p>
      <w:pPr>
        <w:ind w:left="320"/>
        <w:spacing w:after="0"/>
        <w:rPr>
          <w:sz w:val="20"/>
          <w:szCs w:val="20"/>
          <w:color w:val="auto"/>
        </w:rPr>
      </w:pPr>
      <w:r>
        <w:rPr>
          <w:rFonts w:ascii="Times New Roman" w:cs="Times New Roman" w:eastAsia="Times New Roman" w:hAnsi="Times New Roman"/>
          <w:sz w:val="14"/>
          <w:szCs w:val="14"/>
          <w:color w:val="auto"/>
        </w:rPr>
        <w:t>(2) Includes $3 million and $5 million of environmental liabilities as of March 31, 2024 and December 31, 2023, respectively.</w:t>
      </w:r>
    </w:p>
    <w:p>
      <w:pPr>
        <w:spacing w:after="0" w:line="158" w:lineRule="exact"/>
        <w:rPr>
          <w:sz w:val="20"/>
          <w:szCs w:val="20"/>
          <w:color w:val="auto"/>
        </w:rPr>
      </w:pPr>
    </w:p>
    <w:p>
      <w:pPr>
        <w:ind w:firstLine="307"/>
        <w:spacing w:after="0" w:line="289" w:lineRule="auto"/>
        <w:rPr>
          <w:sz w:val="20"/>
          <w:szCs w:val="20"/>
          <w:color w:val="auto"/>
        </w:rPr>
      </w:pPr>
      <w:r>
        <w:rPr>
          <w:rFonts w:ascii="Times New Roman" w:cs="Times New Roman" w:eastAsia="Times New Roman" w:hAnsi="Times New Roman"/>
          <w:sz w:val="14"/>
          <w:szCs w:val="14"/>
          <w:color w:val="auto"/>
        </w:rPr>
        <w:t>The Company accrues repositioning costs related to projects to optimize its product costs and right-size our organizational structure. Expenses related to the repositioning accruals are included in Cost of goods sold and Selling, general and administrative expenses in our Consolidated Interim Statements of Operations.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6880" w:type="dxa"/>
            <w:vAlign w:val="bottom"/>
          </w:tcPr>
          <w:p>
            <w:pPr>
              <w:spacing w:after="0"/>
              <w:rPr>
                <w:sz w:val="13"/>
                <w:szCs w:val="13"/>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Severance Costs</w:t>
            </w:r>
          </w:p>
        </w:tc>
        <w:tc>
          <w:tcPr>
            <w:tcW w:w="2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center"/>
              <w:ind w:left="15"/>
              <w:spacing w:after="0"/>
              <w:rPr>
                <w:sz w:val="20"/>
                <w:szCs w:val="20"/>
                <w:color w:val="auto"/>
              </w:rPr>
            </w:pPr>
            <w:r>
              <w:rPr>
                <w:rFonts w:ascii="Times New Roman" w:cs="Times New Roman" w:eastAsia="Times New Roman" w:hAnsi="Times New Roman"/>
                <w:sz w:val="11"/>
                <w:szCs w:val="11"/>
                <w:b w:val="1"/>
                <w:bCs w:val="1"/>
                <w:color w:val="auto"/>
              </w:rPr>
              <w:t>Other Costs</w:t>
            </w:r>
          </w:p>
        </w:tc>
        <w:tc>
          <w:tcPr>
            <w:tcW w:w="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1"/>
                <w:szCs w:val="11"/>
                <w:b w:val="1"/>
                <w:bCs w:val="1"/>
                <w:color w:val="auto"/>
              </w:rPr>
              <w:t>Total</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68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(Dollars in millions)</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2"/>
        </w:trPr>
        <w:tc>
          <w:tcPr>
            <w:tcW w:w="6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December 31, 2023</w:t>
            </w:r>
          </w:p>
        </w:tc>
        <w:tc>
          <w:tcPr>
            <w:tcW w:w="1120" w:type="dxa"/>
            <w:vAlign w:val="bottom"/>
            <w:shd w:val="clear" w:color="auto" w:fill="CFF0FC"/>
          </w:tcPr>
          <w:p>
            <w:pPr>
              <w:jc w:val="right"/>
              <w:ind w:right="974"/>
              <w:spacing w:after="0"/>
              <w:rPr>
                <w:sz w:val="20"/>
                <w:szCs w:val="20"/>
                <w:color w:val="auto"/>
              </w:rPr>
            </w:pPr>
            <w:r>
              <w:rPr>
                <w:rFonts w:ascii="Times New Roman" w:cs="Times New Roman" w:eastAsia="Times New Roman" w:hAnsi="Times New Roman"/>
                <w:sz w:val="14"/>
                <w:szCs w:val="14"/>
                <w:color w:val="auto"/>
                <w:w w:val="85"/>
              </w:rPr>
              <w:t>$</w:t>
            </w:r>
          </w:p>
        </w:tc>
        <w:tc>
          <w:tcPr>
            <w:tcW w:w="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80" w:type="dxa"/>
            <w:vAlign w:val="bottom"/>
            <w:shd w:val="clear" w:color="auto" w:fill="CCEEFF"/>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shd w:val="clear" w:color="auto" w:fill="CFF0FC"/>
          </w:tcPr>
          <w:p>
            <w:pPr>
              <w:spacing w:after="0"/>
              <w:rPr>
                <w:sz w:val="18"/>
                <w:szCs w:val="18"/>
                <w:color w:val="auto"/>
              </w:rPr>
            </w:pPr>
          </w:p>
        </w:tc>
        <w:tc>
          <w:tcPr>
            <w:tcW w:w="200" w:type="dxa"/>
            <w:vAlign w:val="bottom"/>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w w:val="85"/>
              </w:rPr>
              <w:t>—</w:t>
            </w:r>
          </w:p>
        </w:tc>
        <w:tc>
          <w:tcPr>
            <w:tcW w:w="80" w:type="dxa"/>
            <w:vAlign w:val="bottom"/>
            <w:shd w:val="clear" w:color="auto" w:fill="CCEEFF"/>
          </w:tcPr>
          <w:p>
            <w:pPr>
              <w:spacing w:after="0"/>
              <w:rPr>
                <w:sz w:val="18"/>
                <w:szCs w:val="18"/>
                <w:color w:val="auto"/>
              </w:rPr>
            </w:pPr>
          </w:p>
        </w:tc>
        <w:tc>
          <w:tcPr>
            <w:tcW w:w="280" w:type="dxa"/>
            <w:vAlign w:val="bottom"/>
            <w:shd w:val="clear" w:color="auto" w:fill="CFF0FC"/>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68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Charges</w:t>
            </w:r>
          </w:p>
        </w:tc>
        <w:tc>
          <w:tcPr>
            <w:tcW w:w="1120" w:type="dxa"/>
            <w:vAlign w:val="bottom"/>
          </w:tcPr>
          <w:p>
            <w:pPr>
              <w:spacing w:after="0"/>
              <w:rPr>
                <w:sz w:val="17"/>
                <w:szCs w:val="17"/>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color w:val="auto"/>
                <w:w w:val="85"/>
              </w:rPr>
              <w:t>—</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68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4"/>
                <w:szCs w:val="14"/>
                <w:color w:val="auto"/>
              </w:rPr>
              <w:t>Usage—cash</w:t>
            </w:r>
          </w:p>
        </w:tc>
        <w:tc>
          <w:tcPr>
            <w:tcW w:w="1120" w:type="dxa"/>
            <w:vAlign w:val="bottom"/>
            <w:tcBorders>
              <w:bottom w:val="single" w:sz="8" w:color="auto"/>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spacing w:after="0"/>
              <w:rPr>
                <w:sz w:val="18"/>
                <w:szCs w:val="18"/>
                <w:color w:val="auto"/>
              </w:rPr>
            </w:pPr>
          </w:p>
        </w:tc>
        <w:tc>
          <w:tcPr>
            <w:tcW w:w="200" w:type="dxa"/>
            <w:vAlign w:val="bottom"/>
            <w:tcBorders>
              <w:bottom w:val="single" w:sz="8" w:color="auto"/>
            </w:tcBorders>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w w:val="85"/>
              </w:rPr>
              <w:t>—</w:t>
            </w:r>
          </w:p>
        </w:tc>
        <w:tc>
          <w:tcPr>
            <w:tcW w:w="8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7"/>
        </w:trPr>
        <w:tc>
          <w:tcPr>
            <w:tcW w:w="6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 at March 31, 2024</w:t>
            </w:r>
          </w:p>
        </w:tc>
        <w:tc>
          <w:tcPr>
            <w:tcW w:w="1120" w:type="dxa"/>
            <w:vAlign w:val="bottom"/>
          </w:tcPr>
          <w:p>
            <w:pPr>
              <w:jc w:val="right"/>
              <w:ind w:right="974"/>
              <w:spacing w:after="0"/>
              <w:rPr>
                <w:sz w:val="20"/>
                <w:szCs w:val="20"/>
                <w:color w:val="auto"/>
              </w:rPr>
            </w:pPr>
            <w:r>
              <w:rPr>
                <w:rFonts w:ascii="Times New Roman" w:cs="Times New Roman" w:eastAsia="Times New Roman" w:hAnsi="Times New Roman"/>
                <w:sz w:val="14"/>
                <w:szCs w:val="14"/>
                <w:color w:val="auto"/>
                <w:w w:val="85"/>
              </w:rPr>
              <w:t>$</w:t>
            </w:r>
          </w:p>
        </w:tc>
        <w:tc>
          <w:tcPr>
            <w:tcW w:w="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spacing w:after="0"/>
              <w:rPr>
                <w:sz w:val="16"/>
                <w:szCs w:val="16"/>
                <w:color w:val="auto"/>
              </w:rPr>
            </w:pPr>
          </w:p>
        </w:tc>
        <w:tc>
          <w:tcPr>
            <w:tcW w:w="20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color w:val="auto"/>
                <w:w w:val="85"/>
              </w:rPr>
              <w:t>—</w:t>
            </w:r>
          </w:p>
        </w:tc>
        <w:tc>
          <w:tcPr>
            <w:tcW w:w="360" w:type="dxa"/>
            <w:vAlign w:val="bottom"/>
            <w:gridSpan w:val="2"/>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88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4"/>
        </w:trPr>
        <w:tc>
          <w:tcPr>
            <w:tcW w:w="6880" w:type="dxa"/>
            <w:vAlign w:val="bottom"/>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Severance Costs</w:t>
            </w:r>
          </w:p>
        </w:tc>
        <w:tc>
          <w:tcPr>
            <w:tcW w:w="2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center"/>
              <w:ind w:left="15"/>
              <w:spacing w:after="0"/>
              <w:rPr>
                <w:sz w:val="20"/>
                <w:szCs w:val="20"/>
                <w:color w:val="auto"/>
              </w:rPr>
            </w:pPr>
            <w:r>
              <w:rPr>
                <w:rFonts w:ascii="Times New Roman" w:cs="Times New Roman" w:eastAsia="Times New Roman" w:hAnsi="Times New Roman"/>
                <w:sz w:val="11"/>
                <w:szCs w:val="11"/>
                <w:b w:val="1"/>
                <w:bCs w:val="1"/>
                <w:color w:val="auto"/>
              </w:rPr>
              <w:t>Other Costs</w:t>
            </w: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1"/>
                <w:szCs w:val="11"/>
                <w:b w:val="1"/>
                <w:bCs w:val="1"/>
                <w:color w:val="auto"/>
              </w:rPr>
              <w:t>Total</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68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(Dollars in millions)</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2"/>
        </w:trPr>
        <w:tc>
          <w:tcPr>
            <w:tcW w:w="6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December 31, 2022</w:t>
            </w:r>
          </w:p>
        </w:tc>
        <w:tc>
          <w:tcPr>
            <w:tcW w:w="1120" w:type="dxa"/>
            <w:vAlign w:val="bottom"/>
            <w:shd w:val="clear" w:color="auto" w:fill="CCEEFF"/>
          </w:tcPr>
          <w:p>
            <w:pPr>
              <w:jc w:val="right"/>
              <w:ind w:right="974"/>
              <w:spacing w:after="0"/>
              <w:rPr>
                <w:sz w:val="20"/>
                <w:szCs w:val="20"/>
                <w:color w:val="auto"/>
              </w:rPr>
            </w:pPr>
            <w:r>
              <w:rPr>
                <w:rFonts w:ascii="Times New Roman" w:cs="Times New Roman" w:eastAsia="Times New Roman" w:hAnsi="Times New Roman"/>
                <w:sz w:val="14"/>
                <w:szCs w:val="14"/>
                <w:color w:val="auto"/>
                <w:w w:val="85"/>
              </w:rPr>
              <w:t>$</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shd w:val="clear" w:color="auto" w:fill="CCEEFF"/>
          </w:tcPr>
          <w:p>
            <w:pPr>
              <w:spacing w:after="0"/>
              <w:rPr>
                <w:sz w:val="18"/>
                <w:szCs w:val="18"/>
                <w:color w:val="auto"/>
              </w:rPr>
            </w:pPr>
          </w:p>
        </w:tc>
        <w:tc>
          <w:tcPr>
            <w:tcW w:w="2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w w:val="85"/>
              </w:rPr>
              <w:t>—</w:t>
            </w:r>
          </w:p>
        </w:tc>
        <w:tc>
          <w:tcPr>
            <w:tcW w:w="360" w:type="dxa"/>
            <w:vAlign w:val="bottom"/>
            <w:gridSpan w:val="2"/>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68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Charges</w:t>
            </w:r>
          </w:p>
        </w:tc>
        <w:tc>
          <w:tcPr>
            <w:tcW w:w="1120" w:type="dxa"/>
            <w:vAlign w:val="bottom"/>
          </w:tcPr>
          <w:p>
            <w:pPr>
              <w:spacing w:after="0"/>
              <w:rPr>
                <w:sz w:val="17"/>
                <w:szCs w:val="17"/>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68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4"/>
                <w:szCs w:val="14"/>
                <w:color w:val="auto"/>
              </w:rPr>
              <w:t>Usage—cash</w:t>
            </w:r>
          </w:p>
        </w:tc>
        <w:tc>
          <w:tcPr>
            <w:tcW w:w="1120" w:type="dxa"/>
            <w:vAlign w:val="bottom"/>
            <w:shd w:val="clear" w:color="auto" w:fill="CFF0FC"/>
          </w:tcPr>
          <w:p>
            <w:pPr>
              <w:spacing w:after="0"/>
              <w:rPr>
                <w:sz w:val="18"/>
                <w:szCs w:val="18"/>
                <w:color w:val="auto"/>
              </w:rPr>
            </w:pPr>
          </w:p>
        </w:tc>
        <w:tc>
          <w:tcPr>
            <w:tcW w:w="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200" w:type="dxa"/>
            <w:vAlign w:val="bottom"/>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w w:val="85"/>
              </w:rPr>
              <w:t>—</w:t>
            </w:r>
          </w:p>
        </w:tc>
        <w:tc>
          <w:tcPr>
            <w:tcW w:w="80" w:type="dxa"/>
            <w:vAlign w:val="bottom"/>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68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4"/>
                <w:szCs w:val="14"/>
                <w:color w:val="auto"/>
              </w:rPr>
              <w:t>Non-cash asset write-offs</w:t>
            </w:r>
          </w:p>
        </w:tc>
        <w:tc>
          <w:tcPr>
            <w:tcW w:w="112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4"/>
                <w:szCs w:val="14"/>
                <w:color w:val="auto"/>
                <w:w w:val="97"/>
              </w:rPr>
              <w:t>(2)</w:t>
            </w:r>
          </w:p>
        </w:tc>
        <w:tc>
          <w:tcPr>
            <w:tcW w:w="8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6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March 31, 2023</w:t>
            </w:r>
          </w:p>
        </w:tc>
        <w:tc>
          <w:tcPr>
            <w:tcW w:w="1120" w:type="dxa"/>
            <w:vAlign w:val="bottom"/>
            <w:shd w:val="clear" w:color="auto" w:fill="CCEEFF"/>
          </w:tcPr>
          <w:p>
            <w:pPr>
              <w:jc w:val="right"/>
              <w:ind w:right="974"/>
              <w:spacing w:after="0"/>
              <w:rPr>
                <w:sz w:val="20"/>
                <w:szCs w:val="20"/>
                <w:color w:val="auto"/>
              </w:rPr>
            </w:pPr>
            <w:r>
              <w:rPr>
                <w:rFonts w:ascii="Times New Roman" w:cs="Times New Roman" w:eastAsia="Times New Roman" w:hAnsi="Times New Roman"/>
                <w:sz w:val="14"/>
                <w:szCs w:val="14"/>
                <w:color w:val="auto"/>
                <w:w w:val="85"/>
              </w:rPr>
              <w:t>$</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shd w:val="clear" w:color="auto" w:fill="CCEEFF"/>
          </w:tcPr>
          <w:p>
            <w:pPr>
              <w:spacing w:after="0"/>
              <w:rPr>
                <w:sz w:val="18"/>
                <w:szCs w:val="18"/>
                <w:color w:val="auto"/>
              </w:rPr>
            </w:pPr>
          </w:p>
        </w:tc>
        <w:tc>
          <w:tcPr>
            <w:tcW w:w="2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w w:val="85"/>
              </w:rPr>
              <w:t>—</w:t>
            </w:r>
          </w:p>
        </w:tc>
        <w:tc>
          <w:tcPr>
            <w:tcW w:w="360" w:type="dxa"/>
            <w:vAlign w:val="bottom"/>
            <w:gridSpan w:val="2"/>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88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4"/>
                <w:szCs w:val="14"/>
                <w:b w:val="1"/>
                <w:bCs w:val="1"/>
                <w:color w:val="auto"/>
              </w:rPr>
              <w:t>Note 12. Other Liabilities</w:t>
            </w: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3"/>
        </w:trPr>
        <w:tc>
          <w:tcPr>
            <w:tcW w:w="6880" w:type="dxa"/>
            <w:vAlign w:val="bottom"/>
            <w:vMerge w:val="continue"/>
          </w:tcPr>
          <w:p>
            <w:pPr>
              <w:spacing w:after="0"/>
              <w:rPr>
                <w:sz w:val="24"/>
                <w:szCs w:val="24"/>
                <w:color w:val="auto"/>
              </w:rPr>
            </w:pPr>
          </w:p>
        </w:tc>
        <w:tc>
          <w:tcPr>
            <w:tcW w:w="1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68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jc w:val="right"/>
              <w:ind w:right="455"/>
              <w:spacing w:after="0"/>
              <w:rPr>
                <w:sz w:val="20"/>
                <w:szCs w:val="20"/>
                <w:color w:val="auto"/>
              </w:rPr>
            </w:pPr>
            <w:r>
              <w:rPr>
                <w:rFonts w:ascii="Times New Roman" w:cs="Times New Roman" w:eastAsia="Times New Roman" w:hAnsi="Times New Roman"/>
                <w:sz w:val="11"/>
                <w:szCs w:val="11"/>
                <w:b w:val="1"/>
                <w:bCs w:val="1"/>
                <w:color w:val="auto"/>
              </w:rPr>
              <w:t>March 31,</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20" w:type="dxa"/>
            <w:vAlign w:val="bottom"/>
          </w:tcPr>
          <w:p>
            <w:pPr>
              <w:jc w:val="right"/>
              <w:ind w:right="371"/>
              <w:spacing w:after="0"/>
              <w:rPr>
                <w:sz w:val="20"/>
                <w:szCs w:val="20"/>
                <w:color w:val="auto"/>
              </w:rPr>
            </w:pPr>
            <w:r>
              <w:rPr>
                <w:rFonts w:ascii="Times New Roman" w:cs="Times New Roman" w:eastAsia="Times New Roman" w:hAnsi="Times New Roman"/>
                <w:sz w:val="11"/>
                <w:szCs w:val="11"/>
                <w:b w:val="1"/>
                <w:bCs w:val="1"/>
                <w:color w:val="auto"/>
              </w:rPr>
              <w:t>December 31,</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68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595"/>
              <w:spacing w:after="0"/>
              <w:rPr>
                <w:sz w:val="20"/>
                <w:szCs w:val="20"/>
                <w:color w:val="auto"/>
              </w:rPr>
            </w:pPr>
            <w:r>
              <w:rPr>
                <w:rFonts w:ascii="Times New Roman" w:cs="Times New Roman" w:eastAsia="Times New Roman" w:hAnsi="Times New Roman"/>
                <w:sz w:val="11"/>
                <w:szCs w:val="11"/>
                <w:b w:val="1"/>
                <w:bCs w:val="1"/>
                <w:color w:val="auto"/>
              </w:rPr>
              <w:t>2024</w:t>
            </w:r>
          </w:p>
        </w:tc>
        <w:tc>
          <w:tcPr>
            <w:tcW w:w="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591"/>
              <w:spacing w:after="0"/>
              <w:rPr>
                <w:sz w:val="20"/>
                <w:szCs w:val="20"/>
                <w:color w:val="auto"/>
              </w:rPr>
            </w:pPr>
            <w:r>
              <w:rPr>
                <w:rFonts w:ascii="Times New Roman" w:cs="Times New Roman" w:eastAsia="Times New Roman" w:hAnsi="Times New Roman"/>
                <w:sz w:val="11"/>
                <w:szCs w:val="11"/>
                <w:b w:val="1"/>
                <w:bCs w:val="1"/>
                <w:color w:val="auto"/>
              </w:rPr>
              <w:t>2023</w:t>
            </w:r>
          </w:p>
        </w:tc>
        <w:tc>
          <w:tcPr>
            <w:tcW w:w="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68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20" w:type="dxa"/>
            <w:vAlign w:val="bottom"/>
            <w:gridSpan w:val="6"/>
          </w:tcPr>
          <w:p>
            <w:pPr>
              <w:jc w:val="right"/>
              <w:spacing w:after="0"/>
              <w:rPr>
                <w:sz w:val="20"/>
                <w:szCs w:val="20"/>
                <w:color w:val="auto"/>
              </w:rPr>
            </w:pPr>
            <w:r>
              <w:rPr>
                <w:rFonts w:ascii="Times New Roman" w:cs="Times New Roman" w:eastAsia="Times New Roman" w:hAnsi="Times New Roman"/>
                <w:sz w:val="11"/>
                <w:szCs w:val="11"/>
                <w:b w:val="1"/>
                <w:bCs w:val="1"/>
                <w:color w:val="auto"/>
              </w:rPr>
              <w:t>(Dollars in millions)</w:t>
            </w:r>
          </w:p>
        </w:tc>
        <w:tc>
          <w:tcPr>
            <w:tcW w:w="1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2"/>
        </w:trPr>
        <w:tc>
          <w:tcPr>
            <w:tcW w:w="68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Income taxes</w:t>
            </w:r>
          </w:p>
        </w:tc>
        <w:tc>
          <w:tcPr>
            <w:tcW w:w="1120" w:type="dxa"/>
            <w:vAlign w:val="bottom"/>
            <w:shd w:val="clear" w:color="auto" w:fill="CFF0FC"/>
          </w:tcPr>
          <w:p>
            <w:pPr>
              <w:spacing w:after="0"/>
              <w:rPr>
                <w:sz w:val="18"/>
                <w:szCs w:val="18"/>
                <w:color w:val="auto"/>
              </w:rPr>
            </w:pPr>
          </w:p>
        </w:tc>
        <w:tc>
          <w:tcPr>
            <w:tcW w:w="280" w:type="dxa"/>
            <w:vAlign w:val="bottom"/>
            <w:shd w:val="clear" w:color="auto" w:fill="CFF0FC"/>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95</w:t>
            </w:r>
          </w:p>
        </w:tc>
        <w:tc>
          <w:tcPr>
            <w:tcW w:w="20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99</w:t>
            </w:r>
          </w:p>
        </w:tc>
        <w:tc>
          <w:tcPr>
            <w:tcW w:w="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6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Designated and undesignated derivatives</w:t>
            </w:r>
          </w:p>
        </w:tc>
        <w:tc>
          <w:tcPr>
            <w:tcW w:w="1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6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Pension and other employee related</w:t>
            </w:r>
          </w:p>
        </w:tc>
        <w:tc>
          <w:tcPr>
            <w:tcW w:w="1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6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Long-term lease liability (Note 13)</w:t>
            </w:r>
          </w:p>
        </w:tc>
        <w:tc>
          <w:tcPr>
            <w:tcW w:w="1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6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Advanced discounts from suppliers</w:t>
            </w:r>
          </w:p>
        </w:tc>
        <w:tc>
          <w:tcPr>
            <w:tcW w:w="1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6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Product warranties and performance guarantees – long-term (Note 20)</w:t>
            </w:r>
          </w:p>
        </w:tc>
        <w:tc>
          <w:tcPr>
            <w:tcW w:w="1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6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Environmental remediation – long term</w:t>
            </w:r>
          </w:p>
        </w:tc>
        <w:tc>
          <w:tcPr>
            <w:tcW w:w="1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6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Long-term accounts payable</w:t>
            </w:r>
          </w:p>
        </w:tc>
        <w:tc>
          <w:tcPr>
            <w:tcW w:w="1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6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w:t>
            </w:r>
          </w:p>
        </w:tc>
        <w:tc>
          <w:tcPr>
            <w:tcW w:w="112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2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20" w:type="dxa"/>
            <w:vAlign w:val="bottom"/>
            <w:tcBorders>
              <w:bottom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68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201</w:t>
            </w:r>
          </w:p>
        </w:tc>
        <w:tc>
          <w:tcPr>
            <w:tcW w:w="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218</w:t>
            </w:r>
          </w:p>
        </w:tc>
        <w:tc>
          <w:tcPr>
            <w:tcW w:w="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8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13. Leases</w:t>
      </w:r>
    </w:p>
    <w:p>
      <w:pPr>
        <w:spacing w:after="0" w:line="150" w:lineRule="exact"/>
        <w:rPr>
          <w:sz w:val="20"/>
          <w:szCs w:val="20"/>
          <w:color w:val="auto"/>
        </w:rPr>
      </w:pPr>
    </w:p>
    <w:p>
      <w:pPr>
        <w:jc w:val="both"/>
        <w:ind w:firstLine="307"/>
        <w:spacing w:after="0" w:line="289" w:lineRule="auto"/>
        <w:rPr>
          <w:sz w:val="20"/>
          <w:szCs w:val="20"/>
          <w:color w:val="auto"/>
        </w:rPr>
      </w:pPr>
      <w:r>
        <w:rPr>
          <w:rFonts w:ascii="Times New Roman" w:cs="Times New Roman" w:eastAsia="Times New Roman" w:hAnsi="Times New Roman"/>
          <w:sz w:val="14"/>
          <w:szCs w:val="14"/>
          <w:color w:val="auto"/>
        </w:rPr>
        <w:t>We have operating leases that primarily consist of real estate, machinery and equipment. Our leases have remaining lease terms of up to 15 years, some of which include options to extend the leases for up to two years, and some of which include options to terminate the leases within the year.</w:t>
      </w:r>
    </w:p>
    <w:p>
      <w:pPr>
        <w:spacing w:after="0" w:line="10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The components of lease expense are as follows:</w:t>
      </w:r>
    </w:p>
    <w:p>
      <w:pPr>
        <w:spacing w:after="0" w:line="47" w:lineRule="exact"/>
        <w:rPr>
          <w:sz w:val="20"/>
          <w:szCs w:val="20"/>
          <w:color w:val="auto"/>
        </w:rPr>
      </w:pPr>
    </w:p>
    <w:p>
      <w:pPr>
        <w:jc w:val="center"/>
        <w:ind w:left="8000"/>
        <w:spacing w:after="0"/>
        <w:rPr>
          <w:sz w:val="20"/>
          <w:szCs w:val="20"/>
          <w:color w:val="auto"/>
        </w:rPr>
      </w:pPr>
      <w:r>
        <w:rPr>
          <w:rFonts w:ascii="Times New Roman" w:cs="Times New Roman" w:eastAsia="Times New Roman" w:hAnsi="Times New Roman"/>
          <w:sz w:val="11"/>
          <w:szCs w:val="11"/>
          <w:b w:val="1"/>
          <w:bCs w:val="1"/>
          <w:color w:val="auto"/>
        </w:rPr>
        <w:t>Three Months Ended</w:t>
      </w:r>
    </w:p>
    <w:p>
      <w:pPr>
        <w:spacing w:after="0" w:line="15" w:lineRule="exact"/>
        <w:rPr>
          <w:sz w:val="20"/>
          <w:szCs w:val="20"/>
          <w:color w:val="auto"/>
        </w:rPr>
      </w:pPr>
    </w:p>
    <w:p>
      <w:pPr>
        <w:jc w:val="center"/>
        <w:ind w:left="8000"/>
        <w:spacing w:after="0"/>
        <w:rPr>
          <w:sz w:val="20"/>
          <w:szCs w:val="20"/>
          <w:color w:val="auto"/>
        </w:rPr>
      </w:pPr>
      <w:r>
        <w:rPr>
          <w:rFonts w:ascii="Times New Roman" w:cs="Times New Roman" w:eastAsia="Times New Roman" w:hAnsi="Times New Roman"/>
          <w:sz w:val="11"/>
          <w:szCs w:val="11"/>
          <w:b w:val="1"/>
          <w:bCs w:val="1"/>
          <w:color w:val="auto"/>
        </w:rPr>
        <w:t>March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020" w:type="dxa"/>
            <w:vAlign w:val="bottom"/>
          </w:tcPr>
          <w:p>
            <w:pPr>
              <w:spacing w:after="0"/>
              <w:rPr>
                <w:sz w:val="14"/>
                <w:szCs w:val="14"/>
                <w:color w:val="auto"/>
              </w:rPr>
            </w:pPr>
          </w:p>
        </w:tc>
        <w:tc>
          <w:tcPr>
            <w:tcW w:w="1040" w:type="dxa"/>
            <w:vAlign w:val="bottom"/>
            <w:tcBorders>
              <w:top w:val="single" w:sz="8" w:color="auto"/>
              <w:bottom w:val="single" w:sz="8" w:color="auto"/>
            </w:tcBorders>
          </w:tcPr>
          <w:p>
            <w:pPr>
              <w:jc w:val="right"/>
              <w:ind w:right="56"/>
              <w:spacing w:after="0"/>
              <w:rPr>
                <w:sz w:val="20"/>
                <w:szCs w:val="20"/>
                <w:color w:val="auto"/>
              </w:rPr>
            </w:pPr>
            <w:r>
              <w:rPr>
                <w:rFonts w:ascii="Times New Roman" w:cs="Times New Roman" w:eastAsia="Times New Roman" w:hAnsi="Times New Roman"/>
                <w:sz w:val="11"/>
                <w:szCs w:val="11"/>
                <w:b w:val="1"/>
                <w:bCs w:val="1"/>
                <w:color w:val="auto"/>
              </w:rPr>
              <w:t>2024</w:t>
            </w:r>
          </w:p>
        </w:tc>
        <w:tc>
          <w:tcPr>
            <w:tcW w:w="560" w:type="dxa"/>
            <w:vAlign w:val="bottom"/>
            <w:tcBorders>
              <w:top w:val="single" w:sz="8" w:color="auto"/>
              <w:bottom w:val="single" w:sz="8" w:color="auto"/>
            </w:tcBorders>
          </w:tcPr>
          <w:p>
            <w:pPr>
              <w:spacing w:after="0"/>
              <w:rPr>
                <w:sz w:val="14"/>
                <w:szCs w:val="14"/>
                <w:color w:val="auto"/>
              </w:rPr>
            </w:pPr>
          </w:p>
        </w:tc>
        <w:tc>
          <w:tcPr>
            <w:tcW w:w="640" w:type="dxa"/>
            <w:vAlign w:val="bottom"/>
            <w:tcBorders>
              <w:top w:val="single" w:sz="8" w:color="auto"/>
              <w:bottom w:val="single" w:sz="8" w:color="auto"/>
            </w:tcBorders>
          </w:tcPr>
          <w:p>
            <w:pPr>
              <w:spacing w:after="0"/>
              <w:rPr>
                <w:sz w:val="14"/>
                <w:szCs w:val="14"/>
                <w:color w:val="auto"/>
              </w:rPr>
            </w:pPr>
          </w:p>
        </w:tc>
        <w:tc>
          <w:tcPr>
            <w:tcW w:w="1020" w:type="dxa"/>
            <w:vAlign w:val="bottom"/>
            <w:tcBorders>
              <w:top w:val="single" w:sz="8" w:color="auto"/>
              <w:bottom w:val="single" w:sz="8" w:color="auto"/>
            </w:tcBorders>
          </w:tcPr>
          <w:p>
            <w:pPr>
              <w:jc w:val="right"/>
              <w:ind w:right="616"/>
              <w:spacing w:after="0"/>
              <w:rPr>
                <w:sz w:val="20"/>
                <w:szCs w:val="20"/>
                <w:color w:val="auto"/>
              </w:rPr>
            </w:pPr>
            <w:r>
              <w:rPr>
                <w:rFonts w:ascii="Times New Roman" w:cs="Times New Roman" w:eastAsia="Times New Roman" w:hAnsi="Times New Roman"/>
                <w:sz w:val="11"/>
                <w:szCs w:val="11"/>
                <w:b w:val="1"/>
                <w:bCs w:val="1"/>
                <w:color w:val="auto"/>
              </w:rPr>
              <w:t>2023</w:t>
            </w:r>
          </w:p>
        </w:tc>
      </w:tr>
      <w:tr>
        <w:trPr>
          <w:trHeight w:val="161"/>
        </w:trPr>
        <w:tc>
          <w:tcPr>
            <w:tcW w:w="80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0" w:type="dxa"/>
            <w:vAlign w:val="bottom"/>
            <w:gridSpan w:val="2"/>
          </w:tcPr>
          <w:p>
            <w:pPr>
              <w:jc w:val="right"/>
              <w:ind w:right="49"/>
              <w:spacing w:after="0"/>
              <w:rPr>
                <w:sz w:val="20"/>
                <w:szCs w:val="20"/>
                <w:color w:val="auto"/>
              </w:rPr>
            </w:pPr>
            <w:r>
              <w:rPr>
                <w:rFonts w:ascii="Times New Roman" w:cs="Times New Roman" w:eastAsia="Times New Roman" w:hAnsi="Times New Roman"/>
                <w:sz w:val="11"/>
                <w:szCs w:val="11"/>
                <w:b w:val="1"/>
                <w:bCs w:val="1"/>
                <w:color w:val="auto"/>
              </w:rPr>
              <w:t>(Dollars in millions)</w:t>
            </w:r>
          </w:p>
        </w:tc>
        <w:tc>
          <w:tcPr>
            <w:tcW w:w="1020" w:type="dxa"/>
            <w:vAlign w:val="bottom"/>
          </w:tcPr>
          <w:p>
            <w:pPr>
              <w:spacing w:after="0"/>
              <w:rPr>
                <w:sz w:val="13"/>
                <w:szCs w:val="13"/>
                <w:color w:val="auto"/>
              </w:rPr>
            </w:pPr>
          </w:p>
        </w:tc>
      </w:tr>
      <w:tr>
        <w:trPr>
          <w:trHeight w:val="212"/>
        </w:trPr>
        <w:tc>
          <w:tcPr>
            <w:tcW w:w="802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4"/>
                <w:szCs w:val="14"/>
                <w:color w:val="auto"/>
              </w:rPr>
              <w:t>Operating lease cost</w:t>
            </w:r>
          </w:p>
        </w:tc>
        <w:tc>
          <w:tcPr>
            <w:tcW w:w="1040" w:type="dxa"/>
            <w:vAlign w:val="bottom"/>
            <w:shd w:val="clear" w:color="auto" w:fill="CFF0FC"/>
          </w:tcPr>
          <w:p>
            <w:pPr>
              <w:jc w:val="right"/>
              <w:ind w:right="896"/>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4"/>
                <w:szCs w:val="14"/>
                <w:color w:val="auto"/>
              </w:rPr>
              <w:t>3</w:t>
            </w:r>
          </w:p>
        </w:tc>
        <w:tc>
          <w:tcPr>
            <w:tcW w:w="640" w:type="dxa"/>
            <w:vAlign w:val="bottom"/>
            <w:shd w:val="clear" w:color="auto" w:fill="CFF0FC"/>
          </w:tcPr>
          <w:p>
            <w:pPr>
              <w:jc w:val="right"/>
              <w:ind w:right="409"/>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4"/>
                <w:szCs w:val="14"/>
                <w:color w:val="auto"/>
              </w:rPr>
              <w:t>4</w:t>
            </w:r>
          </w:p>
        </w:tc>
      </w:tr>
    </w:tbl>
    <w:p>
      <w:pPr>
        <w:spacing w:after="0" w:line="337"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171450</wp:posOffset>
            </wp:positionV>
            <wp:extent cx="7186930"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02" w:right="319" w:bottom="1440" w:gutter="0" w:footer="0" w:header="0"/>
        </w:sectPr>
      </w:pPr>
    </w:p>
    <w:bookmarkStart w:id="13" w:name="page14"/>
    <w:bookmarkEnd w:id="13"/>
    <w:p>
      <w:pPr>
        <w:ind w:left="320"/>
        <w:spacing w:after="0"/>
        <w:rPr>
          <w:sz w:val="20"/>
          <w:szCs w:val="20"/>
          <w:color w:val="auto"/>
        </w:rPr>
      </w:pPr>
      <w:r>
        <w:rPr>
          <w:rFonts w:ascii="Times New Roman" w:cs="Times New Roman" w:eastAsia="Times New Roman" w:hAnsi="Times New Roman"/>
          <w:sz w:val="14"/>
          <w:szCs w:val="14"/>
          <w:color w:val="auto"/>
        </w:rPr>
        <w:t>Supplemental cash flow information related to operating leases is as follows:</w:t>
      </w:r>
    </w:p>
    <w:p>
      <w:pPr>
        <w:spacing w:after="0" w:line="47" w:lineRule="exact"/>
        <w:rPr>
          <w:sz w:val="20"/>
          <w:szCs w:val="20"/>
          <w:color w:val="auto"/>
        </w:rPr>
      </w:pPr>
    </w:p>
    <w:p>
      <w:pPr>
        <w:jc w:val="center"/>
        <w:ind w:left="8000"/>
        <w:spacing w:after="0"/>
        <w:rPr>
          <w:sz w:val="20"/>
          <w:szCs w:val="20"/>
          <w:color w:val="auto"/>
        </w:rPr>
      </w:pPr>
      <w:r>
        <w:rPr>
          <w:rFonts w:ascii="Times New Roman" w:cs="Times New Roman" w:eastAsia="Times New Roman" w:hAnsi="Times New Roman"/>
          <w:sz w:val="11"/>
          <w:szCs w:val="11"/>
          <w:b w:val="1"/>
          <w:bCs w:val="1"/>
          <w:color w:val="auto"/>
        </w:rPr>
        <w:t>Three Months Ended</w:t>
      </w:r>
    </w:p>
    <w:p>
      <w:pPr>
        <w:spacing w:after="0" w:line="15" w:lineRule="exact"/>
        <w:rPr>
          <w:sz w:val="20"/>
          <w:szCs w:val="20"/>
          <w:color w:val="auto"/>
        </w:rPr>
      </w:pPr>
    </w:p>
    <w:p>
      <w:pPr>
        <w:jc w:val="center"/>
        <w:ind w:left="8000"/>
        <w:spacing w:after="0"/>
        <w:rPr>
          <w:sz w:val="20"/>
          <w:szCs w:val="20"/>
          <w:color w:val="auto"/>
        </w:rPr>
      </w:pPr>
      <w:r>
        <w:rPr>
          <w:rFonts w:ascii="Times New Roman" w:cs="Times New Roman" w:eastAsia="Times New Roman" w:hAnsi="Times New Roman"/>
          <w:sz w:val="11"/>
          <w:szCs w:val="11"/>
          <w:b w:val="1"/>
          <w:bCs w:val="1"/>
          <w:color w:val="auto"/>
        </w:rPr>
        <w:t>March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1240" w:type="dxa"/>
            <w:vAlign w:val="bottom"/>
            <w:tcBorders>
              <w:top w:val="single" w:sz="8" w:color="auto"/>
              <w:bottom w:val="single" w:sz="8" w:color="auto"/>
            </w:tcBorders>
          </w:tcPr>
          <w:p>
            <w:pPr>
              <w:jc w:val="right"/>
              <w:ind w:right="496"/>
              <w:spacing w:after="0"/>
              <w:rPr>
                <w:sz w:val="20"/>
                <w:szCs w:val="20"/>
                <w:color w:val="auto"/>
              </w:rPr>
            </w:pPr>
            <w:r>
              <w:rPr>
                <w:rFonts w:ascii="Times New Roman" w:cs="Times New Roman" w:eastAsia="Times New Roman" w:hAnsi="Times New Roman"/>
                <w:sz w:val="11"/>
                <w:szCs w:val="11"/>
                <w:b w:val="1"/>
                <w:bCs w:val="1"/>
                <w:color w:val="auto"/>
              </w:rPr>
              <w:t>2024</w:t>
            </w:r>
          </w:p>
        </w:tc>
        <w:tc>
          <w:tcPr>
            <w:tcW w:w="80" w:type="dxa"/>
            <w:vAlign w:val="bottom"/>
            <w:tcBorders>
              <w:top w:val="single" w:sz="8" w:color="auto"/>
              <w:bottom w:val="single" w:sz="8" w:color="auto"/>
            </w:tcBorders>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1340" w:type="dxa"/>
            <w:vAlign w:val="bottom"/>
            <w:tcBorders>
              <w:top w:val="single" w:sz="8" w:color="auto"/>
              <w:bottom w:val="single" w:sz="8" w:color="auto"/>
            </w:tcBorders>
          </w:tcPr>
          <w:p>
            <w:pPr>
              <w:jc w:val="right"/>
              <w:ind w:right="592"/>
              <w:spacing w:after="0"/>
              <w:rPr>
                <w:sz w:val="20"/>
                <w:szCs w:val="20"/>
                <w:color w:val="auto"/>
              </w:rPr>
            </w:pPr>
            <w:r>
              <w:rPr>
                <w:rFonts w:ascii="Times New Roman" w:cs="Times New Roman" w:eastAsia="Times New Roman" w:hAnsi="Times New Roman"/>
                <w:sz w:val="11"/>
                <w:szCs w:val="11"/>
                <w:b w:val="1"/>
                <w:bCs w:val="1"/>
                <w:color w:val="auto"/>
              </w:rPr>
              <w:t>2023</w:t>
            </w:r>
          </w:p>
        </w:tc>
        <w:tc>
          <w:tcPr>
            <w:tcW w:w="20" w:type="dxa"/>
            <w:vAlign w:val="bottom"/>
            <w:tcBorders>
              <w:top w:val="single" w:sz="8" w:color="auto"/>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78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020" w:type="dxa"/>
            <w:vAlign w:val="bottom"/>
            <w:gridSpan w:val="6"/>
          </w:tcPr>
          <w:p>
            <w:pPr>
              <w:jc w:val="right"/>
              <w:ind w:right="1140"/>
              <w:spacing w:after="0"/>
              <w:rPr>
                <w:sz w:val="20"/>
                <w:szCs w:val="20"/>
                <w:color w:val="auto"/>
              </w:rPr>
            </w:pPr>
            <w:r>
              <w:rPr>
                <w:rFonts w:ascii="Times New Roman" w:cs="Times New Roman" w:eastAsia="Times New Roman" w:hAnsi="Times New Roman"/>
                <w:sz w:val="11"/>
                <w:szCs w:val="11"/>
                <w:b w:val="1"/>
                <w:bCs w:val="1"/>
                <w:color w:val="auto"/>
              </w:rPr>
              <w:t>(Dollars in millions)</w:t>
            </w:r>
          </w:p>
        </w:tc>
        <w:tc>
          <w:tcPr>
            <w:tcW w:w="0" w:type="dxa"/>
            <w:vAlign w:val="bottom"/>
          </w:tcPr>
          <w:p>
            <w:pPr>
              <w:spacing w:after="0"/>
              <w:rPr>
                <w:sz w:val="1"/>
                <w:szCs w:val="1"/>
                <w:color w:val="auto"/>
              </w:rPr>
            </w:pPr>
          </w:p>
        </w:tc>
      </w:tr>
      <w:tr>
        <w:trPr>
          <w:trHeight w:val="223"/>
        </w:trPr>
        <w:tc>
          <w:tcPr>
            <w:tcW w:w="800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Cash paid for amounts included in the measurement of lease liabilities:</w:t>
            </w: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800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Operating cash outflows from operating leases</w:t>
            </w:r>
          </w:p>
        </w:tc>
        <w:tc>
          <w:tcPr>
            <w:tcW w:w="2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3</w:t>
            </w: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00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Right-of-use assets obtained in exchange for lease obligations:</w:t>
            </w: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191"/>
        </w:trPr>
        <w:tc>
          <w:tcPr>
            <w:tcW w:w="800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Operating leases</w:t>
            </w: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6</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394"/>
        </w:trPr>
        <w:tc>
          <w:tcPr>
            <w:tcW w:w="8000" w:type="dxa"/>
            <w:vAlign w:val="bottom"/>
            <w:gridSpan w:val="2"/>
          </w:tcPr>
          <w:p>
            <w:pPr>
              <w:ind w:left="320"/>
              <w:spacing w:after="0"/>
              <w:rPr>
                <w:sz w:val="20"/>
                <w:szCs w:val="20"/>
                <w:color w:val="auto"/>
              </w:rPr>
            </w:pPr>
            <w:r>
              <w:rPr>
                <w:rFonts w:ascii="Times New Roman" w:cs="Times New Roman" w:eastAsia="Times New Roman" w:hAnsi="Times New Roman"/>
                <w:sz w:val="14"/>
                <w:szCs w:val="14"/>
                <w:color w:val="auto"/>
              </w:rPr>
              <w:t>Supplemental balance sheet information related to operating leases is as follows:</w:t>
            </w: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78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320" w:type="dxa"/>
            <w:vAlign w:val="bottom"/>
            <w:gridSpan w:val="2"/>
          </w:tcPr>
          <w:p>
            <w:pPr>
              <w:jc w:val="right"/>
              <w:ind w:right="540"/>
              <w:spacing w:after="0"/>
              <w:rPr>
                <w:sz w:val="20"/>
                <w:szCs w:val="20"/>
                <w:color w:val="auto"/>
              </w:rPr>
            </w:pPr>
            <w:r>
              <w:rPr>
                <w:rFonts w:ascii="Times New Roman" w:cs="Times New Roman" w:eastAsia="Times New Roman" w:hAnsi="Times New Roman"/>
                <w:sz w:val="11"/>
                <w:szCs w:val="11"/>
                <w:b w:val="1"/>
                <w:bCs w:val="1"/>
                <w:color w:val="auto"/>
              </w:rPr>
              <w:t>March 31,</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60" w:type="dxa"/>
            <w:vAlign w:val="bottom"/>
            <w:gridSpan w:val="2"/>
          </w:tcPr>
          <w:p>
            <w:pPr>
              <w:jc w:val="right"/>
              <w:ind w:right="480"/>
              <w:spacing w:after="0"/>
              <w:rPr>
                <w:sz w:val="20"/>
                <w:szCs w:val="20"/>
                <w:color w:val="auto"/>
              </w:rPr>
            </w:pPr>
            <w:r>
              <w:rPr>
                <w:rFonts w:ascii="Times New Roman" w:cs="Times New Roman" w:eastAsia="Times New Roman" w:hAnsi="Times New Roman"/>
                <w:sz w:val="11"/>
                <w:szCs w:val="11"/>
                <w:b w:val="1"/>
                <w:bCs w:val="1"/>
                <w:color w:val="auto"/>
              </w:rPr>
              <w:t>December 31,</w:t>
            </w:r>
          </w:p>
        </w:tc>
        <w:tc>
          <w:tcPr>
            <w:tcW w:w="0" w:type="dxa"/>
            <w:vAlign w:val="bottom"/>
          </w:tcPr>
          <w:p>
            <w:pPr>
              <w:spacing w:after="0"/>
              <w:rPr>
                <w:sz w:val="1"/>
                <w:szCs w:val="1"/>
                <w:color w:val="auto"/>
              </w:rPr>
            </w:pPr>
          </w:p>
        </w:tc>
      </w:tr>
      <w:tr>
        <w:trPr>
          <w:trHeight w:val="153"/>
        </w:trPr>
        <w:tc>
          <w:tcPr>
            <w:tcW w:w="78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right"/>
              <w:ind w:right="536"/>
              <w:spacing w:after="0"/>
              <w:rPr>
                <w:sz w:val="20"/>
                <w:szCs w:val="20"/>
                <w:color w:val="auto"/>
              </w:rPr>
            </w:pPr>
            <w:r>
              <w:rPr>
                <w:rFonts w:ascii="Times New Roman" w:cs="Times New Roman" w:eastAsia="Times New Roman" w:hAnsi="Times New Roman"/>
                <w:sz w:val="11"/>
                <w:szCs w:val="11"/>
                <w:b w:val="1"/>
                <w:bCs w:val="1"/>
                <w:color w:val="auto"/>
              </w:rPr>
              <w:t>2024</w:t>
            </w:r>
          </w:p>
        </w:tc>
        <w:tc>
          <w:tcPr>
            <w:tcW w:w="8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jc w:val="right"/>
              <w:ind w:right="612"/>
              <w:spacing w:after="0"/>
              <w:rPr>
                <w:sz w:val="20"/>
                <w:szCs w:val="20"/>
                <w:color w:val="auto"/>
              </w:rPr>
            </w:pPr>
            <w:r>
              <w:rPr>
                <w:rFonts w:ascii="Times New Roman" w:cs="Times New Roman" w:eastAsia="Times New Roman" w:hAnsi="Times New Roman"/>
                <w:sz w:val="11"/>
                <w:szCs w:val="11"/>
                <w:b w:val="1"/>
                <w:bCs w:val="1"/>
                <w:color w:val="auto"/>
              </w:rPr>
              <w:t>2023</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78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020" w:type="dxa"/>
            <w:vAlign w:val="bottom"/>
            <w:gridSpan w:val="6"/>
          </w:tcPr>
          <w:p>
            <w:pPr>
              <w:jc w:val="right"/>
              <w:ind w:right="1160"/>
              <w:spacing w:after="0"/>
              <w:rPr>
                <w:sz w:val="20"/>
                <w:szCs w:val="20"/>
                <w:color w:val="auto"/>
              </w:rPr>
            </w:pPr>
            <w:r>
              <w:rPr>
                <w:rFonts w:ascii="Times New Roman" w:cs="Times New Roman" w:eastAsia="Times New Roman" w:hAnsi="Times New Roman"/>
                <w:sz w:val="11"/>
                <w:szCs w:val="11"/>
                <w:b w:val="1"/>
                <w:bCs w:val="1"/>
                <w:color w:val="auto"/>
              </w:rPr>
              <w:t>(Dollars in millions)</w:t>
            </w:r>
          </w:p>
        </w:tc>
        <w:tc>
          <w:tcPr>
            <w:tcW w:w="0" w:type="dxa"/>
            <w:vAlign w:val="bottom"/>
          </w:tcPr>
          <w:p>
            <w:pPr>
              <w:spacing w:after="0"/>
              <w:rPr>
                <w:sz w:val="1"/>
                <w:szCs w:val="1"/>
                <w:color w:val="auto"/>
              </w:rPr>
            </w:pPr>
          </w:p>
        </w:tc>
      </w:tr>
      <w:tr>
        <w:trPr>
          <w:trHeight w:val="212"/>
        </w:trPr>
        <w:tc>
          <w:tcPr>
            <w:tcW w:w="800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Other assets</w:t>
            </w:r>
          </w:p>
        </w:tc>
        <w:tc>
          <w:tcPr>
            <w:tcW w:w="2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43</w:t>
            </w: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80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Accrued liabilities</w:t>
            </w: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9</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800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Other liabilities</w:t>
            </w:r>
          </w:p>
        </w:tc>
        <w:tc>
          <w:tcPr>
            <w:tcW w:w="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35</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43"/>
        </w:trPr>
        <w:tc>
          <w:tcPr>
            <w:tcW w:w="7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20" w:type="dxa"/>
            <w:vAlign w:val="bottom"/>
            <w:gridSpan w:val="2"/>
          </w:tcPr>
          <w:p>
            <w:pPr>
              <w:jc w:val="right"/>
              <w:ind w:right="680"/>
              <w:spacing w:after="0"/>
              <w:rPr>
                <w:sz w:val="20"/>
                <w:szCs w:val="20"/>
                <w:color w:val="auto"/>
              </w:rPr>
            </w:pPr>
            <w:r>
              <w:rPr>
                <w:rFonts w:ascii="Times New Roman" w:cs="Times New Roman" w:eastAsia="Times New Roman" w:hAnsi="Times New Roman"/>
                <w:sz w:val="11"/>
                <w:szCs w:val="11"/>
                <w:b w:val="1"/>
                <w:bCs w:val="1"/>
                <w:color w:val="auto"/>
              </w:rPr>
              <w:t>March 31,</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gridSpan w:val="2"/>
            <w:vMerge w:val="restart"/>
          </w:tcPr>
          <w:p>
            <w:pPr>
              <w:jc w:val="right"/>
              <w:ind w:right="400"/>
              <w:spacing w:after="0"/>
              <w:rPr>
                <w:sz w:val="20"/>
                <w:szCs w:val="20"/>
                <w:color w:val="auto"/>
              </w:rPr>
            </w:pPr>
            <w:r>
              <w:rPr>
                <w:rFonts w:ascii="Times New Roman" w:cs="Times New Roman" w:eastAsia="Times New Roman" w:hAnsi="Times New Roman"/>
                <w:sz w:val="11"/>
                <w:szCs w:val="11"/>
                <w:b w:val="1"/>
                <w:bCs w:val="1"/>
                <w:color w:val="auto"/>
              </w:rPr>
              <w:t>December 31, 2023</w:t>
            </w:r>
          </w:p>
        </w:tc>
        <w:tc>
          <w:tcPr>
            <w:tcW w:w="0" w:type="dxa"/>
            <w:vAlign w:val="bottom"/>
          </w:tcPr>
          <w:p>
            <w:pPr>
              <w:spacing w:after="0"/>
              <w:rPr>
                <w:sz w:val="1"/>
                <w:szCs w:val="1"/>
                <w:color w:val="auto"/>
              </w:rPr>
            </w:pPr>
          </w:p>
        </w:tc>
      </w:tr>
      <w:tr>
        <w:trPr>
          <w:trHeight w:val="153"/>
        </w:trPr>
        <w:tc>
          <w:tcPr>
            <w:tcW w:w="78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40" w:type="dxa"/>
            <w:vAlign w:val="bottom"/>
          </w:tcPr>
          <w:p>
            <w:pPr>
              <w:jc w:val="right"/>
              <w:ind w:right="676"/>
              <w:spacing w:after="0"/>
              <w:rPr>
                <w:sz w:val="20"/>
                <w:szCs w:val="20"/>
                <w:color w:val="auto"/>
              </w:rPr>
            </w:pPr>
            <w:r>
              <w:rPr>
                <w:rFonts w:ascii="Times New Roman" w:cs="Times New Roman" w:eastAsia="Times New Roman" w:hAnsi="Times New Roman"/>
                <w:sz w:val="11"/>
                <w:szCs w:val="11"/>
                <w:b w:val="1"/>
                <w:bCs w:val="1"/>
                <w:color w:val="auto"/>
              </w:rPr>
              <w:t>2024</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6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97"/>
        </w:trPr>
        <w:tc>
          <w:tcPr>
            <w:tcW w:w="7820" w:type="dxa"/>
            <w:vAlign w:val="bottom"/>
            <w:tcBorders>
              <w:top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Weighted-average remaining lease term (in years)</w:t>
            </w:r>
          </w:p>
        </w:tc>
        <w:tc>
          <w:tcPr>
            <w:tcW w:w="180" w:type="dxa"/>
            <w:vAlign w:val="bottom"/>
            <w:tcBorders>
              <w:top w:val="single" w:sz="8" w:color="auto"/>
            </w:tcBorders>
            <w:shd w:val="clear" w:color="auto" w:fill="CFF0FC"/>
          </w:tcPr>
          <w:p>
            <w:pPr>
              <w:spacing w:after="0"/>
              <w:rPr>
                <w:sz w:val="17"/>
                <w:szCs w:val="17"/>
                <w:color w:val="auto"/>
              </w:rPr>
            </w:pPr>
          </w:p>
        </w:tc>
        <w:tc>
          <w:tcPr>
            <w:tcW w:w="20" w:type="dxa"/>
            <w:vAlign w:val="bottom"/>
            <w:tcBorders>
              <w:top w:val="single" w:sz="8" w:color="auto"/>
            </w:tcBorders>
            <w:shd w:val="clear" w:color="auto" w:fill="CFF0FC"/>
          </w:tcPr>
          <w:p>
            <w:pPr>
              <w:spacing w:after="0"/>
              <w:rPr>
                <w:sz w:val="17"/>
                <w:szCs w:val="17"/>
                <w:color w:val="auto"/>
              </w:rPr>
            </w:pPr>
          </w:p>
        </w:tc>
        <w:tc>
          <w:tcPr>
            <w:tcW w:w="240" w:type="dxa"/>
            <w:vAlign w:val="bottom"/>
            <w:tcBorders>
              <w:top w:val="single" w:sz="8" w:color="auto"/>
            </w:tcBorders>
            <w:shd w:val="clear" w:color="auto" w:fill="CFF0FC"/>
          </w:tcPr>
          <w:p>
            <w:pPr>
              <w:spacing w:after="0"/>
              <w:rPr>
                <w:sz w:val="17"/>
                <w:szCs w:val="17"/>
                <w:color w:val="auto"/>
              </w:rPr>
            </w:pPr>
          </w:p>
        </w:tc>
        <w:tc>
          <w:tcPr>
            <w:tcW w:w="12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7.65</w:t>
            </w:r>
          </w:p>
        </w:tc>
        <w:tc>
          <w:tcPr>
            <w:tcW w:w="80" w:type="dxa"/>
            <w:vAlign w:val="bottom"/>
            <w:tcBorders>
              <w:top w:val="single" w:sz="8" w:color="CFF0FC"/>
            </w:tcBorders>
            <w:shd w:val="clear" w:color="auto" w:fill="CFF0FC"/>
          </w:tcPr>
          <w:p>
            <w:pPr>
              <w:spacing w:after="0"/>
              <w:rPr>
                <w:sz w:val="17"/>
                <w:szCs w:val="17"/>
                <w:color w:val="auto"/>
              </w:rPr>
            </w:pPr>
          </w:p>
        </w:tc>
        <w:tc>
          <w:tcPr>
            <w:tcW w:w="22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13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8.08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80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Weighted-average discount rate</w:t>
            </w: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6.08 %</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5.69 %</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37"/>
        </w:trPr>
        <w:tc>
          <w:tcPr>
            <w:tcW w:w="8000" w:type="dxa"/>
            <w:vAlign w:val="bottom"/>
            <w:gridSpan w:val="2"/>
          </w:tcPr>
          <w:p>
            <w:pPr>
              <w:ind w:left="320"/>
              <w:spacing w:after="0"/>
              <w:rPr>
                <w:sz w:val="20"/>
                <w:szCs w:val="20"/>
                <w:color w:val="auto"/>
              </w:rPr>
            </w:pPr>
            <w:r>
              <w:rPr>
                <w:rFonts w:ascii="Times New Roman" w:cs="Times New Roman" w:eastAsia="Times New Roman" w:hAnsi="Times New Roman"/>
                <w:sz w:val="14"/>
                <w:szCs w:val="14"/>
                <w:color w:val="auto"/>
              </w:rPr>
              <w:t>Maturities of operating lease liabilities as of March 31, 2024 were as follows:</w:t>
            </w: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7820" w:type="dxa"/>
            <w:vAlign w:val="bottom"/>
            <w:tcBorders>
              <w:bottom w:val="single" w:sz="8" w:color="CFF0FC"/>
            </w:tcBorders>
          </w:tcPr>
          <w:p>
            <w:pPr>
              <w:spacing w:after="0"/>
              <w:rPr>
                <w:sz w:val="15"/>
                <w:szCs w:val="15"/>
                <w:color w:val="auto"/>
              </w:rPr>
            </w:pPr>
          </w:p>
        </w:tc>
        <w:tc>
          <w:tcPr>
            <w:tcW w:w="180" w:type="dxa"/>
            <w:vAlign w:val="bottom"/>
            <w:tcBorders>
              <w:bottom w:val="single" w:sz="8" w:color="CFF0FC"/>
            </w:tcBorders>
          </w:tcPr>
          <w:p>
            <w:pPr>
              <w:spacing w:after="0"/>
              <w:rPr>
                <w:sz w:val="15"/>
                <w:szCs w:val="15"/>
                <w:color w:val="auto"/>
              </w:rPr>
            </w:pPr>
          </w:p>
        </w:tc>
        <w:tc>
          <w:tcPr>
            <w:tcW w:w="20" w:type="dxa"/>
            <w:vAlign w:val="bottom"/>
            <w:tcBorders>
              <w:bottom w:val="single" w:sz="8" w:color="CFF0FC"/>
            </w:tcBorders>
          </w:tcPr>
          <w:p>
            <w:pPr>
              <w:spacing w:after="0"/>
              <w:rPr>
                <w:sz w:val="15"/>
                <w:szCs w:val="15"/>
                <w:color w:val="auto"/>
              </w:rPr>
            </w:pPr>
          </w:p>
        </w:tc>
        <w:tc>
          <w:tcPr>
            <w:tcW w:w="240" w:type="dxa"/>
            <w:vAlign w:val="bottom"/>
            <w:tcBorders>
              <w:bottom w:val="single" w:sz="8" w:color="CFF0FC"/>
            </w:tcBorders>
          </w:tcPr>
          <w:p>
            <w:pPr>
              <w:spacing w:after="0"/>
              <w:rPr>
                <w:sz w:val="15"/>
                <w:szCs w:val="15"/>
                <w:color w:val="auto"/>
              </w:rPr>
            </w:pPr>
          </w:p>
        </w:tc>
        <w:tc>
          <w:tcPr>
            <w:tcW w:w="1240" w:type="dxa"/>
            <w:vAlign w:val="bottom"/>
            <w:tcBorders>
              <w:bottom w:val="single" w:sz="8" w:color="CFF0FC"/>
            </w:tcBorders>
          </w:tcPr>
          <w:p>
            <w:pPr>
              <w:spacing w:after="0"/>
              <w:rPr>
                <w:sz w:val="15"/>
                <w:szCs w:val="15"/>
                <w:color w:val="auto"/>
              </w:rPr>
            </w:pPr>
          </w:p>
        </w:tc>
        <w:tc>
          <w:tcPr>
            <w:tcW w:w="80" w:type="dxa"/>
            <w:vAlign w:val="bottom"/>
            <w:tcBorders>
              <w:bottom w:val="single" w:sz="8" w:color="CFF0FC"/>
            </w:tcBorders>
          </w:tcPr>
          <w:p>
            <w:pPr>
              <w:spacing w:after="0"/>
              <w:rPr>
                <w:sz w:val="15"/>
                <w:szCs w:val="15"/>
                <w:color w:val="auto"/>
              </w:rPr>
            </w:pPr>
          </w:p>
        </w:tc>
        <w:tc>
          <w:tcPr>
            <w:tcW w:w="220" w:type="dxa"/>
            <w:vAlign w:val="bottom"/>
            <w:tcBorders>
              <w:bottom w:val="single" w:sz="8" w:color="CFF0FC"/>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gridSpan w:val="2"/>
          </w:tcPr>
          <w:p>
            <w:pPr>
              <w:jc w:val="right"/>
              <w:ind w:right="260"/>
              <w:spacing w:after="0"/>
              <w:rPr>
                <w:sz w:val="20"/>
                <w:szCs w:val="20"/>
                <w:color w:val="auto"/>
              </w:rPr>
            </w:pPr>
            <w:r>
              <w:rPr>
                <w:rFonts w:ascii="Times New Roman" w:cs="Times New Roman" w:eastAsia="Times New Roman" w:hAnsi="Times New Roman"/>
                <w:sz w:val="11"/>
                <w:szCs w:val="11"/>
                <w:b w:val="1"/>
                <w:bCs w:val="1"/>
                <w:color w:val="auto"/>
              </w:rPr>
              <w:t>(Dollars in millions)</w:t>
            </w:r>
          </w:p>
        </w:tc>
        <w:tc>
          <w:tcPr>
            <w:tcW w:w="0" w:type="dxa"/>
            <w:vAlign w:val="bottom"/>
          </w:tcPr>
          <w:p>
            <w:pPr>
              <w:spacing w:after="0"/>
              <w:rPr>
                <w:sz w:val="1"/>
                <w:szCs w:val="1"/>
                <w:color w:val="auto"/>
              </w:rPr>
            </w:pPr>
          </w:p>
        </w:tc>
      </w:tr>
      <w:tr>
        <w:trPr>
          <w:trHeight w:val="202"/>
        </w:trPr>
        <w:tc>
          <w:tcPr>
            <w:tcW w:w="7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2024</w:t>
            </w:r>
          </w:p>
        </w:tc>
        <w:tc>
          <w:tcPr>
            <w:tcW w:w="18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2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3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7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2025</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7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2026</w:t>
            </w:r>
          </w:p>
        </w:tc>
        <w:tc>
          <w:tcPr>
            <w:tcW w:w="1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7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2027</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7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2028</w:t>
            </w:r>
          </w:p>
        </w:tc>
        <w:tc>
          <w:tcPr>
            <w:tcW w:w="1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8000" w:type="dxa"/>
            <w:vAlign w:val="bottom"/>
            <w:tcBorders>
              <w:bottom w:val="single" w:sz="8" w:color="CFF0FC"/>
            </w:tcBorders>
            <w:gridSpan w:val="2"/>
          </w:tcPr>
          <w:p>
            <w:pPr>
              <w:ind w:left="20"/>
              <w:spacing w:after="0"/>
              <w:rPr>
                <w:sz w:val="20"/>
                <w:szCs w:val="20"/>
                <w:color w:val="auto"/>
              </w:rPr>
            </w:pPr>
            <w:r>
              <w:rPr>
                <w:rFonts w:ascii="Times New Roman" w:cs="Times New Roman" w:eastAsia="Times New Roman" w:hAnsi="Times New Roman"/>
                <w:sz w:val="14"/>
                <w:szCs w:val="14"/>
                <w:color w:val="auto"/>
              </w:rPr>
              <w:t>Thereafter</w:t>
            </w:r>
          </w:p>
        </w:tc>
        <w:tc>
          <w:tcPr>
            <w:tcW w:w="20" w:type="dxa"/>
            <w:vAlign w:val="bottom"/>
            <w:tcBorders>
              <w:bottom w:val="single" w:sz="8" w:color="CFF0FC"/>
            </w:tcBorders>
          </w:tcPr>
          <w:p>
            <w:pPr>
              <w:spacing w:after="0"/>
              <w:rPr>
                <w:sz w:val="17"/>
                <w:szCs w:val="17"/>
                <w:color w:val="auto"/>
              </w:rPr>
            </w:pPr>
          </w:p>
        </w:tc>
        <w:tc>
          <w:tcPr>
            <w:tcW w:w="240" w:type="dxa"/>
            <w:vAlign w:val="bottom"/>
            <w:tcBorders>
              <w:bottom w:val="single" w:sz="8" w:color="CFF0FC"/>
            </w:tcBorders>
          </w:tcPr>
          <w:p>
            <w:pPr>
              <w:spacing w:after="0"/>
              <w:rPr>
                <w:sz w:val="17"/>
                <w:szCs w:val="17"/>
                <w:color w:val="auto"/>
              </w:rPr>
            </w:pPr>
          </w:p>
        </w:tc>
        <w:tc>
          <w:tcPr>
            <w:tcW w:w="1240" w:type="dxa"/>
            <w:vAlign w:val="bottom"/>
            <w:tcBorders>
              <w:bottom w:val="single" w:sz="8" w:color="CFF0FC"/>
            </w:tcBorders>
          </w:tcPr>
          <w:p>
            <w:pPr>
              <w:spacing w:after="0"/>
              <w:rPr>
                <w:sz w:val="17"/>
                <w:szCs w:val="17"/>
                <w:color w:val="auto"/>
              </w:rPr>
            </w:pPr>
          </w:p>
        </w:tc>
        <w:tc>
          <w:tcPr>
            <w:tcW w:w="80" w:type="dxa"/>
            <w:vAlign w:val="bottom"/>
            <w:tcBorders>
              <w:bottom w:val="single" w:sz="8" w:color="CFF0FC"/>
            </w:tcBorders>
          </w:tcPr>
          <w:p>
            <w:pPr>
              <w:spacing w:after="0"/>
              <w:rPr>
                <w:sz w:val="17"/>
                <w:szCs w:val="17"/>
                <w:color w:val="auto"/>
              </w:rPr>
            </w:pPr>
          </w:p>
        </w:tc>
        <w:tc>
          <w:tcPr>
            <w:tcW w:w="220" w:type="dxa"/>
            <w:vAlign w:val="bottom"/>
            <w:tcBorders>
              <w:bottom w:val="single" w:sz="8" w:color="CFF0FC"/>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800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4"/>
                <w:szCs w:val="14"/>
                <w:color w:val="auto"/>
              </w:rPr>
              <w:t>Total lease payments</w:t>
            </w:r>
          </w:p>
        </w:tc>
        <w:tc>
          <w:tcPr>
            <w:tcW w:w="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2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55</w:t>
            </w:r>
          </w:p>
        </w:tc>
        <w:tc>
          <w:tcPr>
            <w:tcW w:w="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8000" w:type="dxa"/>
            <w:vAlign w:val="bottom"/>
            <w:tcBorders>
              <w:bottom w:val="single" w:sz="8" w:color="CFF0FC"/>
            </w:tcBorders>
            <w:gridSpan w:val="2"/>
          </w:tcPr>
          <w:p>
            <w:pPr>
              <w:ind w:left="20"/>
              <w:spacing w:after="0"/>
              <w:rPr>
                <w:sz w:val="20"/>
                <w:szCs w:val="20"/>
                <w:color w:val="auto"/>
              </w:rPr>
            </w:pPr>
            <w:r>
              <w:rPr>
                <w:rFonts w:ascii="Times New Roman" w:cs="Times New Roman" w:eastAsia="Times New Roman" w:hAnsi="Times New Roman"/>
                <w:sz w:val="14"/>
                <w:szCs w:val="14"/>
                <w:color w:val="auto"/>
              </w:rPr>
              <w:t>Less imputed interest</w:t>
            </w:r>
          </w:p>
        </w:tc>
        <w:tc>
          <w:tcPr>
            <w:tcW w:w="20" w:type="dxa"/>
            <w:vAlign w:val="bottom"/>
            <w:tcBorders>
              <w:bottom w:val="single" w:sz="8" w:color="CFF0FC"/>
            </w:tcBorders>
          </w:tcPr>
          <w:p>
            <w:pPr>
              <w:spacing w:after="0"/>
              <w:rPr>
                <w:sz w:val="17"/>
                <w:szCs w:val="17"/>
                <w:color w:val="auto"/>
              </w:rPr>
            </w:pPr>
          </w:p>
        </w:tc>
        <w:tc>
          <w:tcPr>
            <w:tcW w:w="240" w:type="dxa"/>
            <w:vAlign w:val="bottom"/>
            <w:tcBorders>
              <w:bottom w:val="single" w:sz="8" w:color="CFF0FC"/>
            </w:tcBorders>
          </w:tcPr>
          <w:p>
            <w:pPr>
              <w:spacing w:after="0"/>
              <w:rPr>
                <w:sz w:val="17"/>
                <w:szCs w:val="17"/>
                <w:color w:val="auto"/>
              </w:rPr>
            </w:pPr>
          </w:p>
        </w:tc>
        <w:tc>
          <w:tcPr>
            <w:tcW w:w="1240" w:type="dxa"/>
            <w:vAlign w:val="bottom"/>
            <w:tcBorders>
              <w:bottom w:val="single" w:sz="8" w:color="CFF0FC"/>
            </w:tcBorders>
          </w:tcPr>
          <w:p>
            <w:pPr>
              <w:spacing w:after="0"/>
              <w:rPr>
                <w:sz w:val="17"/>
                <w:szCs w:val="17"/>
                <w:color w:val="auto"/>
              </w:rPr>
            </w:pPr>
          </w:p>
        </w:tc>
        <w:tc>
          <w:tcPr>
            <w:tcW w:w="80" w:type="dxa"/>
            <w:vAlign w:val="bottom"/>
            <w:tcBorders>
              <w:bottom w:val="single" w:sz="8" w:color="CFF0FC"/>
            </w:tcBorders>
          </w:tcPr>
          <w:p>
            <w:pPr>
              <w:spacing w:after="0"/>
              <w:rPr>
                <w:sz w:val="17"/>
                <w:szCs w:val="17"/>
                <w:color w:val="auto"/>
              </w:rPr>
            </w:pPr>
          </w:p>
        </w:tc>
        <w:tc>
          <w:tcPr>
            <w:tcW w:w="220" w:type="dxa"/>
            <w:vAlign w:val="bottom"/>
            <w:tcBorders>
              <w:bottom w:val="single" w:sz="8" w:color="CFF0FC"/>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(11)</w:t>
            </w:r>
          </w:p>
        </w:tc>
        <w:tc>
          <w:tcPr>
            <w:tcW w:w="0" w:type="dxa"/>
            <w:vAlign w:val="bottom"/>
          </w:tcPr>
          <w:p>
            <w:pPr>
              <w:spacing w:after="0"/>
              <w:rPr>
                <w:sz w:val="1"/>
                <w:szCs w:val="1"/>
                <w:color w:val="auto"/>
              </w:rPr>
            </w:pPr>
          </w:p>
        </w:tc>
      </w:tr>
      <w:tr>
        <w:trPr>
          <w:trHeight w:val="213"/>
        </w:trPr>
        <w:tc>
          <w:tcPr>
            <w:tcW w:w="78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44</w:t>
            </w:r>
          </w:p>
        </w:tc>
        <w:tc>
          <w:tcPr>
            <w:tcW w:w="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82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2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2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14. Long-term Debt and Credit Agreements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Long Term Debt</w:t>
      </w:r>
    </w:p>
    <w:p>
      <w:pPr>
        <w:spacing w:after="0" w:line="162" w:lineRule="exact"/>
        <w:rPr>
          <w:sz w:val="20"/>
          <w:szCs w:val="20"/>
          <w:color w:val="auto"/>
        </w:rPr>
      </w:pPr>
    </w:p>
    <w:p>
      <w:pPr>
        <w:jc w:val="both"/>
        <w:ind w:firstLine="307"/>
        <w:spacing w:after="0" w:line="289" w:lineRule="auto"/>
        <w:rPr>
          <w:sz w:val="20"/>
          <w:szCs w:val="20"/>
          <w:color w:val="auto"/>
        </w:rPr>
      </w:pPr>
      <w:r>
        <w:rPr>
          <w:rFonts w:ascii="Times New Roman" w:cs="Times New Roman" w:eastAsia="Times New Roman" w:hAnsi="Times New Roman"/>
          <w:sz w:val="14"/>
          <w:szCs w:val="14"/>
          <w:color w:val="auto"/>
        </w:rPr>
        <w:t>On April 30, 2021, the Company entered into a credit agreement (as amended from time to time, the "Credit Agreement") with JPMorgan Chase Bank, N.A. as administrative agent. The Credit Agreement provides for the following long-term senior secured financing (collectively, the "Term Loan Facilities"):</w:t>
      </w:r>
    </w:p>
    <w:p>
      <w:pPr>
        <w:spacing w:after="0" w:line="90" w:lineRule="exact"/>
        <w:rPr>
          <w:sz w:val="20"/>
          <w:szCs w:val="20"/>
          <w:color w:val="auto"/>
        </w:rPr>
      </w:pPr>
    </w:p>
    <w:p>
      <w:pPr>
        <w:ind w:left="640" w:hanging="251"/>
        <w:spacing w:after="0"/>
        <w:tabs>
          <w:tab w:leader="none" w:pos="640" w:val="left"/>
        </w:tabs>
        <w:numPr>
          <w:ilvl w:val="0"/>
          <w:numId w:val="5"/>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 xml:space="preserve">2021 Dollar Term Facility: </w:t>
      </w:r>
      <w:r>
        <w:rPr>
          <w:rFonts w:ascii="Times New Roman" w:cs="Times New Roman" w:eastAsia="Times New Roman" w:hAnsi="Times New Roman"/>
          <w:sz w:val="14"/>
          <w:szCs w:val="14"/>
          <w:color w:val="auto"/>
        </w:rPr>
        <w:t>a seven-year secured first-lien U.S. Dollar term loan facility for $715 million;</w:t>
      </w:r>
    </w:p>
    <w:p>
      <w:pPr>
        <w:spacing w:after="0" w:line="147" w:lineRule="exact"/>
        <w:rPr>
          <w:rFonts w:ascii="Times New Roman" w:cs="Times New Roman" w:eastAsia="Times New Roman" w:hAnsi="Times New Roman"/>
          <w:sz w:val="14"/>
          <w:szCs w:val="14"/>
          <w:i w:val="1"/>
          <w:iCs w:val="1"/>
          <w:color w:val="auto"/>
        </w:rPr>
      </w:pPr>
    </w:p>
    <w:p>
      <w:pPr>
        <w:ind w:left="640" w:hanging="251"/>
        <w:spacing w:after="0"/>
        <w:tabs>
          <w:tab w:leader="none" w:pos="640" w:val="left"/>
        </w:tabs>
        <w:numPr>
          <w:ilvl w:val="0"/>
          <w:numId w:val="5"/>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2023 Dollar Term Facility</w:t>
      </w:r>
      <w:r>
        <w:rPr>
          <w:rFonts w:ascii="Times New Roman" w:cs="Times New Roman" w:eastAsia="Times New Roman" w:hAnsi="Times New Roman"/>
          <w:sz w:val="14"/>
          <w:szCs w:val="14"/>
          <w:color w:val="auto"/>
        </w:rPr>
        <w:t>: a five-year secured first-lien U.S. Dollar term loan facility for $500 million; and</w:t>
      </w:r>
    </w:p>
    <w:p>
      <w:pPr>
        <w:spacing w:after="0" w:line="158" w:lineRule="exact"/>
        <w:rPr>
          <w:rFonts w:ascii="Times New Roman" w:cs="Times New Roman" w:eastAsia="Times New Roman" w:hAnsi="Times New Roman"/>
          <w:sz w:val="14"/>
          <w:szCs w:val="14"/>
          <w:i w:val="1"/>
          <w:iCs w:val="1"/>
          <w:color w:val="auto"/>
        </w:rPr>
      </w:pPr>
    </w:p>
    <w:p>
      <w:pPr>
        <w:ind w:left="640" w:hanging="251"/>
        <w:spacing w:after="0"/>
        <w:tabs>
          <w:tab w:leader="none" w:pos="64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Euro Term Facility</w:t>
      </w:r>
      <w:r>
        <w:rPr>
          <w:rFonts w:ascii="Times New Roman" w:cs="Times New Roman" w:eastAsia="Times New Roman" w:hAnsi="Times New Roman"/>
          <w:sz w:val="14"/>
          <w:szCs w:val="14"/>
          <w:color w:val="auto"/>
        </w:rPr>
        <w:t>: a seven-year secured first-lien Euro term loan facility for €450 million.</w:t>
      </w:r>
    </w:p>
    <w:p>
      <w:pPr>
        <w:spacing w:after="0" w:line="288"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178435</wp:posOffset>
            </wp:positionV>
            <wp:extent cx="7186930"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02" w:right="319" w:bottom="1440" w:gutter="0" w:footer="0" w:header="0"/>
        </w:sectPr>
      </w:pPr>
    </w:p>
    <w:bookmarkStart w:id="14" w:name="page15"/>
    <w:bookmarkEnd w:id="14"/>
    <w:p>
      <w:pPr>
        <w:ind w:left="320"/>
        <w:spacing w:after="0"/>
        <w:rPr>
          <w:sz w:val="20"/>
          <w:szCs w:val="20"/>
          <w:color w:val="auto"/>
        </w:rPr>
      </w:pPr>
      <w:r>
        <w:rPr>
          <w:rFonts w:ascii="Times New Roman" w:cs="Times New Roman" w:eastAsia="Times New Roman" w:hAnsi="Times New Roman"/>
          <w:sz w:val="14"/>
          <w:szCs w:val="14"/>
          <w:color w:val="auto"/>
        </w:rPr>
        <w:t>The principal outstanding and carrying amounts of our long-term debt as of March 31, 2024 and December 31, 2023 are as follows:</w:t>
      </w:r>
    </w:p>
    <w:p>
      <w:pPr>
        <w:spacing w:after="0" w:line="174" w:lineRule="exact"/>
        <w:rPr>
          <w:sz w:val="20"/>
          <w:szCs w:val="20"/>
          <w:color w:val="auto"/>
        </w:rPr>
      </w:pPr>
    </w:p>
    <w:tbl>
      <w:tblPr>
        <w:tblLayout w:type="fixed"/>
        <w:tblInd w:w="320" w:type="dxa"/>
        <w:tblCellMar>
          <w:top w:w="0" w:type="dxa"/>
          <w:left w:w="0" w:type="dxa"/>
          <w:bottom w:w="0" w:type="dxa"/>
          <w:right w:w="0" w:type="dxa"/>
        </w:tblCellMar>
      </w:tblPr>
      <w:tr>
        <w:trPr>
          <w:trHeight w:val="126"/>
        </w:trPr>
        <w:tc>
          <w:tcPr>
            <w:tcW w:w="4040" w:type="dxa"/>
            <w:vAlign w:val="bottom"/>
          </w:tcPr>
          <w:p>
            <w:pPr>
              <w:spacing w:after="0"/>
              <w:rPr>
                <w:sz w:val="11"/>
                <w:szCs w:val="11"/>
                <w:color w:val="auto"/>
              </w:rPr>
            </w:pPr>
          </w:p>
        </w:tc>
        <w:tc>
          <w:tcPr>
            <w:tcW w:w="148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b w:val="1"/>
                <w:bCs w:val="1"/>
                <w:color w:val="auto"/>
              </w:rPr>
              <w:t>Due</w:t>
            </w:r>
          </w:p>
        </w:tc>
        <w:tc>
          <w:tcPr>
            <w:tcW w:w="256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b w:val="1"/>
                <w:bCs w:val="1"/>
                <w:color w:val="auto"/>
              </w:rPr>
              <w:t>Interest Rate</w:t>
            </w:r>
          </w:p>
        </w:tc>
        <w:tc>
          <w:tcPr>
            <w:tcW w:w="1100" w:type="dxa"/>
            <w:vAlign w:val="bottom"/>
          </w:tcPr>
          <w:p>
            <w:pPr>
              <w:jc w:val="right"/>
              <w:ind w:right="16"/>
              <w:spacing w:after="0"/>
              <w:rPr>
                <w:sz w:val="20"/>
                <w:szCs w:val="20"/>
                <w:color w:val="auto"/>
              </w:rPr>
            </w:pPr>
            <w:r>
              <w:rPr>
                <w:rFonts w:ascii="Times New Roman" w:cs="Times New Roman" w:eastAsia="Times New Roman" w:hAnsi="Times New Roman"/>
                <w:sz w:val="11"/>
                <w:szCs w:val="11"/>
                <w:b w:val="1"/>
                <w:bCs w:val="1"/>
                <w:color w:val="auto"/>
              </w:rPr>
              <w:t>March 31,</w:t>
            </w: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40" w:type="dxa"/>
            <w:vAlign w:val="bottom"/>
          </w:tcPr>
          <w:p>
            <w:pPr>
              <w:jc w:val="right"/>
              <w:ind w:right="192"/>
              <w:spacing w:after="0"/>
              <w:rPr>
                <w:sz w:val="20"/>
                <w:szCs w:val="20"/>
                <w:color w:val="auto"/>
              </w:rPr>
            </w:pPr>
            <w:r>
              <w:rPr>
                <w:rFonts w:ascii="Times New Roman" w:cs="Times New Roman" w:eastAsia="Times New Roman" w:hAnsi="Times New Roman"/>
                <w:sz w:val="11"/>
                <w:szCs w:val="11"/>
                <w:b w:val="1"/>
                <w:bCs w:val="1"/>
                <w:color w:val="auto"/>
              </w:rPr>
              <w:t>December 31,</w:t>
            </w:r>
          </w:p>
        </w:tc>
        <w:tc>
          <w:tcPr>
            <w:tcW w:w="0" w:type="dxa"/>
            <w:vAlign w:val="bottom"/>
          </w:tcPr>
          <w:p>
            <w:pPr>
              <w:spacing w:after="0"/>
              <w:rPr>
                <w:sz w:val="1"/>
                <w:szCs w:val="1"/>
                <w:color w:val="auto"/>
              </w:rPr>
            </w:pPr>
          </w:p>
        </w:tc>
      </w:tr>
      <w:tr>
        <w:trPr>
          <w:trHeight w:val="154"/>
        </w:trPr>
        <w:tc>
          <w:tcPr>
            <w:tcW w:w="4040" w:type="dxa"/>
            <w:vAlign w:val="bottom"/>
            <w:tcBorders>
              <w:bottom w:val="single" w:sz="8" w:color="CCEEFF"/>
            </w:tcBorders>
          </w:tcPr>
          <w:p>
            <w:pPr>
              <w:spacing w:after="0"/>
              <w:rPr>
                <w:sz w:val="13"/>
                <w:szCs w:val="13"/>
                <w:color w:val="auto"/>
              </w:rPr>
            </w:pPr>
          </w:p>
        </w:tc>
        <w:tc>
          <w:tcPr>
            <w:tcW w:w="1480" w:type="dxa"/>
            <w:vAlign w:val="bottom"/>
            <w:tcBorders>
              <w:bottom w:val="single" w:sz="8" w:color="auto"/>
            </w:tcBorders>
            <w:vMerge w:val="continue"/>
          </w:tcPr>
          <w:p>
            <w:pPr>
              <w:spacing w:after="0"/>
              <w:rPr>
                <w:sz w:val="13"/>
                <w:szCs w:val="13"/>
                <w:color w:val="auto"/>
              </w:rPr>
            </w:pPr>
          </w:p>
        </w:tc>
        <w:tc>
          <w:tcPr>
            <w:tcW w:w="2560" w:type="dxa"/>
            <w:vAlign w:val="bottom"/>
            <w:tcBorders>
              <w:bottom w:val="single" w:sz="8" w:color="CCEEFF"/>
            </w:tcBorders>
            <w:vMerge w:val="continue"/>
          </w:tcPr>
          <w:p>
            <w:pPr>
              <w:spacing w:after="0"/>
              <w:rPr>
                <w:sz w:val="13"/>
                <w:szCs w:val="13"/>
                <w:color w:val="auto"/>
              </w:rPr>
            </w:pPr>
          </w:p>
        </w:tc>
        <w:tc>
          <w:tcPr>
            <w:tcW w:w="1100" w:type="dxa"/>
            <w:vAlign w:val="bottom"/>
            <w:tcBorders>
              <w:bottom w:val="single" w:sz="8" w:color="auto"/>
            </w:tcBorders>
          </w:tcPr>
          <w:p>
            <w:pPr>
              <w:jc w:val="right"/>
              <w:ind w:right="156"/>
              <w:spacing w:after="0"/>
              <w:rPr>
                <w:sz w:val="20"/>
                <w:szCs w:val="20"/>
                <w:color w:val="auto"/>
              </w:rPr>
            </w:pPr>
            <w:r>
              <w:rPr>
                <w:rFonts w:ascii="Times New Roman" w:cs="Times New Roman" w:eastAsia="Times New Roman" w:hAnsi="Times New Roman"/>
                <w:sz w:val="11"/>
                <w:szCs w:val="11"/>
                <w:b w:val="1"/>
                <w:bCs w:val="1"/>
                <w:color w:val="auto"/>
              </w:rPr>
              <w:t>2024</w:t>
            </w:r>
          </w:p>
        </w:tc>
        <w:tc>
          <w:tcPr>
            <w:tcW w:w="460" w:type="dxa"/>
            <w:vAlign w:val="bottom"/>
            <w:tcBorders>
              <w:bottom w:val="single" w:sz="8" w:color="auto"/>
            </w:tcBorders>
          </w:tcPr>
          <w:p>
            <w:pPr>
              <w:spacing w:after="0"/>
              <w:rPr>
                <w:sz w:val="13"/>
                <w:szCs w:val="13"/>
                <w:color w:val="auto"/>
              </w:rPr>
            </w:pPr>
          </w:p>
        </w:tc>
        <w:tc>
          <w:tcPr>
            <w:tcW w:w="14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1"/>
                <w:szCs w:val="11"/>
                <w:b w:val="1"/>
                <w:bCs w:val="1"/>
                <w:color w:val="auto"/>
              </w:rPr>
              <w:t>2023</w:t>
            </w:r>
          </w:p>
        </w:tc>
        <w:tc>
          <w:tcPr>
            <w:tcW w:w="0" w:type="dxa"/>
            <w:vAlign w:val="bottom"/>
          </w:tcPr>
          <w:p>
            <w:pPr>
              <w:spacing w:after="0"/>
              <w:rPr>
                <w:sz w:val="1"/>
                <w:szCs w:val="1"/>
                <w:color w:val="auto"/>
              </w:rPr>
            </w:pPr>
          </w:p>
        </w:tc>
      </w:tr>
      <w:tr>
        <w:trPr>
          <w:trHeight w:val="198"/>
        </w:trPr>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2021 Dollar Term Facility</w:t>
            </w:r>
          </w:p>
        </w:tc>
        <w:tc>
          <w:tcPr>
            <w:tcW w:w="1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4/30/2028</w:t>
            </w:r>
          </w:p>
        </w:tc>
        <w:tc>
          <w:tcPr>
            <w:tcW w:w="2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SOFR plus 351 bps</w:t>
            </w:r>
          </w:p>
        </w:tc>
        <w:tc>
          <w:tcPr>
            <w:tcW w:w="1100" w:type="dxa"/>
            <w:vAlign w:val="bottom"/>
            <w:shd w:val="clear" w:color="auto" w:fill="CCEEFF"/>
          </w:tcPr>
          <w:p>
            <w:pPr>
              <w:jc w:val="right"/>
              <w:ind w:right="956"/>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697</w:t>
            </w: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699</w:t>
            </w:r>
          </w:p>
        </w:tc>
        <w:tc>
          <w:tcPr>
            <w:tcW w:w="0" w:type="dxa"/>
            <w:vAlign w:val="bottom"/>
          </w:tcPr>
          <w:p>
            <w:pPr>
              <w:spacing w:after="0"/>
              <w:rPr>
                <w:sz w:val="1"/>
                <w:szCs w:val="1"/>
                <w:color w:val="auto"/>
              </w:rPr>
            </w:pPr>
          </w:p>
        </w:tc>
      </w:tr>
      <w:tr>
        <w:trPr>
          <w:trHeight w:val="197"/>
        </w:trPr>
        <w:tc>
          <w:tcPr>
            <w:tcW w:w="4040" w:type="dxa"/>
            <w:vAlign w:val="bottom"/>
          </w:tcPr>
          <w:p>
            <w:pPr>
              <w:spacing w:after="0"/>
              <w:rPr>
                <w:sz w:val="20"/>
                <w:szCs w:val="20"/>
                <w:color w:val="auto"/>
              </w:rPr>
            </w:pPr>
            <w:r>
              <w:rPr>
                <w:rFonts w:ascii="Times New Roman" w:cs="Times New Roman" w:eastAsia="Times New Roman" w:hAnsi="Times New Roman"/>
                <w:sz w:val="14"/>
                <w:szCs w:val="14"/>
                <w:color w:val="auto"/>
              </w:rPr>
              <w:t>2023 Dollar Term Facility</w:t>
            </w: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4/30/2028</w:t>
            </w:r>
          </w:p>
        </w:tc>
        <w:tc>
          <w:tcPr>
            <w:tcW w:w="25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SOFR plus 450 bps</w:t>
            </w:r>
          </w:p>
        </w:tc>
        <w:tc>
          <w:tcPr>
            <w:tcW w:w="110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500</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500</w:t>
            </w:r>
          </w:p>
        </w:tc>
        <w:tc>
          <w:tcPr>
            <w:tcW w:w="0" w:type="dxa"/>
            <w:vAlign w:val="bottom"/>
          </w:tcPr>
          <w:p>
            <w:pPr>
              <w:spacing w:after="0"/>
              <w:rPr>
                <w:sz w:val="1"/>
                <w:szCs w:val="1"/>
                <w:color w:val="auto"/>
              </w:rPr>
            </w:pPr>
          </w:p>
        </w:tc>
      </w:tr>
      <w:tr>
        <w:trPr>
          <w:trHeight w:val="208"/>
        </w:trPr>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Euro Term Facility</w:t>
            </w:r>
          </w:p>
        </w:tc>
        <w:tc>
          <w:tcPr>
            <w:tcW w:w="1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4/30/2028</w:t>
            </w:r>
          </w:p>
        </w:tc>
        <w:tc>
          <w:tcPr>
            <w:tcW w:w="2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EURIBOR plus 350 bps</w:t>
            </w:r>
          </w:p>
        </w:tc>
        <w:tc>
          <w:tcPr>
            <w:tcW w:w="1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485</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497</w:t>
            </w:r>
          </w:p>
        </w:tc>
        <w:tc>
          <w:tcPr>
            <w:tcW w:w="0" w:type="dxa"/>
            <w:vAlign w:val="bottom"/>
          </w:tcPr>
          <w:p>
            <w:pPr>
              <w:spacing w:after="0"/>
              <w:rPr>
                <w:sz w:val="1"/>
                <w:szCs w:val="1"/>
                <w:color w:val="auto"/>
              </w:rPr>
            </w:pPr>
          </w:p>
        </w:tc>
      </w:tr>
      <w:tr>
        <w:trPr>
          <w:trHeight w:val="197"/>
        </w:trPr>
        <w:tc>
          <w:tcPr>
            <w:tcW w:w="40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color w:val="auto"/>
              </w:rPr>
              <w:t>Other</w:t>
            </w:r>
          </w:p>
        </w:tc>
        <w:tc>
          <w:tcPr>
            <w:tcW w:w="1480" w:type="dxa"/>
            <w:vAlign w:val="bottom"/>
            <w:tcBorders>
              <w:bottom w:val="single" w:sz="8" w:color="CCEEFF"/>
            </w:tcBorders>
          </w:tcPr>
          <w:p>
            <w:pPr>
              <w:spacing w:after="0"/>
              <w:rPr>
                <w:sz w:val="17"/>
                <w:szCs w:val="17"/>
                <w:color w:val="auto"/>
              </w:rPr>
            </w:pPr>
          </w:p>
        </w:tc>
        <w:tc>
          <w:tcPr>
            <w:tcW w:w="2560" w:type="dxa"/>
            <w:vAlign w:val="bottom"/>
            <w:tcBorders>
              <w:bottom w:val="single" w:sz="8" w:color="CCEEFF"/>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4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3"/>
        </w:trPr>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principal outstanding</w:t>
            </w:r>
          </w:p>
        </w:tc>
        <w:tc>
          <w:tcPr>
            <w:tcW w:w="1480" w:type="dxa"/>
            <w:vAlign w:val="bottom"/>
            <w:shd w:val="clear" w:color="auto" w:fill="CCEEFF"/>
          </w:tcPr>
          <w:p>
            <w:pPr>
              <w:spacing w:after="0"/>
              <w:rPr>
                <w:sz w:val="16"/>
                <w:szCs w:val="16"/>
                <w:color w:val="auto"/>
              </w:rPr>
            </w:pPr>
          </w:p>
        </w:tc>
        <w:tc>
          <w:tcPr>
            <w:tcW w:w="2560" w:type="dxa"/>
            <w:vAlign w:val="bottom"/>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spacing w:after="0"/>
              <w:rPr>
                <w:sz w:val="16"/>
                <w:szCs w:val="16"/>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1,683</w:t>
            </w:r>
          </w:p>
        </w:tc>
        <w:tc>
          <w:tcPr>
            <w:tcW w:w="14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1,696</w:t>
            </w:r>
          </w:p>
        </w:tc>
        <w:tc>
          <w:tcPr>
            <w:tcW w:w="0" w:type="dxa"/>
            <w:vAlign w:val="bottom"/>
          </w:tcPr>
          <w:p>
            <w:pPr>
              <w:spacing w:after="0"/>
              <w:rPr>
                <w:sz w:val="1"/>
                <w:szCs w:val="1"/>
                <w:color w:val="auto"/>
              </w:rPr>
            </w:pPr>
          </w:p>
        </w:tc>
      </w:tr>
      <w:tr>
        <w:trPr>
          <w:trHeight w:val="193"/>
        </w:trPr>
        <w:tc>
          <w:tcPr>
            <w:tcW w:w="4040" w:type="dxa"/>
            <w:vAlign w:val="bottom"/>
          </w:tcPr>
          <w:p>
            <w:pPr>
              <w:spacing w:after="0"/>
              <w:rPr>
                <w:sz w:val="20"/>
                <w:szCs w:val="20"/>
                <w:color w:val="auto"/>
              </w:rPr>
            </w:pPr>
            <w:r>
              <w:rPr>
                <w:rFonts w:ascii="Times New Roman" w:cs="Times New Roman" w:eastAsia="Times New Roman" w:hAnsi="Times New Roman"/>
                <w:sz w:val="14"/>
                <w:szCs w:val="14"/>
                <w:color w:val="auto"/>
              </w:rPr>
              <w:t>Less: unamortized deferred financing costs</w:t>
            </w:r>
          </w:p>
        </w:tc>
        <w:tc>
          <w:tcPr>
            <w:tcW w:w="1480" w:type="dxa"/>
            <w:vAlign w:val="bottom"/>
          </w:tcPr>
          <w:p>
            <w:pPr>
              <w:spacing w:after="0"/>
              <w:rPr>
                <w:sz w:val="16"/>
                <w:szCs w:val="16"/>
                <w:color w:val="auto"/>
              </w:rPr>
            </w:pPr>
          </w:p>
        </w:tc>
        <w:tc>
          <w:tcPr>
            <w:tcW w:w="25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w:t>
            </w: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w:t>
            </w:r>
          </w:p>
        </w:tc>
        <w:tc>
          <w:tcPr>
            <w:tcW w:w="0" w:type="dxa"/>
            <w:vAlign w:val="bottom"/>
          </w:tcPr>
          <w:p>
            <w:pPr>
              <w:spacing w:after="0"/>
              <w:rPr>
                <w:sz w:val="1"/>
                <w:szCs w:val="1"/>
                <w:color w:val="auto"/>
              </w:rPr>
            </w:pPr>
          </w:p>
        </w:tc>
      </w:tr>
      <w:tr>
        <w:trPr>
          <w:trHeight w:val="202"/>
        </w:trPr>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Less: current portion of long-term debt</w:t>
            </w:r>
          </w:p>
        </w:tc>
        <w:tc>
          <w:tcPr>
            <w:tcW w:w="1480" w:type="dxa"/>
            <w:vAlign w:val="bottom"/>
            <w:shd w:val="clear" w:color="auto" w:fill="CCEEFF"/>
          </w:tcPr>
          <w:p>
            <w:pPr>
              <w:spacing w:after="0"/>
              <w:rPr>
                <w:sz w:val="17"/>
                <w:szCs w:val="17"/>
                <w:color w:val="auto"/>
              </w:rPr>
            </w:pPr>
          </w:p>
        </w:tc>
        <w:tc>
          <w:tcPr>
            <w:tcW w:w="2560" w:type="dxa"/>
            <w:vAlign w:val="bottom"/>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14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0" w:type="dxa"/>
            <w:vAlign w:val="bottom"/>
          </w:tcPr>
          <w:p>
            <w:pPr>
              <w:spacing w:after="0"/>
              <w:rPr>
                <w:sz w:val="1"/>
                <w:szCs w:val="1"/>
                <w:color w:val="auto"/>
              </w:rPr>
            </w:pPr>
          </w:p>
        </w:tc>
      </w:tr>
      <w:tr>
        <w:trPr>
          <w:trHeight w:val="199"/>
        </w:trPr>
        <w:tc>
          <w:tcPr>
            <w:tcW w:w="4040" w:type="dxa"/>
            <w:vAlign w:val="bottom"/>
          </w:tcPr>
          <w:p>
            <w:pPr>
              <w:spacing w:after="0"/>
              <w:rPr>
                <w:sz w:val="20"/>
                <w:szCs w:val="20"/>
                <w:color w:val="auto"/>
              </w:rPr>
            </w:pPr>
            <w:r>
              <w:rPr>
                <w:rFonts w:ascii="Times New Roman" w:cs="Times New Roman" w:eastAsia="Times New Roman" w:hAnsi="Times New Roman"/>
                <w:sz w:val="14"/>
                <w:szCs w:val="14"/>
                <w:color w:val="auto"/>
              </w:rPr>
              <w:t>Total long-term debt</w:t>
            </w:r>
          </w:p>
        </w:tc>
        <w:tc>
          <w:tcPr>
            <w:tcW w:w="1480" w:type="dxa"/>
            <w:vAlign w:val="bottom"/>
          </w:tcPr>
          <w:p>
            <w:pPr>
              <w:spacing w:after="0"/>
              <w:rPr>
                <w:sz w:val="17"/>
                <w:szCs w:val="17"/>
                <w:color w:val="auto"/>
              </w:rPr>
            </w:pPr>
          </w:p>
        </w:tc>
        <w:tc>
          <w:tcPr>
            <w:tcW w:w="2560" w:type="dxa"/>
            <w:vAlign w:val="bottom"/>
          </w:tcPr>
          <w:p>
            <w:pPr>
              <w:spacing w:after="0"/>
              <w:rPr>
                <w:sz w:val="17"/>
                <w:szCs w:val="17"/>
                <w:color w:val="auto"/>
              </w:rPr>
            </w:pPr>
          </w:p>
        </w:tc>
        <w:tc>
          <w:tcPr>
            <w:tcW w:w="1100" w:type="dxa"/>
            <w:vAlign w:val="bottom"/>
            <w:tcBorders>
              <w:bottom w:val="single" w:sz="8" w:color="auto"/>
            </w:tcBorders>
          </w:tcPr>
          <w:p>
            <w:pPr>
              <w:jc w:val="right"/>
              <w:ind w:right="956"/>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1,633</w:t>
            </w:r>
          </w:p>
        </w:tc>
        <w:tc>
          <w:tcPr>
            <w:tcW w:w="140" w:type="dxa"/>
            <w:vAlign w:val="bottom"/>
          </w:tcPr>
          <w:p>
            <w:pPr>
              <w:spacing w:after="0"/>
              <w:rPr>
                <w:sz w:val="17"/>
                <w:szCs w:val="17"/>
                <w:color w:val="auto"/>
              </w:rPr>
            </w:pPr>
          </w:p>
        </w:tc>
        <w:tc>
          <w:tcPr>
            <w:tcW w:w="22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1,643</w:t>
            </w:r>
          </w:p>
        </w:tc>
        <w:tc>
          <w:tcPr>
            <w:tcW w:w="0" w:type="dxa"/>
            <w:vAlign w:val="bottom"/>
          </w:tcPr>
          <w:p>
            <w:pPr>
              <w:spacing w:after="0"/>
              <w:rPr>
                <w:sz w:val="1"/>
                <w:szCs w:val="1"/>
                <w:color w:val="auto"/>
              </w:rPr>
            </w:pPr>
          </w:p>
        </w:tc>
      </w:tr>
      <w:tr>
        <w:trPr>
          <w:trHeight w:val="20"/>
        </w:trPr>
        <w:tc>
          <w:tcPr>
            <w:tcW w:w="40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b w:val="1"/>
          <w:bCs w:val="1"/>
          <w:i w:val="1"/>
          <w:iCs w:val="1"/>
          <w:color w:val="auto"/>
        </w:rPr>
        <w:t>Revolving Facility and Letters of Credit</w:t>
      </w:r>
    </w:p>
    <w:p>
      <w:pPr>
        <w:spacing w:after="0" w:line="152" w:lineRule="exact"/>
        <w:rPr>
          <w:sz w:val="20"/>
          <w:szCs w:val="20"/>
          <w:color w:val="auto"/>
        </w:rPr>
      </w:pPr>
    </w:p>
    <w:p>
      <w:pPr>
        <w:jc w:val="both"/>
        <w:ind w:right="80" w:firstLine="307"/>
        <w:spacing w:after="0" w:line="289" w:lineRule="auto"/>
        <w:rPr>
          <w:sz w:val="20"/>
          <w:szCs w:val="20"/>
          <w:color w:val="auto"/>
        </w:rPr>
      </w:pPr>
      <w:r>
        <w:rPr>
          <w:rFonts w:ascii="Times New Roman" w:cs="Times New Roman" w:eastAsia="Times New Roman" w:hAnsi="Times New Roman"/>
          <w:sz w:val="14"/>
          <w:szCs w:val="14"/>
          <w:color w:val="auto"/>
        </w:rPr>
        <w:t>The Credit Agreement also provides for a senior secured first-lien revolving credit facility providing for multi-currency revolving loans (the “Revolving Facility”). The Revolving Facility matures on April 30, 2028 and has a maximum borrowing amount available of $570 million.</w:t>
      </w:r>
    </w:p>
    <w:p>
      <w:pPr>
        <w:spacing w:after="0" w:line="92" w:lineRule="exact"/>
        <w:rPr>
          <w:sz w:val="20"/>
          <w:szCs w:val="20"/>
          <w:color w:val="auto"/>
        </w:rPr>
      </w:pPr>
    </w:p>
    <w:p>
      <w:pPr>
        <w:jc w:val="both"/>
        <w:ind w:right="80" w:firstLine="307"/>
        <w:spacing w:after="0" w:line="271" w:lineRule="auto"/>
        <w:rPr>
          <w:sz w:val="20"/>
          <w:szCs w:val="20"/>
          <w:color w:val="auto"/>
        </w:rPr>
      </w:pPr>
      <w:r>
        <w:rPr>
          <w:rFonts w:ascii="Times New Roman" w:cs="Times New Roman" w:eastAsia="Times New Roman" w:hAnsi="Times New Roman"/>
          <w:sz w:val="14"/>
          <w:szCs w:val="14"/>
          <w:color w:val="auto"/>
        </w:rPr>
        <w:t>Under the Revolving Facility, the Company may use up to $125 million for the issuance of letters of credit to its subsidiaries. Letters of credit are available for issuance under the Credit Agreement on terms and conditions customary for financings of this kind, which issuances reduce availability under the Revolving Facility. As of March 31, 2024, the Company had no loans outstanding under the Revolving Facility, no outstanding letters of credit, and available borrowing capacity of $570 million.</w:t>
      </w:r>
    </w:p>
    <w:p>
      <w:pPr>
        <w:spacing w:after="0" w:line="115" w:lineRule="exact"/>
        <w:rPr>
          <w:sz w:val="20"/>
          <w:szCs w:val="20"/>
          <w:color w:val="auto"/>
        </w:rPr>
      </w:pPr>
    </w:p>
    <w:p>
      <w:pPr>
        <w:jc w:val="both"/>
        <w:ind w:right="80" w:firstLine="307"/>
        <w:spacing w:after="0" w:line="289" w:lineRule="auto"/>
        <w:rPr>
          <w:sz w:val="20"/>
          <w:szCs w:val="20"/>
          <w:color w:val="auto"/>
        </w:rPr>
      </w:pPr>
      <w:r>
        <w:rPr>
          <w:rFonts w:ascii="Times New Roman" w:cs="Times New Roman" w:eastAsia="Times New Roman" w:hAnsi="Times New Roman"/>
          <w:sz w:val="14"/>
          <w:szCs w:val="14"/>
          <w:color w:val="auto"/>
        </w:rPr>
        <w:t>Separate from the Revolving Facility, the Company has a bilateral letter of credit facility in the amount of $15 million, which matures on April 30, 2026. As of March 31, 2024, the Company had $12 million utilized and $3 million of remaining available capacity under such facility.</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Interest Rate and Fees</w:t>
      </w:r>
    </w:p>
    <w:p>
      <w:pPr>
        <w:spacing w:after="0" w:line="152" w:lineRule="exact"/>
        <w:rPr>
          <w:sz w:val="20"/>
          <w:szCs w:val="20"/>
          <w:color w:val="auto"/>
        </w:rPr>
      </w:pPr>
    </w:p>
    <w:p>
      <w:pPr>
        <w:jc w:val="both"/>
        <w:ind w:right="80" w:firstLine="307"/>
        <w:spacing w:after="0" w:line="262" w:lineRule="auto"/>
        <w:rPr>
          <w:sz w:val="20"/>
          <w:szCs w:val="20"/>
          <w:color w:val="auto"/>
        </w:rPr>
      </w:pPr>
      <w:r>
        <w:rPr>
          <w:rFonts w:ascii="Times New Roman" w:cs="Times New Roman" w:eastAsia="Times New Roman" w:hAnsi="Times New Roman"/>
          <w:sz w:val="14"/>
          <w:szCs w:val="14"/>
          <w:color w:val="auto"/>
        </w:rPr>
        <w:t>The 2021 Dollar Term Facility is subject to an interest rate, at our option, of either (a) an alternate base rate (“ABR”) (which shall not be less than 1.50%) or (b) an adjusted SOFR rate (“SOFR”) (which shall not be less than 0.50%), in each case, plus an applicable margin equal to 3.51% in the case of SOFR loans and 2.25% in the case of ABR loans. The Euro Term Facility is subject to an interest rate equal to an adjusted EURIBOR rate (which shall not be less than zero) plus an applicable margin equal to 3.50%. Interest payments with respect to the 2021 Dollar and Euro Term Facilities are required either on a quarterly basis (for ABR loans) or at the end of each interest period (for SOFR and EURIBOR loans) or, if the duration of the applicable interest period exceeds three months, then every three months.</w:t>
      </w:r>
    </w:p>
    <w:p>
      <w:pPr>
        <w:spacing w:after="0" w:line="122" w:lineRule="exact"/>
        <w:rPr>
          <w:sz w:val="20"/>
          <w:szCs w:val="20"/>
          <w:color w:val="auto"/>
        </w:rPr>
      </w:pPr>
    </w:p>
    <w:p>
      <w:pPr>
        <w:jc w:val="both"/>
        <w:ind w:right="80" w:firstLine="307"/>
        <w:spacing w:after="0" w:line="289" w:lineRule="auto"/>
        <w:rPr>
          <w:sz w:val="20"/>
          <w:szCs w:val="20"/>
          <w:color w:val="auto"/>
        </w:rPr>
      </w:pPr>
      <w:r>
        <w:rPr>
          <w:rFonts w:ascii="Times New Roman" w:cs="Times New Roman" w:eastAsia="Times New Roman" w:hAnsi="Times New Roman"/>
          <w:sz w:val="14"/>
          <w:szCs w:val="14"/>
          <w:color w:val="auto"/>
        </w:rPr>
        <w:t>The 2023 Dollar Term Facility will bear interest, at the Term Borrowers’ election, at a rate per annum equal to (i) SOFR (subject to a 0.50% floor) plus the applicable margin or (ii) the base rate plus the applicable margin. The applicable margin for loans under the 2023 Dollar Term Facility is 4.50% for SOFR loans and 3.50% for base rate loans.</w:t>
      </w:r>
    </w:p>
    <w:p>
      <w:pPr>
        <w:spacing w:after="0" w:line="92" w:lineRule="exact"/>
        <w:rPr>
          <w:sz w:val="20"/>
          <w:szCs w:val="20"/>
          <w:color w:val="auto"/>
        </w:rPr>
      </w:pPr>
    </w:p>
    <w:p>
      <w:pPr>
        <w:jc w:val="both"/>
        <w:ind w:right="80" w:firstLine="307"/>
        <w:spacing w:after="0" w:line="271" w:lineRule="auto"/>
        <w:rPr>
          <w:sz w:val="20"/>
          <w:szCs w:val="20"/>
          <w:color w:val="auto"/>
        </w:rPr>
      </w:pPr>
      <w:r>
        <w:rPr>
          <w:rFonts w:ascii="Times New Roman" w:cs="Times New Roman" w:eastAsia="Times New Roman" w:hAnsi="Times New Roman"/>
          <w:sz w:val="14"/>
          <w:szCs w:val="14"/>
          <w:color w:val="auto"/>
        </w:rPr>
        <w:t>The Revolving Facility is subject to an interest rate comprised of an applicable benchmark rate as provided under the Credit Agreement (which shall not be less than 1.00% if such benchmark is the ABR rate and not less than 0.00% in the case of other applicable benchmark rates) that is selected based on the currency in which borrowings are outstanding thereunder, in each case, plus an applicable margin, that may vary based on our leverage ratio.</w:t>
      </w:r>
    </w:p>
    <w:p>
      <w:pPr>
        <w:spacing w:after="0" w:line="104" w:lineRule="exact"/>
        <w:rPr>
          <w:sz w:val="20"/>
          <w:szCs w:val="20"/>
          <w:color w:val="auto"/>
        </w:rPr>
      </w:pPr>
    </w:p>
    <w:p>
      <w:pPr>
        <w:jc w:val="both"/>
        <w:ind w:right="80" w:firstLine="307"/>
        <w:spacing w:after="0" w:line="289" w:lineRule="auto"/>
        <w:rPr>
          <w:sz w:val="20"/>
          <w:szCs w:val="20"/>
          <w:color w:val="auto"/>
        </w:rPr>
      </w:pPr>
      <w:r>
        <w:rPr>
          <w:rFonts w:ascii="Times New Roman" w:cs="Times New Roman" w:eastAsia="Times New Roman" w:hAnsi="Times New Roman"/>
          <w:sz w:val="14"/>
          <w:szCs w:val="14"/>
          <w:color w:val="auto"/>
        </w:rPr>
        <w:t>In addition to paying interest on outstanding borrowings under the Revolving Facility, we are also required to pay a quarterly commitment fee based on the average daily unused portion of the Revolving Facility during such quarter, which is determined by our leverage ratio and ranges from 0.25% to 0.50% per annum.</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Prepayments</w:t>
      </w:r>
    </w:p>
    <w:p>
      <w:pPr>
        <w:spacing w:after="0" w:line="152" w:lineRule="exact"/>
        <w:rPr>
          <w:sz w:val="20"/>
          <w:szCs w:val="20"/>
          <w:color w:val="auto"/>
        </w:rPr>
      </w:pPr>
    </w:p>
    <w:p>
      <w:pPr>
        <w:jc w:val="both"/>
        <w:ind w:right="80" w:firstLine="307"/>
        <w:spacing w:after="0" w:line="289" w:lineRule="auto"/>
        <w:rPr>
          <w:sz w:val="20"/>
          <w:szCs w:val="20"/>
          <w:color w:val="auto"/>
        </w:rPr>
      </w:pPr>
      <w:r>
        <w:rPr>
          <w:rFonts w:ascii="Times New Roman" w:cs="Times New Roman" w:eastAsia="Times New Roman" w:hAnsi="Times New Roman"/>
          <w:sz w:val="14"/>
          <w:szCs w:val="14"/>
          <w:color w:val="auto"/>
        </w:rPr>
        <w:t>The Credit Agreement contains certain mandatory prepayment provisions in the event that we incur certain types of indebtedness, receive net cash proceeds from certain non-ordinary course asset sales or other dispositions of property, or have excess cash flow (calculated on an annual basis with the required prepayment equal to 50%, 25% or 0% of such</w:t>
      </w:r>
    </w:p>
    <w:p>
      <w:pPr>
        <w:spacing w:after="0" w:line="241"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171450</wp:posOffset>
            </wp:positionV>
            <wp:extent cx="7186930"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360"/>
          </w:cols>
          <w:pgMar w:left="300" w:top="902" w:right="2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4"/>
          <w:szCs w:val="14"/>
          <w:color w:val="auto"/>
        </w:rPr>
        <w:t>excess cash flow, subject to compliance with certain leverage ratios), in each case subject to terms and conditions customary for financings of this kind.</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Certain Covenants</w:t>
      </w:r>
    </w:p>
    <w:p>
      <w:pPr>
        <w:spacing w:after="0" w:line="152" w:lineRule="exact"/>
        <w:rPr>
          <w:sz w:val="20"/>
          <w:szCs w:val="20"/>
          <w:color w:val="auto"/>
        </w:rPr>
      </w:pPr>
    </w:p>
    <w:p>
      <w:pPr>
        <w:jc w:val="both"/>
        <w:ind w:firstLine="307"/>
        <w:spacing w:after="0" w:line="265" w:lineRule="auto"/>
        <w:rPr>
          <w:sz w:val="20"/>
          <w:szCs w:val="20"/>
          <w:color w:val="auto"/>
        </w:rPr>
      </w:pPr>
      <w:r>
        <w:rPr>
          <w:rFonts w:ascii="Times New Roman" w:cs="Times New Roman" w:eastAsia="Times New Roman" w:hAnsi="Times New Roman"/>
          <w:sz w:val="14"/>
          <w:szCs w:val="14"/>
          <w:color w:val="auto"/>
        </w:rPr>
        <w:t>The Credit Agreement contains certain affirmative and negative covenants customary for financings of this type. The Revolving Facility also contains a financial covenant requiring the maintenance of a consolidated total leverage ratio of not greater than 4.7 times as of the end of each fiscal quarter if, on the last day of any such fiscal quarter, the aggregate amount of loans and letters of credit (excluding backstopped or cash collateralized letters of credit and other letters of credit with an aggregate face amount not exceeding $30 million) outstanding under the Revolving Facility exceeds 35% of the aggregate commitments in effect thereunder on such date. As of March 31, 2024, the Company was in compliance with all covenants.</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15. Equity</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Preferred Stock</w:t>
      </w:r>
    </w:p>
    <w:p>
      <w:pPr>
        <w:spacing w:after="0" w:line="152" w:lineRule="exact"/>
        <w:rPr>
          <w:sz w:val="20"/>
          <w:szCs w:val="20"/>
          <w:color w:val="auto"/>
        </w:rPr>
      </w:pPr>
    </w:p>
    <w:p>
      <w:pPr>
        <w:jc w:val="both"/>
        <w:ind w:firstLine="307"/>
        <w:spacing w:after="0" w:line="271" w:lineRule="auto"/>
        <w:rPr>
          <w:sz w:val="20"/>
          <w:szCs w:val="20"/>
          <w:color w:val="auto"/>
        </w:rPr>
      </w:pPr>
      <w:r>
        <w:rPr>
          <w:rFonts w:ascii="Times New Roman" w:cs="Times New Roman" w:eastAsia="Times New Roman" w:hAnsi="Times New Roman"/>
          <w:sz w:val="14"/>
          <w:szCs w:val="14"/>
          <w:color w:val="auto"/>
        </w:rPr>
        <w:t>On April 12, 2023 the Company entered into separate definitive agreements with each of Centerbridge Partners, L.P. and funds managed by Oaktree Capital Management, L.P. to effect a series of integrated transactions (collectively the “Transaction”) designed to increase the attractiveness of the Company to investors, including by simplifying the Company’s capital structure by converting all outstanding Series A Preferred Stock into a single class of Common Stock, subject to certain conditions.</w:t>
      </w:r>
    </w:p>
    <w:p>
      <w:pPr>
        <w:spacing w:after="0" w:line="102" w:lineRule="exact"/>
        <w:rPr>
          <w:sz w:val="20"/>
          <w:szCs w:val="20"/>
          <w:color w:val="auto"/>
        </w:rPr>
      </w:pPr>
    </w:p>
    <w:p>
      <w:pPr>
        <w:jc w:val="both"/>
        <w:ind w:firstLine="307"/>
        <w:spacing w:after="0" w:line="292" w:lineRule="auto"/>
        <w:rPr>
          <w:sz w:val="20"/>
          <w:szCs w:val="20"/>
          <w:color w:val="auto"/>
        </w:rPr>
      </w:pPr>
      <w:r>
        <w:rPr>
          <w:rFonts w:ascii="Times New Roman" w:cs="Times New Roman" w:eastAsia="Times New Roman" w:hAnsi="Times New Roman"/>
          <w:sz w:val="14"/>
          <w:szCs w:val="14"/>
          <w:color w:val="auto"/>
        </w:rPr>
        <w:t xml:space="preserve">On June 6, 2023, the Company completed all steps of the Transaction and with no remaining shares of Series A Preferred Stock outstanding as of the date. Please refer to Note 21, </w:t>
      </w:r>
      <w:r>
        <w:rPr>
          <w:rFonts w:ascii="Times New Roman" w:cs="Times New Roman" w:eastAsia="Times New Roman" w:hAnsi="Times New Roman"/>
          <w:sz w:val="14"/>
          <w:szCs w:val="14"/>
          <w:i w:val="1"/>
          <w:iCs w:val="1"/>
          <w:color w:val="auto"/>
        </w:rPr>
        <w:t>Equity</w:t>
      </w:r>
      <w:r>
        <w:rPr>
          <w:rFonts w:ascii="Times New Roman" w:cs="Times New Roman" w:eastAsia="Times New Roman" w:hAnsi="Times New Roman"/>
          <w:sz w:val="14"/>
          <w:szCs w:val="14"/>
          <w:color w:val="auto"/>
        </w:rPr>
        <w:t>, to the Consolidated Financial Statements for the year ended December 31, 2023 included in our 2023 Form 10-K.</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Treasury Stock</w:t>
      </w:r>
    </w:p>
    <w:p>
      <w:pPr>
        <w:spacing w:after="0" w:line="152" w:lineRule="exact"/>
        <w:rPr>
          <w:sz w:val="20"/>
          <w:szCs w:val="20"/>
          <w:color w:val="auto"/>
        </w:rPr>
      </w:pPr>
    </w:p>
    <w:p>
      <w:pPr>
        <w:jc w:val="both"/>
        <w:ind w:firstLine="307"/>
        <w:spacing w:after="0" w:line="265" w:lineRule="auto"/>
        <w:rPr>
          <w:sz w:val="20"/>
          <w:szCs w:val="20"/>
          <w:color w:val="auto"/>
        </w:rPr>
      </w:pPr>
      <w:r>
        <w:rPr>
          <w:rFonts w:ascii="Times New Roman" w:cs="Times New Roman" w:eastAsia="Times New Roman" w:hAnsi="Times New Roman"/>
          <w:sz w:val="14"/>
          <w:szCs w:val="14"/>
          <w:color w:val="auto"/>
        </w:rPr>
        <w:t>Treasury stock represents shares of the Company's Common Stock that have been issued and subsequently repurchased by the Company or withheld to satisfy withholding tax obligations in connection with equity award vestings, and that have not been retired or cancelled. The Company accounts for treasury stock under the cost method and includes treasury stock as a component of Equity (Deficit) on the Consolidated Interim Balance Sheet. The Company accounts for the reissuance of treasury stock using the average cost method. The Company did not reissue or retire any shares of treasury stock during the three months ended March 31, 2024.</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Share Repurchase Program</w:t>
      </w:r>
    </w:p>
    <w:p>
      <w:pPr>
        <w:spacing w:after="0" w:line="162" w:lineRule="exact"/>
        <w:rPr>
          <w:sz w:val="20"/>
          <w:szCs w:val="20"/>
          <w:color w:val="auto"/>
        </w:rPr>
      </w:pPr>
    </w:p>
    <w:p>
      <w:pPr>
        <w:jc w:val="both"/>
        <w:ind w:firstLine="307"/>
        <w:spacing w:after="0" w:line="262" w:lineRule="auto"/>
        <w:rPr>
          <w:sz w:val="20"/>
          <w:szCs w:val="20"/>
          <w:color w:val="auto"/>
        </w:rPr>
      </w:pPr>
      <w:r>
        <w:rPr>
          <w:rFonts w:ascii="Times New Roman" w:cs="Times New Roman" w:eastAsia="Times New Roman" w:hAnsi="Times New Roman"/>
          <w:sz w:val="14"/>
          <w:szCs w:val="14"/>
          <w:color w:val="auto"/>
        </w:rPr>
        <w:t>On February 12, 2024, the Board of Directors authorized a new $350 million share repurchase program valid until December 31, 2024. The Company may repurchase shares from time to time under the program through various methods, including in open market transactions, block trades, privately negotiated transactions, and otherwise. The timing, as well as the number and value of shares repurchased under the program, will depend on a variety of factors. The Company is not obligated to purchase any shares under the repurchase program, and the program may be suspended, modified, or discontinued at any time without prior notice. As of March 31, 2024, the Company has repurchased $109 million of Common Stock, with $241 million remaining under the share repurchase program. These shares are held as treasury stock.</w:t>
      </w: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16. Financial Instruments and Fair Value Measures</w:t>
      </w:r>
    </w:p>
    <w:p>
      <w:pPr>
        <w:spacing w:after="0" w:line="148" w:lineRule="exact"/>
        <w:rPr>
          <w:sz w:val="20"/>
          <w:szCs w:val="20"/>
          <w:color w:val="auto"/>
        </w:rPr>
      </w:pPr>
    </w:p>
    <w:p>
      <w:pPr>
        <w:jc w:val="both"/>
        <w:ind w:firstLine="307"/>
        <w:spacing w:after="0" w:line="266" w:lineRule="auto"/>
        <w:rPr>
          <w:sz w:val="20"/>
          <w:szCs w:val="20"/>
          <w:color w:val="auto"/>
        </w:rPr>
      </w:pPr>
      <w:r>
        <w:rPr>
          <w:rFonts w:ascii="Times New Roman" w:cs="Times New Roman" w:eastAsia="Times New Roman" w:hAnsi="Times New Roman"/>
          <w:sz w:val="14"/>
          <w:szCs w:val="14"/>
          <w:color w:val="auto"/>
        </w:rPr>
        <w:t xml:space="preserve">Our credit, market and foreign currency risk management policies are described in Note 19, </w:t>
      </w:r>
      <w:r>
        <w:rPr>
          <w:rFonts w:ascii="Times New Roman" w:cs="Times New Roman" w:eastAsia="Times New Roman" w:hAnsi="Times New Roman"/>
          <w:sz w:val="14"/>
          <w:szCs w:val="14"/>
          <w:i w:val="1"/>
          <w:iCs w:val="1"/>
          <w:color w:val="auto"/>
        </w:rPr>
        <w:t>Financial Instruments and Fair Value Measures</w:t>
      </w:r>
      <w:r>
        <w:rPr>
          <w:rFonts w:ascii="Times New Roman" w:cs="Times New Roman" w:eastAsia="Times New Roman" w:hAnsi="Times New Roman"/>
          <w:sz w:val="14"/>
          <w:szCs w:val="14"/>
          <w:color w:val="auto"/>
        </w:rPr>
        <w:t>, to the Consolidated Financial Statements for the year ended December 31, 2023 included in our 2023 Form 10-K. As of March 31, 2024 and December 31, 2023, we had contracts with aggregate gross notional amounts of $969 million and $1,171 million, respectively, to hedge foreign currencies, principally the U.S. Dollar, Swiss Franc, British Pound, Euro, Chinese Yuan, Japanese Yen, Mexican Peso, New Romanian Leu, Czech Koruna, Australian Dollar and Korean Won.</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Fair Value of Financial Instruments</w:t>
      </w:r>
    </w:p>
    <w:p>
      <w:pPr>
        <w:spacing w:after="0" w:line="162" w:lineRule="exact"/>
        <w:rPr>
          <w:sz w:val="20"/>
          <w:szCs w:val="20"/>
          <w:color w:val="auto"/>
        </w:rPr>
      </w:pPr>
    </w:p>
    <w:p>
      <w:pPr>
        <w:jc w:val="both"/>
        <w:ind w:firstLine="307"/>
        <w:spacing w:after="0" w:line="289" w:lineRule="auto"/>
        <w:rPr>
          <w:sz w:val="20"/>
          <w:szCs w:val="20"/>
          <w:color w:val="auto"/>
        </w:rPr>
      </w:pPr>
      <w:r>
        <w:rPr>
          <w:rFonts w:ascii="Times New Roman" w:cs="Times New Roman" w:eastAsia="Times New Roman" w:hAnsi="Times New Roman"/>
          <w:sz w:val="14"/>
          <w:szCs w:val="14"/>
          <w:color w:val="auto"/>
        </w:rPr>
        <w:t>The FASB’s accounting guidance defines fair value as the price that would be received to sell an asset or paid to transfer a liability in an orderly transaction between market participants at the measurement date (exit price). Financial and</w:t>
      </w:r>
    </w:p>
    <w:p>
      <w:pPr>
        <w:spacing w:after="0" w:line="230"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178435</wp:posOffset>
            </wp:positionV>
            <wp:extent cx="7186930"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02" w:right="319" w:bottom="1440" w:gutter="0" w:footer="0" w:header="0"/>
        </w:sectPr>
      </w:pPr>
    </w:p>
    <w:bookmarkStart w:id="16" w:name="page17"/>
    <w:bookmarkEnd w:id="16"/>
    <w:p>
      <w:pPr>
        <w:jc w:val="both"/>
        <w:spacing w:after="0" w:line="289" w:lineRule="auto"/>
        <w:rPr>
          <w:sz w:val="20"/>
          <w:szCs w:val="20"/>
          <w:color w:val="auto"/>
        </w:rPr>
      </w:pPr>
      <w:r>
        <w:rPr>
          <w:rFonts w:ascii="Times New Roman" w:cs="Times New Roman" w:eastAsia="Times New Roman" w:hAnsi="Times New Roman"/>
          <w:sz w:val="14"/>
          <w:szCs w:val="14"/>
          <w:color w:val="auto"/>
        </w:rPr>
        <w:t>nonfinancial assets and liabilities are classified in their entirety based on the lowest level of input that is significant to the fair value measurement. The following table sets forth the Company’s financial assets and liabilities that were accounted for at fair value on a recurring basis as of March 31, 2024 and December 31, 2023:</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29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1"/>
                <w:szCs w:val="11"/>
                <w:b w:val="1"/>
                <w:bCs w:val="1"/>
                <w:color w:val="auto"/>
              </w:rPr>
              <w:t>Fair Value</w:t>
            </w:r>
          </w:p>
        </w:tc>
        <w:tc>
          <w:tcPr>
            <w:tcW w:w="9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2940" w:type="dxa"/>
            <w:vAlign w:val="bottom"/>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4"/>
          </w:tcPr>
          <w:p>
            <w:pPr>
              <w:jc w:val="right"/>
              <w:ind w:right="771"/>
              <w:spacing w:after="0"/>
              <w:rPr>
                <w:sz w:val="20"/>
                <w:szCs w:val="20"/>
                <w:color w:val="auto"/>
              </w:rPr>
            </w:pPr>
            <w:r>
              <w:rPr>
                <w:rFonts w:ascii="Times New Roman" w:cs="Times New Roman" w:eastAsia="Times New Roman" w:hAnsi="Times New Roman"/>
                <w:sz w:val="11"/>
                <w:szCs w:val="11"/>
                <w:b w:val="1"/>
                <w:bCs w:val="1"/>
                <w:color w:val="auto"/>
              </w:rPr>
              <w:t>Notional Amounts</w:t>
            </w:r>
          </w:p>
        </w:tc>
        <w:tc>
          <w:tcPr>
            <w:tcW w:w="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1"/>
                <w:szCs w:val="11"/>
                <w:b w:val="1"/>
                <w:bCs w:val="1"/>
                <w:color w:val="auto"/>
              </w:rPr>
              <w:t>Assets</w:t>
            </w:r>
          </w:p>
        </w:tc>
        <w:tc>
          <w:tcPr>
            <w:tcW w:w="110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260" w:type="dxa"/>
            <w:vAlign w:val="bottom"/>
            <w:tcBorders>
              <w:bottom w:val="single" w:sz="8" w:color="auto"/>
            </w:tcBorders>
            <w:gridSpan w:val="4"/>
          </w:tcPr>
          <w:p>
            <w:pPr>
              <w:jc w:val="right"/>
              <w:ind w:right="971"/>
              <w:spacing w:after="0"/>
              <w:rPr>
                <w:sz w:val="20"/>
                <w:szCs w:val="20"/>
                <w:color w:val="auto"/>
              </w:rPr>
            </w:pPr>
            <w:r>
              <w:rPr>
                <w:rFonts w:ascii="Times New Roman" w:cs="Times New Roman" w:eastAsia="Times New Roman" w:hAnsi="Times New Roman"/>
                <w:sz w:val="11"/>
                <w:szCs w:val="11"/>
                <w:b w:val="1"/>
                <w:bCs w:val="1"/>
                <w:color w:val="auto"/>
              </w:rPr>
              <w:t>Liabilities</w:t>
            </w: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6"/>
        </w:trPr>
        <w:tc>
          <w:tcPr>
            <w:tcW w:w="2940" w:type="dxa"/>
            <w:vAlign w:val="bottom"/>
          </w:tcPr>
          <w:p>
            <w:pPr>
              <w:spacing w:after="0"/>
              <w:rPr>
                <w:sz w:val="9"/>
                <w:szCs w:val="9"/>
                <w:color w:val="auto"/>
              </w:rPr>
            </w:pPr>
          </w:p>
        </w:tc>
        <w:tc>
          <w:tcPr>
            <w:tcW w:w="1320" w:type="dxa"/>
            <w:vAlign w:val="bottom"/>
            <w:gridSpan w:val="3"/>
          </w:tcPr>
          <w:p>
            <w:pPr>
              <w:ind w:left="380"/>
              <w:spacing w:after="0" w:line="107" w:lineRule="exact"/>
              <w:rPr>
                <w:sz w:val="20"/>
                <w:szCs w:val="20"/>
                <w:color w:val="auto"/>
              </w:rPr>
            </w:pPr>
            <w:r>
              <w:rPr>
                <w:rFonts w:ascii="Times New Roman" w:cs="Times New Roman" w:eastAsia="Times New Roman" w:hAnsi="Times New Roman"/>
                <w:sz w:val="11"/>
                <w:szCs w:val="11"/>
                <w:b w:val="1"/>
                <w:bCs w:val="1"/>
                <w:color w:val="auto"/>
              </w:rPr>
              <w:t>March 31,</w:t>
            </w:r>
          </w:p>
        </w:tc>
        <w:tc>
          <w:tcPr>
            <w:tcW w:w="140" w:type="dxa"/>
            <w:vAlign w:val="bottom"/>
          </w:tcPr>
          <w:p>
            <w:pPr>
              <w:spacing w:after="0"/>
              <w:rPr>
                <w:sz w:val="9"/>
                <w:szCs w:val="9"/>
                <w:color w:val="auto"/>
              </w:rPr>
            </w:pPr>
          </w:p>
        </w:tc>
        <w:tc>
          <w:tcPr>
            <w:tcW w:w="1200" w:type="dxa"/>
            <w:vAlign w:val="bottom"/>
            <w:gridSpan w:val="2"/>
            <w:vMerge w:val="restart"/>
          </w:tcPr>
          <w:p>
            <w:pPr>
              <w:ind w:left="40"/>
              <w:spacing w:after="0"/>
              <w:rPr>
                <w:sz w:val="20"/>
                <w:szCs w:val="20"/>
                <w:color w:val="auto"/>
              </w:rPr>
            </w:pPr>
            <w:r>
              <w:rPr>
                <w:rFonts w:ascii="Times New Roman" w:cs="Times New Roman" w:eastAsia="Times New Roman" w:hAnsi="Times New Roman"/>
                <w:sz w:val="11"/>
                <w:szCs w:val="11"/>
                <w:b w:val="1"/>
                <w:bCs w:val="1"/>
                <w:color w:val="auto"/>
              </w:rPr>
              <w:t>December 31, 2023</w:t>
            </w:r>
          </w:p>
        </w:tc>
        <w:tc>
          <w:tcPr>
            <w:tcW w:w="220" w:type="dxa"/>
            <w:vAlign w:val="bottom"/>
          </w:tcPr>
          <w:p>
            <w:pPr>
              <w:spacing w:after="0"/>
              <w:rPr>
                <w:sz w:val="9"/>
                <w:szCs w:val="9"/>
                <w:color w:val="auto"/>
              </w:rPr>
            </w:pPr>
          </w:p>
        </w:tc>
        <w:tc>
          <w:tcPr>
            <w:tcW w:w="1100" w:type="dxa"/>
            <w:vAlign w:val="bottom"/>
            <w:gridSpan w:val="2"/>
          </w:tcPr>
          <w:p>
            <w:pPr>
              <w:ind w:left="140"/>
              <w:spacing w:after="0" w:line="107" w:lineRule="exact"/>
              <w:rPr>
                <w:sz w:val="20"/>
                <w:szCs w:val="20"/>
                <w:color w:val="auto"/>
              </w:rPr>
            </w:pPr>
            <w:r>
              <w:rPr>
                <w:rFonts w:ascii="Times New Roman" w:cs="Times New Roman" w:eastAsia="Times New Roman" w:hAnsi="Times New Roman"/>
                <w:sz w:val="11"/>
                <w:szCs w:val="11"/>
                <w:b w:val="1"/>
                <w:bCs w:val="1"/>
                <w:color w:val="auto"/>
              </w:rPr>
              <w:t>March 31,</w:t>
            </w:r>
          </w:p>
        </w:tc>
        <w:tc>
          <w:tcPr>
            <w:tcW w:w="120" w:type="dxa"/>
            <w:vAlign w:val="bottom"/>
          </w:tcPr>
          <w:p>
            <w:pPr>
              <w:spacing w:after="0"/>
              <w:rPr>
                <w:sz w:val="9"/>
                <w:szCs w:val="9"/>
                <w:color w:val="auto"/>
              </w:rPr>
            </w:pPr>
          </w:p>
        </w:tc>
        <w:tc>
          <w:tcPr>
            <w:tcW w:w="1100" w:type="dxa"/>
            <w:vAlign w:val="bottom"/>
            <w:vMerge w:val="restart"/>
          </w:tcPr>
          <w:p>
            <w:pPr>
              <w:jc w:val="right"/>
              <w:ind w:right="91"/>
              <w:spacing w:after="0"/>
              <w:rPr>
                <w:sz w:val="20"/>
                <w:szCs w:val="20"/>
                <w:color w:val="auto"/>
              </w:rPr>
            </w:pPr>
            <w:r>
              <w:rPr>
                <w:rFonts w:ascii="Times New Roman" w:cs="Times New Roman" w:eastAsia="Times New Roman" w:hAnsi="Times New Roman"/>
                <w:sz w:val="11"/>
                <w:szCs w:val="11"/>
                <w:b w:val="1"/>
                <w:bCs w:val="1"/>
                <w:color w:val="auto"/>
              </w:rPr>
              <w:t>December 31, 2023</w:t>
            </w:r>
          </w:p>
        </w:tc>
        <w:tc>
          <w:tcPr>
            <w:tcW w:w="2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0" w:type="dxa"/>
            <w:vAlign w:val="bottom"/>
            <w:gridSpan w:val="2"/>
          </w:tcPr>
          <w:p>
            <w:pPr>
              <w:ind w:left="60"/>
              <w:spacing w:after="0" w:line="107" w:lineRule="exact"/>
              <w:rPr>
                <w:sz w:val="20"/>
                <w:szCs w:val="20"/>
                <w:color w:val="auto"/>
              </w:rPr>
            </w:pPr>
            <w:r>
              <w:rPr>
                <w:rFonts w:ascii="Times New Roman" w:cs="Times New Roman" w:eastAsia="Times New Roman" w:hAnsi="Times New Roman"/>
                <w:sz w:val="11"/>
                <w:szCs w:val="11"/>
                <w:b w:val="1"/>
                <w:bCs w:val="1"/>
                <w:color w:val="auto"/>
              </w:rPr>
              <w:t>March 31,</w:t>
            </w:r>
          </w:p>
        </w:tc>
        <w:tc>
          <w:tcPr>
            <w:tcW w:w="140" w:type="dxa"/>
            <w:vAlign w:val="bottom"/>
          </w:tcPr>
          <w:p>
            <w:pPr>
              <w:spacing w:after="0"/>
              <w:rPr>
                <w:sz w:val="9"/>
                <w:szCs w:val="9"/>
                <w:color w:val="auto"/>
              </w:rPr>
            </w:pPr>
          </w:p>
        </w:tc>
        <w:tc>
          <w:tcPr>
            <w:tcW w:w="1120" w:type="dxa"/>
            <w:vAlign w:val="bottom"/>
            <w:vMerge w:val="restart"/>
          </w:tcPr>
          <w:p>
            <w:pPr>
              <w:jc w:val="right"/>
              <w:ind w:right="111"/>
              <w:spacing w:after="0"/>
              <w:rPr>
                <w:sz w:val="20"/>
                <w:szCs w:val="20"/>
                <w:color w:val="auto"/>
              </w:rPr>
            </w:pPr>
            <w:r>
              <w:rPr>
                <w:rFonts w:ascii="Times New Roman" w:cs="Times New Roman" w:eastAsia="Times New Roman" w:hAnsi="Times New Roman"/>
                <w:sz w:val="11"/>
                <w:szCs w:val="11"/>
                <w:b w:val="1"/>
                <w:bCs w:val="1"/>
                <w:color w:val="auto"/>
              </w:rPr>
              <w:t>December 31, 2023</w:t>
            </w:r>
          </w:p>
        </w:tc>
        <w:tc>
          <w:tcPr>
            <w:tcW w:w="2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0"/>
        </w:trPr>
        <w:tc>
          <w:tcPr>
            <w:tcW w:w="294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2024</w:t>
            </w: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gridSpan w:val="2"/>
            <w:vMerge w:val="continue"/>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jc w:val="right"/>
              <w:ind w:right="453"/>
              <w:spacing w:after="0"/>
              <w:rPr>
                <w:sz w:val="20"/>
                <w:szCs w:val="20"/>
                <w:color w:val="auto"/>
              </w:rPr>
            </w:pPr>
            <w:r>
              <w:rPr>
                <w:rFonts w:ascii="Times New Roman" w:cs="Times New Roman" w:eastAsia="Times New Roman" w:hAnsi="Times New Roman"/>
                <w:sz w:val="11"/>
                <w:szCs w:val="11"/>
                <w:b w:val="1"/>
                <w:bCs w:val="1"/>
                <w:color w:val="auto"/>
              </w:rPr>
              <w:t>2024</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vMerge w:val="continue"/>
          </w:tcPr>
          <w:p>
            <w:pPr>
              <w:spacing w:after="0"/>
              <w:rPr>
                <w:sz w:val="13"/>
                <w:szCs w:val="13"/>
                <w:color w:val="auto"/>
              </w:rPr>
            </w:pPr>
          </w:p>
        </w:tc>
        <w:tc>
          <w:tcPr>
            <w:tcW w:w="2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20" w:type="dxa"/>
            <w:vAlign w:val="bottom"/>
          </w:tcPr>
          <w:p>
            <w:pPr>
              <w:jc w:val="right"/>
              <w:ind w:right="433"/>
              <w:spacing w:after="0"/>
              <w:rPr>
                <w:sz w:val="20"/>
                <w:szCs w:val="20"/>
                <w:color w:val="auto"/>
              </w:rPr>
            </w:pPr>
            <w:r>
              <w:rPr>
                <w:rFonts w:ascii="Times New Roman" w:cs="Times New Roman" w:eastAsia="Times New Roman" w:hAnsi="Times New Roman"/>
                <w:sz w:val="11"/>
                <w:szCs w:val="11"/>
                <w:b w:val="1"/>
                <w:bCs w:val="1"/>
                <w:color w:val="auto"/>
              </w:rPr>
              <w:t>2024</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vMerge w:val="continue"/>
          </w:tcPr>
          <w:p>
            <w:pPr>
              <w:spacing w:after="0"/>
              <w:rPr>
                <w:sz w:val="13"/>
                <w:szCs w:val="13"/>
                <w:color w:val="auto"/>
              </w:rPr>
            </w:pPr>
          </w:p>
        </w:tc>
        <w:tc>
          <w:tcPr>
            <w:tcW w:w="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294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Designated instruments:</w:t>
            </w:r>
          </w:p>
        </w:tc>
        <w:tc>
          <w:tcPr>
            <w:tcW w:w="800" w:type="dxa"/>
            <w:vAlign w:val="bottom"/>
            <w:tcBorders>
              <w:top w:val="single" w:sz="8" w:color="auto"/>
            </w:tcBorders>
          </w:tcPr>
          <w:p>
            <w:pPr>
              <w:spacing w:after="0"/>
              <w:rPr>
                <w:sz w:val="14"/>
                <w:szCs w:val="14"/>
                <w:color w:val="auto"/>
              </w:rPr>
            </w:pPr>
          </w:p>
        </w:tc>
        <w:tc>
          <w:tcPr>
            <w:tcW w:w="44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12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120" w:type="dxa"/>
            <w:vAlign w:val="bottom"/>
            <w:tcBorders>
              <w:top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2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Designated forward currency exchange contracts</w:t>
            </w:r>
          </w:p>
        </w:tc>
        <w:tc>
          <w:tcPr>
            <w:tcW w:w="800" w:type="dxa"/>
            <w:vAlign w:val="bottom"/>
            <w:shd w:val="clear" w:color="auto" w:fill="CCEEFF"/>
          </w:tcPr>
          <w:p>
            <w:pPr>
              <w:jc w:val="right"/>
              <w:ind w:right="656"/>
              <w:spacing w:after="0"/>
              <w:rPr>
                <w:sz w:val="20"/>
                <w:szCs w:val="20"/>
                <w:color w:val="auto"/>
              </w:rPr>
            </w:pPr>
            <w:r>
              <w:rPr>
                <w:rFonts w:ascii="Times New Roman" w:cs="Times New Roman" w:eastAsia="Times New Roman" w:hAnsi="Times New Roman"/>
                <w:sz w:val="14"/>
                <w:szCs w:val="14"/>
                <w:color w:val="auto"/>
                <w:w w:val="85"/>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419</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456</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 xml:space="preserve">(a)    </w:t>
            </w:r>
            <w:r>
              <w:rPr>
                <w:rFonts w:ascii="Times New Roman" w:cs="Times New Roman" w:eastAsia="Times New Roman" w:hAnsi="Times New Roman"/>
                <w:sz w:val="14"/>
                <w:szCs w:val="14"/>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28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color w:val="auto"/>
              </w:rPr>
              <w:t>(c)</w:t>
            </w:r>
          </w:p>
        </w:tc>
        <w:tc>
          <w:tcPr>
            <w:tcW w:w="0" w:type="dxa"/>
            <w:vAlign w:val="bottom"/>
          </w:tcPr>
          <w:p>
            <w:pPr>
              <w:spacing w:after="0"/>
              <w:rPr>
                <w:sz w:val="1"/>
                <w:szCs w:val="1"/>
                <w:color w:val="auto"/>
              </w:rPr>
            </w:pPr>
          </w:p>
        </w:tc>
      </w:tr>
      <w:tr>
        <w:trPr>
          <w:trHeight w:val="181"/>
        </w:trPr>
        <w:tc>
          <w:tcPr>
            <w:tcW w:w="2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Designated cross-currency swaps</w:t>
            </w:r>
          </w:p>
        </w:tc>
        <w:tc>
          <w:tcPr>
            <w:tcW w:w="80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1,015</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1,015</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w:t>
            </w:r>
          </w:p>
        </w:tc>
        <w:tc>
          <w:tcPr>
            <w:tcW w:w="600" w:type="dxa"/>
            <w:vAlign w:val="bottom"/>
            <w:gridSpan w:val="2"/>
          </w:tcPr>
          <w:p>
            <w:pPr>
              <w:ind w:left="20"/>
              <w:spacing w:after="0"/>
              <w:rPr>
                <w:sz w:val="20"/>
                <w:szCs w:val="20"/>
                <w:color w:val="auto"/>
              </w:rPr>
            </w:pPr>
            <w:r>
              <w:rPr>
                <w:rFonts w:ascii="Times New Roman" w:cs="Times New Roman" w:eastAsia="Times New Roman" w:hAnsi="Times New Roman"/>
                <w:sz w:val="10"/>
                <w:szCs w:val="10"/>
                <w:color w:val="auto"/>
              </w:rPr>
              <w:t>(b)</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280" w:type="dxa"/>
            <w:vAlign w:val="bottom"/>
          </w:tcPr>
          <w:p>
            <w:pPr>
              <w:spacing w:after="0"/>
              <w:rPr>
                <w:sz w:val="20"/>
                <w:szCs w:val="20"/>
                <w:color w:val="auto"/>
              </w:rPr>
            </w:pPr>
            <w:r>
              <w:rPr>
                <w:rFonts w:ascii="Times New Roman" w:cs="Times New Roman" w:eastAsia="Times New Roman" w:hAnsi="Times New Roman"/>
                <w:sz w:val="10"/>
                <w:szCs w:val="10"/>
                <w:color w:val="auto"/>
              </w:rPr>
              <w:t>(d)</w:t>
            </w:r>
          </w:p>
        </w:tc>
        <w:tc>
          <w:tcPr>
            <w:tcW w:w="0" w:type="dxa"/>
            <w:vAlign w:val="bottom"/>
          </w:tcPr>
          <w:p>
            <w:pPr>
              <w:spacing w:after="0"/>
              <w:rPr>
                <w:sz w:val="1"/>
                <w:szCs w:val="1"/>
                <w:color w:val="auto"/>
              </w:rPr>
            </w:pPr>
          </w:p>
        </w:tc>
      </w:tr>
      <w:tr>
        <w:trPr>
          <w:trHeight w:val="181"/>
        </w:trPr>
        <w:tc>
          <w:tcPr>
            <w:tcW w:w="2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Designated interest-rate swaps</w:t>
            </w:r>
          </w:p>
        </w:tc>
        <w:tc>
          <w:tcPr>
            <w:tcW w:w="80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2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designated instruments</w:t>
            </w:r>
          </w:p>
        </w:tc>
        <w:tc>
          <w:tcPr>
            <w:tcW w:w="800" w:type="dxa"/>
            <w:vAlign w:val="bottom"/>
            <w:tcBorders>
              <w:top w:val="single" w:sz="8" w:color="auto"/>
            </w:tcBorders>
          </w:tcPr>
          <w:p>
            <w:pPr>
              <w:spacing w:after="0"/>
              <w:rPr>
                <w:sz w:val="14"/>
                <w:szCs w:val="14"/>
                <w:color w:val="auto"/>
              </w:rPr>
            </w:pPr>
          </w:p>
        </w:tc>
        <w:tc>
          <w:tcPr>
            <w:tcW w:w="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1,634</w:t>
            </w:r>
          </w:p>
        </w:tc>
        <w:tc>
          <w:tcPr>
            <w:tcW w:w="8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1,671</w:t>
            </w:r>
          </w:p>
        </w:tc>
        <w:tc>
          <w:tcPr>
            <w:tcW w:w="8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68</w:t>
            </w:r>
          </w:p>
        </w:tc>
        <w:tc>
          <w:tcPr>
            <w:tcW w:w="8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48</w:t>
            </w:r>
          </w:p>
        </w:tc>
        <w:tc>
          <w:tcPr>
            <w:tcW w:w="280" w:type="dxa"/>
            <w:vAlign w:val="bottom"/>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8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2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i w:val="1"/>
                <w:iCs w:val="1"/>
                <w:color w:val="auto"/>
              </w:rPr>
              <w:t>Undesignated instruments:</w:t>
            </w:r>
          </w:p>
        </w:tc>
        <w:tc>
          <w:tcPr>
            <w:tcW w:w="8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Undesignated interest rate swaps</w:t>
            </w:r>
          </w:p>
        </w:tc>
        <w:tc>
          <w:tcPr>
            <w:tcW w:w="80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895</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917</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w:t>
            </w:r>
          </w:p>
        </w:tc>
        <w:tc>
          <w:tcPr>
            <w:tcW w:w="600" w:type="dxa"/>
            <w:vAlign w:val="bottom"/>
            <w:gridSpan w:val="2"/>
          </w:tcPr>
          <w:p>
            <w:pPr>
              <w:ind w:left="20"/>
              <w:spacing w:after="0"/>
              <w:rPr>
                <w:sz w:val="20"/>
                <w:szCs w:val="20"/>
                <w:color w:val="auto"/>
              </w:rPr>
            </w:pPr>
            <w:r>
              <w:rPr>
                <w:rFonts w:ascii="Times New Roman" w:cs="Times New Roman" w:eastAsia="Times New Roman" w:hAnsi="Times New Roman"/>
                <w:sz w:val="10"/>
                <w:szCs w:val="10"/>
                <w:color w:val="auto"/>
              </w:rPr>
              <w:t>(b)</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280" w:type="dxa"/>
            <w:vAlign w:val="bottom"/>
          </w:tcPr>
          <w:p>
            <w:pPr>
              <w:spacing w:after="0"/>
              <w:rPr>
                <w:sz w:val="20"/>
                <w:szCs w:val="20"/>
                <w:color w:val="auto"/>
              </w:rPr>
            </w:pPr>
            <w:r>
              <w:rPr>
                <w:rFonts w:ascii="Times New Roman" w:cs="Times New Roman" w:eastAsia="Times New Roman" w:hAnsi="Times New Roman"/>
                <w:sz w:val="10"/>
                <w:szCs w:val="10"/>
                <w:color w:val="auto"/>
              </w:rPr>
              <w:t>(d)</w:t>
            </w:r>
          </w:p>
        </w:tc>
        <w:tc>
          <w:tcPr>
            <w:tcW w:w="0" w:type="dxa"/>
            <w:vAlign w:val="bottom"/>
          </w:tcPr>
          <w:p>
            <w:pPr>
              <w:spacing w:after="0"/>
              <w:rPr>
                <w:sz w:val="1"/>
                <w:szCs w:val="1"/>
                <w:color w:val="auto"/>
              </w:rPr>
            </w:pPr>
          </w:p>
        </w:tc>
      </w:tr>
      <w:tr>
        <w:trPr>
          <w:trHeight w:val="138"/>
        </w:trPr>
        <w:tc>
          <w:tcPr>
            <w:tcW w:w="2940" w:type="dxa"/>
            <w:vAlign w:val="bottom"/>
            <w:shd w:val="clear" w:color="auto" w:fill="CCEEFF"/>
          </w:tcPr>
          <w:p>
            <w:pPr>
              <w:ind w:left="20"/>
              <w:spacing w:after="0" w:line="139" w:lineRule="exact"/>
              <w:rPr>
                <w:sz w:val="20"/>
                <w:szCs w:val="20"/>
                <w:color w:val="auto"/>
              </w:rPr>
            </w:pPr>
            <w:r>
              <w:rPr>
                <w:rFonts w:ascii="Times New Roman" w:cs="Times New Roman" w:eastAsia="Times New Roman" w:hAnsi="Times New Roman"/>
                <w:sz w:val="14"/>
                <w:szCs w:val="14"/>
                <w:color w:val="auto"/>
              </w:rPr>
              <w:t>Undesignated forward currency exchange</w:t>
            </w:r>
          </w:p>
        </w:tc>
        <w:tc>
          <w:tcPr>
            <w:tcW w:w="8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2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contracts</w:t>
            </w:r>
          </w:p>
        </w:tc>
        <w:tc>
          <w:tcPr>
            <w:tcW w:w="800" w:type="dxa"/>
            <w:vAlign w:val="bottom"/>
            <w:shd w:val="clear" w:color="auto" w:fill="CCEEFF"/>
          </w:tcPr>
          <w:p>
            <w:pPr>
              <w:spacing w:after="0"/>
              <w:rPr>
                <w:sz w:val="16"/>
                <w:szCs w:val="16"/>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550</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715</w:t>
            </w: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(a)</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28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color w:val="auto"/>
              </w:rPr>
              <w:t>(c)</w:t>
            </w:r>
          </w:p>
        </w:tc>
        <w:tc>
          <w:tcPr>
            <w:tcW w:w="0" w:type="dxa"/>
            <w:vAlign w:val="bottom"/>
          </w:tcPr>
          <w:p>
            <w:pPr>
              <w:spacing w:after="0"/>
              <w:rPr>
                <w:sz w:val="1"/>
                <w:szCs w:val="1"/>
                <w:color w:val="auto"/>
              </w:rPr>
            </w:pPr>
          </w:p>
        </w:tc>
      </w:tr>
      <w:tr>
        <w:trPr>
          <w:trHeight w:val="172"/>
        </w:trPr>
        <w:tc>
          <w:tcPr>
            <w:tcW w:w="2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Total undesignated instruments</w:t>
            </w:r>
          </w:p>
        </w:tc>
        <w:tc>
          <w:tcPr>
            <w:tcW w:w="800" w:type="dxa"/>
            <w:vAlign w:val="bottom"/>
            <w:tcBorders>
              <w:top w:val="single" w:sz="8" w:color="auto"/>
              <w:bottom w:val="single" w:sz="8" w:color="auto"/>
            </w:tcBorders>
          </w:tcPr>
          <w:p>
            <w:pPr>
              <w:spacing w:after="0"/>
              <w:rPr>
                <w:sz w:val="14"/>
                <w:szCs w:val="14"/>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1,445</w:t>
            </w:r>
          </w:p>
        </w:tc>
        <w:tc>
          <w:tcPr>
            <w:tcW w:w="80" w:type="dxa"/>
            <w:vAlign w:val="bottom"/>
            <w:tcBorders>
              <w:bottom w:val="single" w:sz="8" w:color="CCEEFF"/>
            </w:tcBorders>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1,632</w:t>
            </w:r>
          </w:p>
        </w:tc>
        <w:tc>
          <w:tcPr>
            <w:tcW w:w="80" w:type="dxa"/>
            <w:vAlign w:val="bottom"/>
            <w:tcBorders>
              <w:bottom w:val="single" w:sz="8" w:color="CCEEFF"/>
            </w:tcBorders>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80" w:type="dxa"/>
            <w:vAlign w:val="bottom"/>
            <w:tcBorders>
              <w:bottom w:val="single" w:sz="8" w:color="CCEEFF"/>
            </w:tcBorders>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47</w:t>
            </w:r>
          </w:p>
        </w:tc>
        <w:tc>
          <w:tcPr>
            <w:tcW w:w="280" w:type="dxa"/>
            <w:vAlign w:val="bottom"/>
            <w:tcBorders>
              <w:bottom w:val="single" w:sz="8" w:color="CCEEFF"/>
            </w:tcBorders>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Borders>
              <w:bottom w:val="single" w:sz="8" w:color="CCEEFF"/>
            </w:tcBorders>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28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7"/>
        </w:trPr>
        <w:tc>
          <w:tcPr>
            <w:tcW w:w="2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designated and undesignated instruments</w:t>
            </w:r>
          </w:p>
        </w:tc>
        <w:tc>
          <w:tcPr>
            <w:tcW w:w="800" w:type="dxa"/>
            <w:vAlign w:val="bottom"/>
            <w:tcBorders>
              <w:bottom w:val="single" w:sz="8" w:color="auto"/>
            </w:tcBorders>
            <w:shd w:val="clear" w:color="auto" w:fill="CCEEFF"/>
          </w:tcPr>
          <w:p>
            <w:pPr>
              <w:jc w:val="right"/>
              <w:ind w:right="656"/>
              <w:spacing w:after="0"/>
              <w:rPr>
                <w:sz w:val="20"/>
                <w:szCs w:val="20"/>
                <w:color w:val="auto"/>
              </w:rPr>
            </w:pPr>
            <w:r>
              <w:rPr>
                <w:rFonts w:ascii="Times New Roman" w:cs="Times New Roman" w:eastAsia="Times New Roman" w:hAnsi="Times New Roman"/>
                <w:sz w:val="14"/>
                <w:szCs w:val="14"/>
                <w:color w:val="auto"/>
                <w:w w:val="85"/>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3,079</w:t>
            </w:r>
          </w:p>
        </w:tc>
        <w:tc>
          <w:tcPr>
            <w:tcW w:w="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3,303</w:t>
            </w:r>
          </w:p>
        </w:tc>
        <w:tc>
          <w:tcPr>
            <w:tcW w:w="8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w:t>
            </w: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w:t>
            </w:r>
          </w:p>
        </w:tc>
        <w:tc>
          <w:tcPr>
            <w:tcW w:w="28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28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94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(a) Recorded within Other current assets</w:t>
      </w:r>
    </w:p>
    <w:p>
      <w:pPr>
        <w:spacing w:after="0" w:line="2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(b) Recorded within Other assets</w:t>
      </w:r>
    </w:p>
    <w:p>
      <w:pPr>
        <w:ind w:left="260"/>
        <w:spacing w:after="0"/>
        <w:rPr>
          <w:sz w:val="20"/>
          <w:szCs w:val="20"/>
          <w:color w:val="auto"/>
        </w:rPr>
      </w:pPr>
      <w:r>
        <w:rPr>
          <w:rFonts w:ascii="Times New Roman" w:cs="Times New Roman" w:eastAsia="Times New Roman" w:hAnsi="Times New Roman"/>
          <w:sz w:val="14"/>
          <w:szCs w:val="14"/>
          <w:color w:val="auto"/>
        </w:rPr>
        <w:t>(c) Recorded within Accrued liabilities</w:t>
      </w:r>
    </w:p>
    <w:p>
      <w:pPr>
        <w:ind w:left="260"/>
        <w:spacing w:after="0"/>
        <w:rPr>
          <w:sz w:val="20"/>
          <w:szCs w:val="20"/>
          <w:color w:val="auto"/>
        </w:rPr>
      </w:pPr>
      <w:r>
        <w:rPr>
          <w:rFonts w:ascii="Times New Roman" w:cs="Times New Roman" w:eastAsia="Times New Roman" w:hAnsi="Times New Roman"/>
          <w:sz w:val="14"/>
          <w:szCs w:val="14"/>
          <w:color w:val="auto"/>
        </w:rPr>
        <w:t>(d) Recorded within Other liabilities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Cash Flow Hedges</w:t>
      </w:r>
    </w:p>
    <w:p>
      <w:pPr>
        <w:spacing w:after="0" w:line="141" w:lineRule="exact"/>
        <w:rPr>
          <w:sz w:val="20"/>
          <w:szCs w:val="20"/>
          <w:color w:val="auto"/>
        </w:rPr>
      </w:pPr>
    </w:p>
    <w:p>
      <w:pPr>
        <w:jc w:val="both"/>
        <w:ind w:firstLine="307"/>
        <w:spacing w:after="0" w:line="271" w:lineRule="auto"/>
        <w:rPr>
          <w:sz w:val="20"/>
          <w:szCs w:val="20"/>
          <w:color w:val="auto"/>
        </w:rPr>
      </w:pPr>
      <w:r>
        <w:rPr>
          <w:rFonts w:ascii="Times New Roman" w:cs="Times New Roman" w:eastAsia="Times New Roman" w:hAnsi="Times New Roman"/>
          <w:sz w:val="14"/>
          <w:szCs w:val="14"/>
          <w:color w:val="auto"/>
        </w:rPr>
        <w:t>During 2023, the Company entered into float-to-fixed interest rate swap contracts with an aggregate notional amount of $200 million and maturities in July 2024 and October 2024. Changes in the fair value of the interest rate swap contracts are recorded in Accumulated Other Comprehensive Income ("AOCI") and will be reclassified to Interest expense in the Consolidated Interim Statement of Operations upon maturity.</w:t>
      </w:r>
    </w:p>
    <w:p>
      <w:pPr>
        <w:spacing w:after="0" w:line="115" w:lineRule="exact"/>
        <w:rPr>
          <w:sz w:val="20"/>
          <w:szCs w:val="20"/>
          <w:color w:val="auto"/>
        </w:rPr>
      </w:pPr>
    </w:p>
    <w:p>
      <w:pPr>
        <w:jc w:val="both"/>
        <w:ind w:firstLine="307"/>
        <w:spacing w:after="0" w:line="265" w:lineRule="auto"/>
        <w:rPr>
          <w:sz w:val="20"/>
          <w:szCs w:val="20"/>
          <w:color w:val="auto"/>
        </w:rPr>
      </w:pPr>
      <w:r>
        <w:rPr>
          <w:rFonts w:ascii="Times New Roman" w:cs="Times New Roman" w:eastAsia="Times New Roman" w:hAnsi="Times New Roman"/>
          <w:sz w:val="14"/>
          <w:szCs w:val="14"/>
          <w:color w:val="auto"/>
        </w:rPr>
        <w:t>The Company also has outstanding forward currency exchange contracts with maturities up to 18 months and an aggregate notional amount of $419 million and $456 million as of March 31, 2024 and December 31, 2023, respectively. These forward currency exchange contracts have been designated as cash flow hedges to mitigate foreign currency exposures primarily on our inventory purchases and manufacturing costs. The gains and losses on the forward currency exchange contracts are recorded in AOCI and reclassified to Cost of goods sold in the Consolidated Interim Statement of Operations when the underlying transactions are recognized in earnings.</w:t>
      </w:r>
    </w:p>
    <w:p>
      <w:pPr>
        <w:spacing w:after="0" w:line="109" w:lineRule="exact"/>
        <w:rPr>
          <w:sz w:val="20"/>
          <w:szCs w:val="20"/>
          <w:color w:val="auto"/>
        </w:rPr>
      </w:pPr>
    </w:p>
    <w:p>
      <w:pPr>
        <w:jc w:val="both"/>
        <w:ind w:firstLine="307"/>
        <w:spacing w:after="0" w:line="265" w:lineRule="auto"/>
        <w:rPr>
          <w:sz w:val="20"/>
          <w:szCs w:val="20"/>
          <w:color w:val="auto"/>
        </w:rPr>
      </w:pPr>
      <w:r>
        <w:rPr>
          <w:rFonts w:ascii="Times New Roman" w:cs="Times New Roman" w:eastAsia="Times New Roman" w:hAnsi="Times New Roman"/>
          <w:sz w:val="14"/>
          <w:szCs w:val="14"/>
          <w:color w:val="auto"/>
        </w:rPr>
        <w:t>In order to mitigate interest rate and foreign currency risk on its 2023 Dollar Term Facility, the Company has an outstanding float-to-fixed cross-currency swap contract comprised of an amortizing swap with an aggregate notional amount of €280 million ($300 million) and notional exchanges in June 2026, June 2027 and June 2028. Changes in the fair value of the cross-currency swap contract are recognized in AOCI and reclassified to Non-operating income in the Consolidated Statement of Operations, based upon changes in the spot rate remeasurement of the underlying debt. The net interest settlements on the cross-currency swap contract are recorded in Interest expense in the Consolidated Interim Statements of Operations.</w:t>
      </w:r>
    </w:p>
    <w:p>
      <w:pPr>
        <w:spacing w:after="0" w:line="109" w:lineRule="exact"/>
        <w:rPr>
          <w:sz w:val="20"/>
          <w:szCs w:val="20"/>
          <w:color w:val="auto"/>
        </w:rPr>
      </w:pPr>
    </w:p>
    <w:p>
      <w:pPr>
        <w:jc w:val="both"/>
        <w:ind w:firstLine="307"/>
        <w:spacing w:after="0" w:line="289" w:lineRule="auto"/>
        <w:rPr>
          <w:sz w:val="20"/>
          <w:szCs w:val="20"/>
          <w:color w:val="auto"/>
        </w:rPr>
      </w:pPr>
      <w:r>
        <w:rPr>
          <w:rFonts w:ascii="Times New Roman" w:cs="Times New Roman" w:eastAsia="Times New Roman" w:hAnsi="Times New Roman"/>
          <w:sz w:val="14"/>
          <w:szCs w:val="14"/>
          <w:color w:val="auto"/>
        </w:rPr>
        <w:t>All of the Company's cash flow hedges are assessed as highly effective. For the three months ended March 31, 2024 and 2023, the Company recorded a gain of $3 million, net of tax, and a loss of $3 million, net of tax, respectively, in Other comprehensive income.</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Net Investment Hedges</w:t>
      </w:r>
    </w:p>
    <w:p>
      <w:pPr>
        <w:spacing w:after="0" w:line="290"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178435</wp:posOffset>
            </wp:positionV>
            <wp:extent cx="7186930"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02" w:right="319" w:bottom="1440" w:gutter="0" w:footer="0" w:header="0"/>
        </w:sectPr>
      </w:pPr>
    </w:p>
    <w:bookmarkStart w:id="17" w:name="page18"/>
    <w:bookmarkEnd w:id="17"/>
    <w:p>
      <w:pPr>
        <w:jc w:val="both"/>
        <w:ind w:firstLine="307"/>
        <w:spacing w:after="0" w:line="265" w:lineRule="auto"/>
        <w:rPr>
          <w:sz w:val="20"/>
          <w:szCs w:val="20"/>
          <w:color w:val="auto"/>
        </w:rPr>
      </w:pPr>
      <w:r>
        <w:rPr>
          <w:rFonts w:ascii="Times New Roman" w:cs="Times New Roman" w:eastAsia="Times New Roman" w:hAnsi="Times New Roman"/>
          <w:sz w:val="14"/>
          <w:szCs w:val="14"/>
          <w:color w:val="auto"/>
        </w:rPr>
        <w:t>The Company has designated float-to-float cross-currency swaps with an aggregate notional amount of €615 million ($715 million) as net investment hedges of its Euro-denominated operations. The fair values of the net investment hedges were net assets of $56 million and $37 million as of March 31, 2024 and December 31, 2023, respectively. Our Consolidated Interim Statements of Comprehensive Income include Changes in fair value of net investment hedges, net of tax, of a $19 million gain and a $5 million loss for the three months ended March 31, 2024 and 2023, respectively. No ineffectiveness has been recorded on the net investment hedges.</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Non-Designated Derivatives</w:t>
      </w:r>
    </w:p>
    <w:p>
      <w:pPr>
        <w:spacing w:after="0" w:line="152" w:lineRule="exact"/>
        <w:rPr>
          <w:sz w:val="20"/>
          <w:szCs w:val="20"/>
          <w:color w:val="auto"/>
        </w:rPr>
      </w:pPr>
    </w:p>
    <w:p>
      <w:pPr>
        <w:jc w:val="both"/>
        <w:ind w:firstLine="307"/>
        <w:spacing w:after="0" w:line="271" w:lineRule="auto"/>
        <w:rPr>
          <w:sz w:val="20"/>
          <w:szCs w:val="20"/>
          <w:color w:val="auto"/>
        </w:rPr>
      </w:pPr>
      <w:r>
        <w:rPr>
          <w:rFonts w:ascii="Times New Roman" w:cs="Times New Roman" w:eastAsia="Times New Roman" w:hAnsi="Times New Roman"/>
          <w:sz w:val="14"/>
          <w:szCs w:val="14"/>
          <w:color w:val="auto"/>
        </w:rPr>
        <w:t>As of March 31, 2024 and December 31, 2023, the Company has outstanding float-to-fixed interest rate swap contracts with an aggregate notional amount of €830 million ($895 million and $917 million, respectively) and maturities of April 2024, July 2024, October 2024, April 2025, April 2026, April 2027 and April 2028. Changes in the fair value of the undesignated interest rate swap contracts are recorded in Interest expense in the Consolidated Interim Statements of Operations.</w:t>
      </w:r>
    </w:p>
    <w:p>
      <w:pPr>
        <w:spacing w:after="0" w:line="104" w:lineRule="exact"/>
        <w:rPr>
          <w:sz w:val="20"/>
          <w:szCs w:val="20"/>
          <w:color w:val="auto"/>
        </w:rPr>
      </w:pPr>
    </w:p>
    <w:p>
      <w:pPr>
        <w:jc w:val="both"/>
        <w:ind w:firstLine="307"/>
        <w:spacing w:after="0" w:line="271" w:lineRule="auto"/>
        <w:rPr>
          <w:sz w:val="20"/>
          <w:szCs w:val="20"/>
          <w:color w:val="auto"/>
        </w:rPr>
      </w:pPr>
      <w:r>
        <w:rPr>
          <w:rFonts w:ascii="Times New Roman" w:cs="Times New Roman" w:eastAsia="Times New Roman" w:hAnsi="Times New Roman"/>
          <w:sz w:val="14"/>
          <w:szCs w:val="14"/>
          <w:color w:val="auto"/>
        </w:rPr>
        <w:t>The Company also has outstanding forward currency exchange contracts with maturities generally up to 3 months and an aggregate notional amount of $550 million and $715 million as of March 31, 2024 and December 31, 2023, respectively. These derivatives are not designated as hedging instruments and are adjusted to fair value through Non-operating income in the Consolidated Interim Statements of Operations.</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Fair Value Measurement</w:t>
      </w:r>
    </w:p>
    <w:p>
      <w:pPr>
        <w:spacing w:after="0" w:line="152" w:lineRule="exact"/>
        <w:rPr>
          <w:sz w:val="20"/>
          <w:szCs w:val="20"/>
          <w:color w:val="auto"/>
        </w:rPr>
      </w:pPr>
    </w:p>
    <w:p>
      <w:pPr>
        <w:jc w:val="both"/>
        <w:ind w:firstLine="307"/>
        <w:spacing w:after="0" w:line="271" w:lineRule="auto"/>
        <w:rPr>
          <w:sz w:val="20"/>
          <w:szCs w:val="20"/>
          <w:color w:val="auto"/>
        </w:rPr>
      </w:pPr>
      <w:r>
        <w:rPr>
          <w:rFonts w:ascii="Times New Roman" w:cs="Times New Roman" w:eastAsia="Times New Roman" w:hAnsi="Times New Roman"/>
          <w:sz w:val="14"/>
          <w:szCs w:val="14"/>
          <w:color w:val="auto"/>
        </w:rPr>
        <w:t>The foreign currency exchange, interest rate swap and cross-currency swap contracts are valued using market observable inputs. As such, these derivative instruments are classified within Level 2. The assumptions used in measuring the fair value of the cross-currency swap are considered Level 2 inputs, which are based upon market-observable interest rate curves, cross-currency basis curves, credit default swap curves, and foreign exchange rates.</w:t>
      </w:r>
    </w:p>
    <w:p>
      <w:pPr>
        <w:spacing w:after="0" w:line="104" w:lineRule="exact"/>
        <w:rPr>
          <w:sz w:val="20"/>
          <w:szCs w:val="20"/>
          <w:color w:val="auto"/>
        </w:rPr>
      </w:pPr>
    </w:p>
    <w:p>
      <w:pPr>
        <w:jc w:val="both"/>
        <w:ind w:firstLine="307"/>
        <w:spacing w:after="0" w:line="289" w:lineRule="auto"/>
        <w:rPr>
          <w:sz w:val="20"/>
          <w:szCs w:val="20"/>
          <w:color w:val="auto"/>
        </w:rPr>
      </w:pPr>
      <w:r>
        <w:rPr>
          <w:rFonts w:ascii="Times New Roman" w:cs="Times New Roman" w:eastAsia="Times New Roman" w:hAnsi="Times New Roman"/>
          <w:sz w:val="14"/>
          <w:szCs w:val="14"/>
          <w:color w:val="auto"/>
        </w:rPr>
        <w:t>The carrying value of Cash, cash equivalents and restricted cash, Account receivables and Notes and Other receivables contained in the Consolidated Interim Balance Sheet approximates fair value.</w:t>
      </w:r>
    </w:p>
    <w:p>
      <w:pPr>
        <w:spacing w:after="0" w:line="10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The following table sets forth the Company’s financial assets and liabilities that were not carried at fair value:</w:t>
      </w: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472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840" w:type="dxa"/>
            <w:vAlign w:val="bottom"/>
            <w:tcBorders>
              <w:bottom w:val="single" w:sz="8" w:color="auto"/>
            </w:tcBorders>
            <w:gridSpan w:val="2"/>
          </w:tcPr>
          <w:p>
            <w:pPr>
              <w:jc w:val="right"/>
              <w:ind w:right="29"/>
              <w:spacing w:after="0"/>
              <w:rPr>
                <w:sz w:val="20"/>
                <w:szCs w:val="20"/>
                <w:color w:val="auto"/>
              </w:rPr>
            </w:pPr>
            <w:r>
              <w:rPr>
                <w:rFonts w:ascii="Times New Roman" w:cs="Times New Roman" w:eastAsia="Times New Roman" w:hAnsi="Times New Roman"/>
                <w:sz w:val="11"/>
                <w:szCs w:val="11"/>
                <w:b w:val="1"/>
                <w:bCs w:val="1"/>
                <w:color w:val="auto"/>
              </w:rPr>
              <w:t>March 31, 2024</w:t>
            </w:r>
          </w:p>
        </w:tc>
        <w:tc>
          <w:tcPr>
            <w:tcW w:w="114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8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1"/>
                <w:szCs w:val="11"/>
                <w:b w:val="1"/>
                <w:bCs w:val="1"/>
                <w:color w:val="auto"/>
              </w:rPr>
              <w:t>December 31, 2023</w:t>
            </w:r>
          </w:p>
        </w:tc>
        <w:tc>
          <w:tcPr>
            <w:tcW w:w="1100" w:type="dxa"/>
            <w:vAlign w:val="bottom"/>
            <w:tcBorders>
              <w:bottom w:val="single" w:sz="8" w:color="auto"/>
            </w:tcBorders>
          </w:tcPr>
          <w:p>
            <w:pPr>
              <w:spacing w:after="0"/>
              <w:rPr>
                <w:sz w:val="13"/>
                <w:szCs w:val="13"/>
                <w:color w:val="auto"/>
              </w:rPr>
            </w:pPr>
          </w:p>
        </w:tc>
      </w:tr>
      <w:tr>
        <w:trPr>
          <w:trHeight w:val="161"/>
        </w:trPr>
        <w:tc>
          <w:tcPr>
            <w:tcW w:w="47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1"/>
                <w:szCs w:val="11"/>
                <w:b w:val="1"/>
                <w:bCs w:val="1"/>
                <w:color w:val="auto"/>
              </w:rPr>
              <w:t>Carrying Value</w:t>
            </w:r>
          </w:p>
        </w:tc>
        <w:tc>
          <w:tcPr>
            <w:tcW w:w="50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1"/>
                <w:szCs w:val="11"/>
                <w:b w:val="1"/>
                <w:bCs w:val="1"/>
                <w:color w:val="auto"/>
              </w:rPr>
              <w:t>Fair Value</w:t>
            </w:r>
          </w:p>
        </w:tc>
        <w:tc>
          <w:tcPr>
            <w:tcW w:w="26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1"/>
                <w:szCs w:val="11"/>
                <w:b w:val="1"/>
                <w:bCs w:val="1"/>
                <w:color w:val="auto"/>
              </w:rPr>
              <w:t>Carrying Value</w:t>
            </w:r>
          </w:p>
        </w:tc>
        <w:tc>
          <w:tcPr>
            <w:tcW w:w="5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476"/>
              <w:spacing w:after="0"/>
              <w:rPr>
                <w:sz w:val="20"/>
                <w:szCs w:val="20"/>
                <w:color w:val="auto"/>
              </w:rPr>
            </w:pPr>
            <w:r>
              <w:rPr>
                <w:rFonts w:ascii="Times New Roman" w:cs="Times New Roman" w:eastAsia="Times New Roman" w:hAnsi="Times New Roman"/>
                <w:sz w:val="11"/>
                <w:szCs w:val="11"/>
                <w:b w:val="1"/>
                <w:bCs w:val="1"/>
                <w:color w:val="auto"/>
              </w:rPr>
              <w:t>Fair Value</w:t>
            </w:r>
          </w:p>
        </w:tc>
      </w:tr>
      <w:tr>
        <w:trPr>
          <w:trHeight w:val="161"/>
        </w:trPr>
        <w:tc>
          <w:tcPr>
            <w:tcW w:w="47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820" w:type="dxa"/>
            <w:vAlign w:val="bottom"/>
            <w:gridSpan w:val="4"/>
          </w:tcPr>
          <w:p>
            <w:pPr>
              <w:jc w:val="right"/>
              <w:ind w:right="1099"/>
              <w:spacing w:after="0"/>
              <w:rPr>
                <w:sz w:val="20"/>
                <w:szCs w:val="20"/>
                <w:color w:val="auto"/>
              </w:rPr>
            </w:pPr>
            <w:r>
              <w:rPr>
                <w:rFonts w:ascii="Times New Roman" w:cs="Times New Roman" w:eastAsia="Times New Roman" w:hAnsi="Times New Roman"/>
                <w:sz w:val="11"/>
                <w:szCs w:val="11"/>
                <w:b w:val="1"/>
                <w:bCs w:val="1"/>
                <w:color w:val="auto"/>
              </w:rPr>
              <w:t>(Dollars in millions)</w:t>
            </w:r>
          </w:p>
        </w:tc>
        <w:tc>
          <w:tcPr>
            <w:tcW w:w="540" w:type="dxa"/>
            <w:vAlign w:val="bottom"/>
          </w:tcPr>
          <w:p>
            <w:pPr>
              <w:spacing w:after="0"/>
              <w:rPr>
                <w:sz w:val="13"/>
                <w:szCs w:val="13"/>
                <w:color w:val="auto"/>
              </w:rPr>
            </w:pPr>
          </w:p>
        </w:tc>
        <w:tc>
          <w:tcPr>
            <w:tcW w:w="1100" w:type="dxa"/>
            <w:vAlign w:val="bottom"/>
          </w:tcPr>
          <w:p>
            <w:pPr>
              <w:spacing w:after="0"/>
              <w:rPr>
                <w:sz w:val="13"/>
                <w:szCs w:val="13"/>
                <w:color w:val="auto"/>
              </w:rPr>
            </w:pPr>
          </w:p>
        </w:tc>
      </w:tr>
      <w:tr>
        <w:trPr>
          <w:trHeight w:val="361"/>
        </w:trPr>
        <w:tc>
          <w:tcPr>
            <w:tcW w:w="47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4"/>
                <w:szCs w:val="14"/>
                <w:color w:val="auto"/>
              </w:rPr>
              <w:t>Term Loan Facilities</w:t>
            </w:r>
          </w:p>
        </w:tc>
        <w:tc>
          <w:tcPr>
            <w:tcW w:w="26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4"/>
                <w:szCs w:val="14"/>
                <w:color w:val="auto"/>
              </w:rPr>
              <w:t>1,639</w:t>
            </w:r>
          </w:p>
        </w:tc>
        <w:tc>
          <w:tcPr>
            <w:tcW w:w="500" w:type="dxa"/>
            <w:vAlign w:val="bottom"/>
            <w:shd w:val="clear" w:color="auto" w:fill="CCEEFF"/>
          </w:tcPr>
          <w:p>
            <w:pPr>
              <w:jc w:val="right"/>
              <w:ind w:right="28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1,683</w:t>
            </w:r>
          </w:p>
        </w:tc>
        <w:tc>
          <w:tcPr>
            <w:tcW w:w="8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4"/>
                <w:szCs w:val="14"/>
                <w:color w:val="auto"/>
              </w:rPr>
              <w:t>1,650</w:t>
            </w:r>
          </w:p>
        </w:tc>
        <w:tc>
          <w:tcPr>
            <w:tcW w:w="540" w:type="dxa"/>
            <w:vAlign w:val="bottom"/>
            <w:shd w:val="clear" w:color="auto" w:fill="CCEEFF"/>
          </w:tcPr>
          <w:p>
            <w:pPr>
              <w:jc w:val="right"/>
              <w:ind w:right="309"/>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1,692</w:t>
            </w:r>
          </w:p>
        </w:tc>
      </w:tr>
    </w:tbl>
    <w:p>
      <w:pPr>
        <w:spacing w:after="0" w:line="198" w:lineRule="exact"/>
        <w:rPr>
          <w:sz w:val="20"/>
          <w:szCs w:val="20"/>
          <w:color w:val="auto"/>
        </w:rPr>
      </w:pPr>
    </w:p>
    <w:p>
      <w:pPr>
        <w:jc w:val="both"/>
        <w:ind w:firstLine="307"/>
        <w:spacing w:after="0" w:line="289" w:lineRule="auto"/>
        <w:rPr>
          <w:sz w:val="20"/>
          <w:szCs w:val="20"/>
          <w:color w:val="auto"/>
        </w:rPr>
      </w:pPr>
      <w:r>
        <w:rPr>
          <w:rFonts w:ascii="Times New Roman" w:cs="Times New Roman" w:eastAsia="Times New Roman" w:hAnsi="Times New Roman"/>
          <w:sz w:val="14"/>
          <w:szCs w:val="14"/>
          <w:color w:val="auto"/>
        </w:rPr>
        <w:t>The Company determined the fair value of certain of its long-term debt and related current maturities utilizing transactions in the listed markets for similar liabilities. As such, the fair value of the long-term debt and related current maturities is considered Level 2.</w:t>
      </w:r>
    </w:p>
    <w:p>
      <w:pPr>
        <w:spacing w:after="0" w:line="200" w:lineRule="exact"/>
        <w:rPr>
          <w:sz w:val="20"/>
          <w:szCs w:val="20"/>
          <w:color w:val="auto"/>
        </w:rPr>
      </w:pPr>
    </w:p>
    <w:p>
      <w:pPr>
        <w:spacing w:after="0" w:line="232"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171450</wp:posOffset>
            </wp:positionV>
            <wp:extent cx="7186930"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02" w:right="31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4"/>
          <w:szCs w:val="14"/>
          <w:b w:val="1"/>
          <w:bCs w:val="1"/>
          <w:color w:val="auto"/>
        </w:rPr>
        <w:t>Note 17. Accumulated Other Comprehensive Income</w:t>
      </w:r>
    </w:p>
    <w:p>
      <w:pPr>
        <w:spacing w:after="0" w:line="16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The changes in AOCI by component are set forth below:</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Foreign Exchange Translation Adjustment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-97790</wp:posOffset>
            </wp:positionV>
            <wp:extent cx="7161530" cy="1149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1530" cy="114935"/>
                    </a:xfrm>
                    <a:prstGeom prst="rect">
                      <a:avLst/>
                    </a:prstGeom>
                    <a:noFill/>
                  </pic:spPr>
                </pic:pic>
              </a:graphicData>
            </a:graphic>
          </wp:anchor>
        </w:drawing>
      </w:r>
    </w:p>
    <w:p>
      <w:pPr>
        <w:spacing w:after="0" w:line="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Balance at beginning of period</w:t>
      </w:r>
    </w:p>
    <w:p>
      <w:pPr>
        <w:spacing w:after="0" w:line="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Other comprehensive income (loss) before reclassifications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-100965</wp:posOffset>
            </wp:positionV>
            <wp:extent cx="7161530" cy="1149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1530" cy="114935"/>
                    </a:xfrm>
                    <a:prstGeom prst="rect">
                      <a:avLst/>
                    </a:prstGeom>
                    <a:noFill/>
                  </pic:spPr>
                </pic:pic>
              </a:graphicData>
            </a:graphic>
          </wp:anchor>
        </w:drawing>
      </w:r>
    </w:p>
    <w:p>
      <w:pPr>
        <w:spacing w:after="0" w:line="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Balance at end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wp:posOffset>
            </wp:positionV>
            <wp:extent cx="7161530" cy="135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1530" cy="135255"/>
                    </a:xfrm>
                    <a:prstGeom prst="rect">
                      <a:avLst/>
                    </a:prstGeom>
                    <a:noFill/>
                  </pic:spPr>
                </pic:pic>
              </a:graphicData>
            </a:graphic>
          </wp:anchor>
        </w:drawing>
      </w:r>
    </w:p>
    <w:p>
      <w:pPr>
        <w:spacing w:after="0" w:line="21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Pension Adjustments</w:t>
      </w:r>
    </w:p>
    <w:p>
      <w:pPr>
        <w:spacing w:after="0" w:line="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Balance at beginning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-100965</wp:posOffset>
            </wp:positionV>
            <wp:extent cx="7161530" cy="1149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1530" cy="114935"/>
                    </a:xfrm>
                    <a:prstGeom prst="rect">
                      <a:avLst/>
                    </a:prstGeom>
                    <a:noFill/>
                  </pic:spPr>
                </pic:pic>
              </a:graphicData>
            </a:graphic>
          </wp:anchor>
        </w:drawing>
      </w:r>
    </w:p>
    <w:p>
      <w:pPr>
        <w:ind w:left="120"/>
        <w:spacing w:after="0"/>
        <w:rPr>
          <w:sz w:val="20"/>
          <w:szCs w:val="20"/>
          <w:color w:val="auto"/>
        </w:rPr>
      </w:pPr>
      <w:r>
        <w:rPr>
          <w:rFonts w:ascii="Times New Roman" w:cs="Times New Roman" w:eastAsia="Times New Roman" w:hAnsi="Times New Roman"/>
          <w:sz w:val="14"/>
          <w:szCs w:val="14"/>
          <w:color w:val="auto"/>
        </w:rPr>
        <w:t xml:space="preserve">Other comprehensive income (loss) before reclassifications </w:t>
      </w:r>
      <w:r>
        <w:rPr>
          <w:rFonts w:ascii="Times New Roman" w:cs="Times New Roman" w:eastAsia="Times New Roman" w:hAnsi="Times New Roman"/>
          <w:sz w:val="18"/>
          <w:szCs w:val="18"/>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-13970</wp:posOffset>
            </wp:positionV>
            <wp:extent cx="7161530" cy="12192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1530" cy="121920"/>
                    </a:xfrm>
                    <a:prstGeom prst="rect">
                      <a:avLst/>
                    </a:prstGeom>
                    <a:noFill/>
                  </pic:spPr>
                </pic:pic>
              </a:graphicData>
            </a:graphic>
          </wp:anchor>
        </w:drawing>
      </w:r>
    </w:p>
    <w:p>
      <w:pPr>
        <w:ind w:left="120"/>
        <w:spacing w:after="0"/>
        <w:rPr>
          <w:sz w:val="20"/>
          <w:szCs w:val="20"/>
          <w:color w:val="auto"/>
        </w:rPr>
      </w:pPr>
      <w:r>
        <w:rPr>
          <w:rFonts w:ascii="Times New Roman" w:cs="Times New Roman" w:eastAsia="Times New Roman" w:hAnsi="Times New Roman"/>
          <w:sz w:val="14"/>
          <w:szCs w:val="14"/>
          <w:color w:val="auto"/>
        </w:rPr>
        <w:t>Balance at end of period</w:t>
      </w:r>
    </w:p>
    <w:p>
      <w:pPr>
        <w:spacing w:after="0" w:line="21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Changes in Fair Value of Effective Cash Flow Hedges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-97790</wp:posOffset>
            </wp:positionV>
            <wp:extent cx="7161530" cy="1149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1530" cy="114935"/>
                    </a:xfrm>
                    <a:prstGeom prst="rect">
                      <a:avLst/>
                    </a:prstGeom>
                    <a:noFill/>
                  </pic:spPr>
                </pic:pic>
              </a:graphicData>
            </a:graphic>
          </wp:anchor>
        </w:drawing>
      </w:r>
    </w:p>
    <w:p>
      <w:pPr>
        <w:spacing w:after="0" w:line="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Balance at beginning of period</w:t>
      </w:r>
    </w:p>
    <w:p>
      <w:pPr>
        <w:spacing w:after="0" w:line="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 xml:space="preserve">Other comprehensive income (loss) before reclassifications </w:t>
      </w:r>
      <w:r>
        <w:rPr>
          <w:rFonts w:ascii="Times New Roman" w:cs="Times New Roman" w:eastAsia="Times New Roman" w:hAnsi="Times New Roman"/>
          <w:sz w:val="18"/>
          <w:szCs w:val="18"/>
          <w:color w:val="auto"/>
          <w:vertAlign w:val="superscript"/>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-121920</wp:posOffset>
            </wp:positionV>
            <wp:extent cx="7161530" cy="1149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1530" cy="114935"/>
                    </a:xfrm>
                    <a:prstGeom prst="rect">
                      <a:avLst/>
                    </a:prstGeom>
                    <a:noFill/>
                  </pic:spPr>
                </pic:pic>
              </a:graphicData>
            </a:graphic>
          </wp:anchor>
        </w:drawing>
      </w:r>
    </w:p>
    <w:p>
      <w:pPr>
        <w:ind w:left="120"/>
        <w:spacing w:after="0"/>
        <w:rPr>
          <w:sz w:val="20"/>
          <w:szCs w:val="20"/>
          <w:color w:val="auto"/>
        </w:rPr>
      </w:pPr>
      <w:r>
        <w:rPr>
          <w:rFonts w:ascii="Times New Roman" w:cs="Times New Roman" w:eastAsia="Times New Roman" w:hAnsi="Times New Roman"/>
          <w:sz w:val="14"/>
          <w:szCs w:val="14"/>
          <w:color w:val="auto"/>
        </w:rPr>
        <w:t>Amounts reclassified from AOCI,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5080</wp:posOffset>
            </wp:positionV>
            <wp:extent cx="7161530" cy="12192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1530" cy="121920"/>
                    </a:xfrm>
                    <a:prstGeom prst="rect">
                      <a:avLst/>
                    </a:prstGeom>
                    <a:noFill/>
                  </pic:spPr>
                </pic:pic>
              </a:graphicData>
            </a:graphic>
          </wp:anchor>
        </w:drawing>
      </w:r>
    </w:p>
    <w:p>
      <w:pPr>
        <w:ind w:left="120"/>
        <w:spacing w:after="0"/>
        <w:rPr>
          <w:sz w:val="20"/>
          <w:szCs w:val="20"/>
          <w:color w:val="auto"/>
        </w:rPr>
      </w:pPr>
      <w:r>
        <w:rPr>
          <w:rFonts w:ascii="Times New Roman" w:cs="Times New Roman" w:eastAsia="Times New Roman" w:hAnsi="Times New Roman"/>
          <w:sz w:val="14"/>
          <w:szCs w:val="14"/>
          <w:color w:val="auto"/>
        </w:rPr>
        <w:t>Balance at end of period</w:t>
      </w:r>
    </w:p>
    <w:p>
      <w:pPr>
        <w:spacing w:after="0" w:line="2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Changes in Fair Value of Net Investment Hedges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-97790</wp:posOffset>
            </wp:positionV>
            <wp:extent cx="7161530" cy="1149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1530" cy="114935"/>
                    </a:xfrm>
                    <a:prstGeom prst="rect">
                      <a:avLst/>
                    </a:prstGeom>
                    <a:noFill/>
                  </pic:spPr>
                </pic:pic>
              </a:graphicData>
            </a:graphic>
          </wp:anchor>
        </w:drawing>
      </w:r>
    </w:p>
    <w:p>
      <w:pPr>
        <w:spacing w:after="0" w:line="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Balance at beginning of period</w:t>
      </w:r>
    </w:p>
    <w:p>
      <w:pPr>
        <w:spacing w:after="0" w:line="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 xml:space="preserve">Other comprehensive income (loss) before reclassifications, net </w:t>
      </w:r>
      <w:r>
        <w:rPr>
          <w:rFonts w:ascii="Times New Roman" w:cs="Times New Roman" w:eastAsia="Times New Roman" w:hAnsi="Times New Roman"/>
          <w:sz w:val="18"/>
          <w:szCs w:val="18"/>
          <w:color w:val="auto"/>
          <w:vertAlign w:val="superscript"/>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-128905</wp:posOffset>
            </wp:positionV>
            <wp:extent cx="7161530" cy="1149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1530" cy="114935"/>
                    </a:xfrm>
                    <a:prstGeom prst="rect">
                      <a:avLst/>
                    </a:prstGeom>
                    <a:noFill/>
                  </pic:spPr>
                </pic:pic>
              </a:graphicData>
            </a:graphic>
          </wp:anchor>
        </w:drawing>
      </w:r>
    </w:p>
    <w:p>
      <w:pPr>
        <w:ind w:left="120"/>
        <w:spacing w:after="0"/>
        <w:rPr>
          <w:sz w:val="20"/>
          <w:szCs w:val="20"/>
          <w:color w:val="auto"/>
        </w:rPr>
      </w:pPr>
      <w:r>
        <w:rPr>
          <w:rFonts w:ascii="Times New Roman" w:cs="Times New Roman" w:eastAsia="Times New Roman" w:hAnsi="Times New Roman"/>
          <w:sz w:val="14"/>
          <w:szCs w:val="14"/>
          <w:color w:val="auto"/>
        </w:rPr>
        <w:t>Balance at end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5080</wp:posOffset>
            </wp:positionV>
            <wp:extent cx="7161530" cy="135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1530" cy="135255"/>
                    </a:xfrm>
                    <a:prstGeom prst="rect">
                      <a:avLst/>
                    </a:prstGeom>
                    <a:noFill/>
                  </pic:spPr>
                </pic:pic>
              </a:graphicData>
            </a:graphic>
          </wp:anchor>
        </w:drawing>
      </w:r>
    </w:p>
    <w:p>
      <w:pPr>
        <w:spacing w:after="0" w:line="22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Accumulated other comprehensive income, end of period</w:t>
      </w:r>
    </w:p>
    <w:p>
      <w:pPr>
        <w:spacing w:after="0" w:line="286" w:lineRule="exact"/>
        <w:rPr>
          <w:sz w:val="20"/>
          <w:szCs w:val="20"/>
          <w:color w:val="auto"/>
        </w:rPr>
      </w:pPr>
    </w:p>
    <w:p>
      <w:pPr>
        <w:ind w:left="520" w:hanging="314"/>
        <w:spacing w:after="0"/>
        <w:tabs>
          <w:tab w:leader="none" w:pos="52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There were no income tax effects for the three months ended March 31, 2024.</w:t>
      </w:r>
    </w:p>
    <w:p>
      <w:pPr>
        <w:spacing w:after="0" w:line="23" w:lineRule="exact"/>
        <w:rPr>
          <w:rFonts w:ascii="Times New Roman" w:cs="Times New Roman" w:eastAsia="Times New Roman" w:hAnsi="Times New Roman"/>
          <w:sz w:val="14"/>
          <w:szCs w:val="14"/>
          <w:color w:val="auto"/>
        </w:rPr>
      </w:pPr>
    </w:p>
    <w:p>
      <w:pPr>
        <w:ind w:left="540" w:hanging="334"/>
        <w:spacing w:after="0"/>
        <w:tabs>
          <w:tab w:leader="none" w:pos="54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Net of tax expense (benefit) of $4 million and $0 million for the three months ended March 31, 2024 and 2023, respectively.</w:t>
      </w:r>
    </w:p>
    <w:p>
      <w:pPr>
        <w:spacing w:after="0" w:line="9" w:lineRule="exact"/>
        <w:rPr>
          <w:rFonts w:ascii="Times New Roman" w:cs="Times New Roman" w:eastAsia="Times New Roman" w:hAnsi="Times New Roman"/>
          <w:sz w:val="14"/>
          <w:szCs w:val="14"/>
          <w:color w:val="auto"/>
        </w:rPr>
      </w:pPr>
    </w:p>
    <w:p>
      <w:pPr>
        <w:ind w:left="400" w:hanging="194"/>
        <w:spacing w:after="0"/>
        <w:tabs>
          <w:tab w:leader="none" w:pos="40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Net of tax expense (benefit) of $4 million and $(3) million for the three months ended March 31, 2024 and 2023, respectively.</w:t>
      </w:r>
    </w:p>
    <w:p>
      <w:pPr>
        <w:spacing w:after="0" w:line="18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Reclassifications from AOCI to income were as follows:</w:t>
      </w:r>
    </w:p>
    <w:p>
      <w:pPr>
        <w:spacing w:after="0" w:line="200" w:lineRule="exact"/>
        <w:rPr>
          <w:sz w:val="20"/>
          <w:szCs w:val="20"/>
          <w:color w:val="auto"/>
        </w:rPr>
      </w:pPr>
    </w:p>
    <w:p>
      <w:pPr>
        <w:spacing w:after="0" w:line="34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Changes in Fair Value of Effective Cash Flow Hedges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-97790</wp:posOffset>
            </wp:positionV>
            <wp:extent cx="7161530" cy="1149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1530" cy="114935"/>
                    </a:xfrm>
                    <a:prstGeom prst="rect">
                      <a:avLst/>
                    </a:prstGeom>
                    <a:noFill/>
                  </pic:spPr>
                </pic:pic>
              </a:graphicData>
            </a:graphic>
          </wp:anchor>
        </w:drawing>
      </w:r>
    </w:p>
    <w:p>
      <w:pPr>
        <w:spacing w:after="0" w:line="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Reclassification forward currency exchange contracts to Cost of goods sold</w:t>
      </w:r>
    </w:p>
    <w:p>
      <w:pPr>
        <w:spacing w:after="0" w:line="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Reclassification cross-currency swaps to Interest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-100965</wp:posOffset>
            </wp:positionV>
            <wp:extent cx="7161530" cy="1149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1530" cy="114935"/>
                    </a:xfrm>
                    <a:prstGeom prst="rect">
                      <a:avLst/>
                    </a:prstGeom>
                    <a:noFill/>
                  </pic:spPr>
                </pic:pic>
              </a:graphicData>
            </a:graphic>
          </wp:anchor>
        </w:drawing>
      </w:r>
    </w:p>
    <w:p>
      <w:pPr>
        <w:ind w:left="120"/>
        <w:spacing w:after="0"/>
        <w:rPr>
          <w:sz w:val="20"/>
          <w:szCs w:val="20"/>
          <w:color w:val="auto"/>
        </w:rPr>
      </w:pPr>
      <w:r>
        <w:rPr>
          <w:rFonts w:ascii="Times New Roman" w:cs="Times New Roman" w:eastAsia="Times New Roman" w:hAnsi="Times New Roman"/>
          <w:sz w:val="14"/>
          <w:szCs w:val="14"/>
          <w:color w:val="auto"/>
        </w:rPr>
        <w:t>Reclassification cross-currency swaps to Non-operating income</w:t>
      </w:r>
    </w:p>
    <w:p>
      <w:pPr>
        <w:spacing w:after="0" w:line="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Tax effect on reclassification to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-100965</wp:posOffset>
            </wp:positionV>
            <wp:extent cx="7161530" cy="1149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1530" cy="114935"/>
                    </a:xfrm>
                    <a:prstGeom prst="rect">
                      <a:avLst/>
                    </a:prstGeom>
                    <a:noFill/>
                  </pic:spPr>
                </pic:pic>
              </a:graphicData>
            </a:graphic>
          </wp:anchor>
        </w:drawing>
      </w:r>
    </w:p>
    <w:p>
      <w:pPr>
        <w:spacing w:after="0" w:line="2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Amounts reclassified from AOCI, net</w:t>
      </w:r>
    </w:p>
    <w:p>
      <w:pPr>
        <w:spacing w:after="0" w:line="200" w:lineRule="exact"/>
        <w:rPr>
          <w:sz w:val="20"/>
          <w:szCs w:val="20"/>
          <w:color w:val="auto"/>
        </w:rPr>
      </w:pPr>
    </w:p>
    <w:p>
      <w:pPr>
        <w:spacing w:after="0" w:line="363"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171450</wp:posOffset>
            </wp:positionV>
            <wp:extent cx="7186930"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b w:val="1"/>
          <w:bCs w:val="1"/>
          <w:color w:val="auto"/>
        </w:rPr>
        <w:t>Three Months Ended</w:t>
      </w:r>
    </w:p>
    <w:p>
      <w:pPr>
        <w:jc w:val="center"/>
        <w:spacing w:after="0"/>
        <w:rPr>
          <w:sz w:val="20"/>
          <w:szCs w:val="20"/>
          <w:color w:val="auto"/>
        </w:rPr>
      </w:pPr>
      <w:r>
        <w:rPr>
          <w:rFonts w:ascii="Times New Roman" w:cs="Times New Roman" w:eastAsia="Times New Roman" w:hAnsi="Times New Roman"/>
          <w:sz w:val="11"/>
          <w:szCs w:val="11"/>
          <w:b w:val="1"/>
          <w:bCs w:val="1"/>
          <w:color w:val="auto"/>
        </w:rPr>
        <w:t>March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380" w:type="dxa"/>
            <w:vAlign w:val="bottom"/>
            <w:tcBorders>
              <w:top w:val="single" w:sz="8" w:color="auto"/>
              <w:bottom w:val="single" w:sz="8" w:color="auto"/>
            </w:tcBorders>
          </w:tcPr>
          <w:p>
            <w:pPr>
              <w:spacing w:after="0"/>
              <w:rPr>
                <w:sz w:val="14"/>
                <w:szCs w:val="14"/>
                <w:color w:val="auto"/>
              </w:rPr>
            </w:pPr>
          </w:p>
        </w:tc>
        <w:tc>
          <w:tcPr>
            <w:tcW w:w="1200" w:type="dxa"/>
            <w:vAlign w:val="bottom"/>
            <w:tcBorders>
              <w:top w:val="single" w:sz="8" w:color="auto"/>
              <w:bottom w:val="single" w:sz="8" w:color="auto"/>
            </w:tcBorders>
          </w:tcPr>
          <w:p>
            <w:pPr>
              <w:jc w:val="right"/>
              <w:ind w:right="611"/>
              <w:spacing w:after="0"/>
              <w:rPr>
                <w:sz w:val="20"/>
                <w:szCs w:val="20"/>
                <w:color w:val="auto"/>
              </w:rPr>
            </w:pPr>
            <w:r>
              <w:rPr>
                <w:rFonts w:ascii="Times New Roman" w:cs="Times New Roman" w:eastAsia="Times New Roman" w:hAnsi="Times New Roman"/>
                <w:sz w:val="11"/>
                <w:szCs w:val="11"/>
                <w:b w:val="1"/>
                <w:bCs w:val="1"/>
                <w:color w:val="auto"/>
              </w:rPr>
              <w:t>2024</w:t>
            </w:r>
          </w:p>
        </w:tc>
        <w:tc>
          <w:tcPr>
            <w:tcW w:w="100" w:type="dxa"/>
            <w:vAlign w:val="bottom"/>
            <w:tcBorders>
              <w:top w:val="single" w:sz="8" w:color="auto"/>
              <w:bottom w:val="single" w:sz="8" w:color="auto"/>
            </w:tcBorders>
          </w:tcPr>
          <w:p>
            <w:pPr>
              <w:spacing w:after="0"/>
              <w:rPr>
                <w:sz w:val="14"/>
                <w:szCs w:val="14"/>
                <w:color w:val="auto"/>
              </w:rPr>
            </w:pPr>
          </w:p>
        </w:tc>
        <w:tc>
          <w:tcPr>
            <w:tcW w:w="560" w:type="dxa"/>
            <w:vAlign w:val="bottom"/>
            <w:tcBorders>
              <w:top w:val="single" w:sz="8" w:color="auto"/>
              <w:bottom w:val="single" w:sz="8" w:color="auto"/>
            </w:tcBorders>
          </w:tcPr>
          <w:p>
            <w:pPr>
              <w:spacing w:after="0"/>
              <w:rPr>
                <w:sz w:val="14"/>
                <w:szCs w:val="14"/>
                <w:color w:val="auto"/>
              </w:rPr>
            </w:pPr>
          </w:p>
        </w:tc>
        <w:tc>
          <w:tcPr>
            <w:tcW w:w="1020" w:type="dxa"/>
            <w:vAlign w:val="bottom"/>
            <w:tcBorders>
              <w:top w:val="single" w:sz="8" w:color="auto"/>
              <w:bottom w:val="single" w:sz="8" w:color="auto"/>
            </w:tcBorders>
          </w:tcPr>
          <w:p>
            <w:pPr>
              <w:jc w:val="right"/>
              <w:ind w:right="610"/>
              <w:spacing w:after="0"/>
              <w:rPr>
                <w:sz w:val="20"/>
                <w:szCs w:val="20"/>
                <w:color w:val="auto"/>
              </w:rPr>
            </w:pPr>
            <w:r>
              <w:rPr>
                <w:rFonts w:ascii="Times New Roman" w:cs="Times New Roman" w:eastAsia="Times New Roman" w:hAnsi="Times New Roman"/>
                <w:sz w:val="11"/>
                <w:szCs w:val="11"/>
                <w:b w:val="1"/>
                <w:bCs w:val="1"/>
                <w:color w:val="auto"/>
              </w:rPr>
              <w:t>2023</w:t>
            </w:r>
          </w:p>
        </w:tc>
      </w:tr>
      <w:tr>
        <w:trPr>
          <w:trHeight w:val="145"/>
        </w:trPr>
        <w:tc>
          <w:tcPr>
            <w:tcW w:w="380" w:type="dxa"/>
            <w:vAlign w:val="bottom"/>
          </w:tcPr>
          <w:p>
            <w:pPr>
              <w:spacing w:after="0"/>
              <w:rPr>
                <w:sz w:val="12"/>
                <w:szCs w:val="12"/>
                <w:color w:val="auto"/>
              </w:rPr>
            </w:pPr>
          </w:p>
        </w:tc>
        <w:tc>
          <w:tcPr>
            <w:tcW w:w="1860" w:type="dxa"/>
            <w:vAlign w:val="bottom"/>
            <w:gridSpan w:val="3"/>
          </w:tcPr>
          <w:p>
            <w:pPr>
              <w:jc w:val="right"/>
              <w:ind w:right="49"/>
              <w:spacing w:after="0"/>
              <w:rPr>
                <w:sz w:val="20"/>
                <w:szCs w:val="20"/>
                <w:color w:val="auto"/>
              </w:rPr>
            </w:pPr>
            <w:r>
              <w:rPr>
                <w:rFonts w:ascii="Times New Roman" w:cs="Times New Roman" w:eastAsia="Times New Roman" w:hAnsi="Times New Roman"/>
                <w:sz w:val="11"/>
                <w:szCs w:val="11"/>
                <w:b w:val="1"/>
                <w:bCs w:val="1"/>
                <w:color w:val="auto"/>
              </w:rPr>
              <w:t>(Dollars in millions)</w:t>
            </w:r>
          </w:p>
        </w:tc>
        <w:tc>
          <w:tcPr>
            <w:tcW w:w="1020" w:type="dxa"/>
            <w:vAlign w:val="bottom"/>
          </w:tcPr>
          <w:p>
            <w:pPr>
              <w:spacing w:after="0"/>
              <w:rPr>
                <w:sz w:val="12"/>
                <w:szCs w:val="12"/>
                <w:color w:val="auto"/>
              </w:rPr>
            </w:pPr>
          </w:p>
        </w:tc>
      </w:tr>
      <w:tr>
        <w:trPr>
          <w:trHeight w:val="369"/>
        </w:trPr>
        <w:tc>
          <w:tcPr>
            <w:tcW w:w="380" w:type="dxa"/>
            <w:vAlign w:val="bottom"/>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w:t>
            </w:r>
          </w:p>
        </w:tc>
        <w:tc>
          <w:tcPr>
            <w:tcW w:w="100" w:type="dxa"/>
            <w:vAlign w:val="bottom"/>
          </w:tcPr>
          <w:p>
            <w:pPr>
              <w:spacing w:after="0"/>
              <w:rPr>
                <w:sz w:val="24"/>
                <w:szCs w:val="24"/>
                <w:color w:val="auto"/>
              </w:rPr>
            </w:pPr>
          </w:p>
        </w:tc>
        <w:tc>
          <w:tcPr>
            <w:tcW w:w="560" w:type="dxa"/>
            <w:vAlign w:val="bottom"/>
          </w:tcPr>
          <w:p>
            <w:pPr>
              <w:jc w:val="right"/>
              <w:ind w:right="40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w:t>
            </w:r>
          </w:p>
        </w:tc>
      </w:tr>
      <w:tr>
        <w:trPr>
          <w:trHeight w:val="185"/>
        </w:trPr>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100" w:type="dxa"/>
            <w:vAlign w:val="bottom"/>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w:t>
            </w:r>
          </w:p>
        </w:tc>
      </w:tr>
      <w:tr>
        <w:trPr>
          <w:trHeight w:val="175"/>
        </w:trPr>
        <w:tc>
          <w:tcPr>
            <w:tcW w:w="38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w:t>
            </w: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w:t>
            </w:r>
          </w:p>
        </w:tc>
      </w:tr>
      <w:tr>
        <w:trPr>
          <w:trHeight w:val="568"/>
        </w:trPr>
        <w:tc>
          <w:tcPr>
            <w:tcW w:w="38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w:t>
            </w:r>
          </w:p>
        </w:tc>
      </w:tr>
      <w:tr>
        <w:trPr>
          <w:trHeight w:val="185"/>
        </w:trPr>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75"/>
        </w:trPr>
        <w:tc>
          <w:tcPr>
            <w:tcW w:w="38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w:t>
            </w:r>
          </w:p>
        </w:tc>
      </w:tr>
      <w:tr>
        <w:trPr>
          <w:trHeight w:val="568"/>
        </w:trPr>
        <w:tc>
          <w:tcPr>
            <w:tcW w:w="38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w:t>
            </w:r>
          </w:p>
        </w:tc>
      </w:tr>
      <w:tr>
        <w:trPr>
          <w:trHeight w:val="181"/>
        </w:trPr>
        <w:tc>
          <w:tcPr>
            <w:tcW w:w="38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r>
      <w:tr>
        <w:trPr>
          <w:trHeight w:val="185"/>
        </w:trPr>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100" w:type="dxa"/>
            <w:vAlign w:val="bottom"/>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w:t>
            </w:r>
          </w:p>
        </w:tc>
      </w:tr>
      <w:tr>
        <w:trPr>
          <w:trHeight w:val="175"/>
        </w:trPr>
        <w:tc>
          <w:tcPr>
            <w:tcW w:w="38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r>
      <w:tr>
        <w:trPr>
          <w:trHeight w:val="568"/>
        </w:trPr>
        <w:tc>
          <w:tcPr>
            <w:tcW w:w="38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w:t>
            </w: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w:t>
            </w:r>
          </w:p>
        </w:tc>
      </w:tr>
      <w:tr>
        <w:trPr>
          <w:trHeight w:val="185"/>
        </w:trPr>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100" w:type="dxa"/>
            <w:vAlign w:val="bottom"/>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w:t>
            </w:r>
          </w:p>
        </w:tc>
      </w:tr>
      <w:tr>
        <w:trPr>
          <w:trHeight w:val="175"/>
        </w:trPr>
        <w:tc>
          <w:tcPr>
            <w:tcW w:w="38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w:t>
            </w: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w:t>
            </w:r>
          </w:p>
        </w:tc>
      </w:tr>
      <w:tr>
        <w:trPr>
          <w:trHeight w:val="210"/>
        </w:trPr>
        <w:tc>
          <w:tcPr>
            <w:tcW w:w="3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r>
      <w:tr>
        <w:trPr>
          <w:trHeight w:val="172"/>
        </w:trPr>
        <w:tc>
          <w:tcPr>
            <w:tcW w:w="380" w:type="dxa"/>
            <w:vAlign w:val="bottom"/>
            <w:tcBorders>
              <w:bottom w:val="single" w:sz="8" w:color="auto"/>
            </w:tcBorders>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w:t>
            </w:r>
          </w:p>
        </w:tc>
        <w:tc>
          <w:tcPr>
            <w:tcW w:w="100" w:type="dxa"/>
            <w:vAlign w:val="bottom"/>
          </w:tcPr>
          <w:p>
            <w:pPr>
              <w:spacing w:after="0"/>
              <w:rPr>
                <w:sz w:val="14"/>
                <w:szCs w:val="14"/>
                <w:color w:val="auto"/>
              </w:rPr>
            </w:pPr>
          </w:p>
        </w:tc>
        <w:tc>
          <w:tcPr>
            <w:tcW w:w="560" w:type="dxa"/>
            <w:vAlign w:val="bottom"/>
            <w:tcBorders>
              <w:bottom w:val="single" w:sz="8" w:color="auto"/>
            </w:tcBorders>
          </w:tcPr>
          <w:p>
            <w:pPr>
              <w:jc w:val="right"/>
              <w:ind w:right="40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w:t>
            </w:r>
          </w:p>
        </w:tc>
      </w:tr>
      <w:tr>
        <w:trPr>
          <w:trHeight w:val="20"/>
        </w:trPr>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1"/>
          <w:szCs w:val="11"/>
          <w:b w:val="1"/>
          <w:bCs w:val="1"/>
          <w:color w:val="auto"/>
        </w:rPr>
        <w:t>Three Months Ended March 31,</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380" w:type="dxa"/>
            <w:vAlign w:val="bottom"/>
            <w:tcBorders>
              <w:top w:val="single" w:sz="8" w:color="auto"/>
              <w:bottom w:val="single" w:sz="8" w:color="auto"/>
            </w:tcBorders>
          </w:tcPr>
          <w:p>
            <w:pPr>
              <w:spacing w:after="0"/>
              <w:rPr>
                <w:sz w:val="14"/>
                <w:szCs w:val="14"/>
                <w:color w:val="auto"/>
              </w:rPr>
            </w:pPr>
          </w:p>
        </w:tc>
        <w:tc>
          <w:tcPr>
            <w:tcW w:w="1200" w:type="dxa"/>
            <w:vAlign w:val="bottom"/>
            <w:tcBorders>
              <w:top w:val="single" w:sz="8" w:color="auto"/>
              <w:bottom w:val="single" w:sz="8" w:color="auto"/>
            </w:tcBorders>
          </w:tcPr>
          <w:p>
            <w:pPr>
              <w:jc w:val="right"/>
              <w:ind w:right="613"/>
              <w:spacing w:after="0"/>
              <w:rPr>
                <w:sz w:val="20"/>
                <w:szCs w:val="20"/>
                <w:color w:val="auto"/>
              </w:rPr>
            </w:pPr>
            <w:r>
              <w:rPr>
                <w:rFonts w:ascii="Times New Roman" w:cs="Times New Roman" w:eastAsia="Times New Roman" w:hAnsi="Times New Roman"/>
                <w:sz w:val="11"/>
                <w:szCs w:val="11"/>
                <w:b w:val="1"/>
                <w:bCs w:val="1"/>
                <w:color w:val="auto"/>
              </w:rPr>
              <w:t>2024</w:t>
            </w:r>
          </w:p>
        </w:tc>
        <w:tc>
          <w:tcPr>
            <w:tcW w:w="100" w:type="dxa"/>
            <w:vAlign w:val="bottom"/>
            <w:tcBorders>
              <w:top w:val="single" w:sz="8" w:color="auto"/>
              <w:bottom w:val="single" w:sz="8" w:color="auto"/>
            </w:tcBorders>
          </w:tcPr>
          <w:p>
            <w:pPr>
              <w:spacing w:after="0"/>
              <w:rPr>
                <w:sz w:val="14"/>
                <w:szCs w:val="14"/>
                <w:color w:val="auto"/>
              </w:rPr>
            </w:pPr>
          </w:p>
        </w:tc>
        <w:tc>
          <w:tcPr>
            <w:tcW w:w="560" w:type="dxa"/>
            <w:vAlign w:val="bottom"/>
            <w:tcBorders>
              <w:top w:val="single" w:sz="8" w:color="auto"/>
              <w:bottom w:val="single" w:sz="8" w:color="auto"/>
            </w:tcBorders>
          </w:tcPr>
          <w:p>
            <w:pPr>
              <w:spacing w:after="0"/>
              <w:rPr>
                <w:sz w:val="14"/>
                <w:szCs w:val="14"/>
                <w:color w:val="auto"/>
              </w:rPr>
            </w:pPr>
          </w:p>
        </w:tc>
        <w:tc>
          <w:tcPr>
            <w:tcW w:w="1020" w:type="dxa"/>
            <w:vAlign w:val="bottom"/>
            <w:tcBorders>
              <w:top w:val="single" w:sz="8" w:color="auto"/>
              <w:bottom w:val="single" w:sz="8" w:color="auto"/>
            </w:tcBorders>
          </w:tcPr>
          <w:p>
            <w:pPr>
              <w:jc w:val="right"/>
              <w:ind w:right="611"/>
              <w:spacing w:after="0"/>
              <w:rPr>
                <w:sz w:val="20"/>
                <w:szCs w:val="20"/>
                <w:color w:val="auto"/>
              </w:rPr>
            </w:pPr>
            <w:r>
              <w:rPr>
                <w:rFonts w:ascii="Times New Roman" w:cs="Times New Roman" w:eastAsia="Times New Roman" w:hAnsi="Times New Roman"/>
                <w:sz w:val="11"/>
                <w:szCs w:val="11"/>
                <w:b w:val="1"/>
                <w:bCs w:val="1"/>
                <w:color w:val="auto"/>
              </w:rPr>
              <w:t>2023</w:t>
            </w:r>
          </w:p>
        </w:tc>
      </w:tr>
      <w:tr>
        <w:trPr>
          <w:trHeight w:val="145"/>
        </w:trPr>
        <w:tc>
          <w:tcPr>
            <w:tcW w:w="380" w:type="dxa"/>
            <w:vAlign w:val="bottom"/>
          </w:tcPr>
          <w:p>
            <w:pPr>
              <w:spacing w:after="0"/>
              <w:rPr>
                <w:sz w:val="12"/>
                <w:szCs w:val="12"/>
                <w:color w:val="auto"/>
              </w:rPr>
            </w:pPr>
          </w:p>
        </w:tc>
        <w:tc>
          <w:tcPr>
            <w:tcW w:w="1860" w:type="dxa"/>
            <w:vAlign w:val="bottom"/>
            <w:gridSpan w:val="3"/>
          </w:tcPr>
          <w:p>
            <w:pPr>
              <w:jc w:val="right"/>
              <w:ind w:right="49"/>
              <w:spacing w:after="0"/>
              <w:rPr>
                <w:sz w:val="20"/>
                <w:szCs w:val="20"/>
                <w:color w:val="auto"/>
              </w:rPr>
            </w:pPr>
            <w:r>
              <w:rPr>
                <w:rFonts w:ascii="Times New Roman" w:cs="Times New Roman" w:eastAsia="Times New Roman" w:hAnsi="Times New Roman"/>
                <w:sz w:val="11"/>
                <w:szCs w:val="11"/>
                <w:b w:val="1"/>
                <w:bCs w:val="1"/>
                <w:color w:val="auto"/>
              </w:rPr>
              <w:t>(Dollars in millions)</w:t>
            </w:r>
          </w:p>
        </w:tc>
        <w:tc>
          <w:tcPr>
            <w:tcW w:w="1020" w:type="dxa"/>
            <w:vAlign w:val="bottom"/>
          </w:tcPr>
          <w:p>
            <w:pPr>
              <w:spacing w:after="0"/>
              <w:rPr>
                <w:sz w:val="12"/>
                <w:szCs w:val="12"/>
                <w:color w:val="auto"/>
              </w:rPr>
            </w:pPr>
          </w:p>
        </w:tc>
      </w:tr>
      <w:tr>
        <w:trPr>
          <w:trHeight w:val="369"/>
        </w:trPr>
        <w:tc>
          <w:tcPr>
            <w:tcW w:w="380" w:type="dxa"/>
            <w:vAlign w:val="bottom"/>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Pr>
          <w:p>
            <w:pPr>
              <w:jc w:val="center"/>
              <w:ind w:left="933"/>
              <w:spacing w:after="0"/>
              <w:rPr>
                <w:sz w:val="20"/>
                <w:szCs w:val="20"/>
                <w:color w:val="auto"/>
              </w:rPr>
            </w:pPr>
            <w:r>
              <w:rPr>
                <w:rFonts w:ascii="Times New Roman" w:cs="Times New Roman" w:eastAsia="Times New Roman" w:hAnsi="Times New Roman"/>
                <w:sz w:val="14"/>
                <w:szCs w:val="14"/>
                <w:color w:val="auto"/>
                <w:w w:val="97"/>
              </w:rPr>
              <w:t>(2)</w:t>
            </w:r>
          </w:p>
        </w:tc>
        <w:tc>
          <w:tcPr>
            <w:tcW w:w="100" w:type="dxa"/>
            <w:vAlign w:val="bottom"/>
          </w:tcPr>
          <w:p>
            <w:pPr>
              <w:spacing w:after="0"/>
              <w:rPr>
                <w:sz w:val="24"/>
                <w:szCs w:val="24"/>
                <w:color w:val="auto"/>
              </w:rPr>
            </w:pPr>
          </w:p>
        </w:tc>
        <w:tc>
          <w:tcPr>
            <w:tcW w:w="560" w:type="dxa"/>
            <w:vAlign w:val="bottom"/>
          </w:tcPr>
          <w:p>
            <w:pPr>
              <w:jc w:val="right"/>
              <w:ind w:right="40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w:t>
            </w:r>
          </w:p>
        </w:tc>
      </w:tr>
      <w:tr>
        <w:trPr>
          <w:trHeight w:val="181"/>
        </w:trPr>
        <w:tc>
          <w:tcPr>
            <w:tcW w:w="380" w:type="dxa"/>
            <w:vAlign w:val="bottom"/>
          </w:tcPr>
          <w:p>
            <w:pPr>
              <w:spacing w:after="0"/>
              <w:rPr>
                <w:sz w:val="15"/>
                <w:szCs w:val="15"/>
                <w:color w:val="auto"/>
              </w:rPr>
            </w:pPr>
          </w:p>
        </w:tc>
        <w:tc>
          <w:tcPr>
            <w:tcW w:w="1200" w:type="dxa"/>
            <w:vAlign w:val="bottom"/>
          </w:tcPr>
          <w:p>
            <w:pPr>
              <w:jc w:val="center"/>
              <w:ind w:left="933"/>
              <w:spacing w:after="0"/>
              <w:rPr>
                <w:sz w:val="20"/>
                <w:szCs w:val="20"/>
                <w:color w:val="auto"/>
              </w:rPr>
            </w:pPr>
            <w:r>
              <w:rPr>
                <w:rFonts w:ascii="Times New Roman" w:cs="Times New Roman" w:eastAsia="Times New Roman" w:hAnsi="Times New Roman"/>
                <w:sz w:val="14"/>
                <w:szCs w:val="14"/>
                <w:color w:val="auto"/>
                <w:w w:val="97"/>
              </w:rPr>
              <w:t>(2)</w:t>
            </w: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1"/>
        </w:trPr>
        <w:tc>
          <w:tcPr>
            <w:tcW w:w="380" w:type="dxa"/>
            <w:vAlign w:val="bottom"/>
          </w:tcPr>
          <w:p>
            <w:pPr>
              <w:spacing w:after="0"/>
              <w:rPr>
                <w:sz w:val="15"/>
                <w:szCs w:val="15"/>
                <w:color w:val="auto"/>
              </w:rPr>
            </w:pPr>
          </w:p>
        </w:tc>
        <w:tc>
          <w:tcPr>
            <w:tcW w:w="1200" w:type="dxa"/>
            <w:vAlign w:val="bottom"/>
          </w:tcPr>
          <w:p>
            <w:pPr>
              <w:jc w:val="center"/>
              <w:ind w:left="933"/>
              <w:spacing w:after="0"/>
              <w:rPr>
                <w:sz w:val="20"/>
                <w:szCs w:val="20"/>
                <w:color w:val="auto"/>
              </w:rPr>
            </w:pPr>
            <w:r>
              <w:rPr>
                <w:rFonts w:ascii="Times New Roman" w:cs="Times New Roman" w:eastAsia="Times New Roman" w:hAnsi="Times New Roman"/>
                <w:sz w:val="14"/>
                <w:szCs w:val="14"/>
                <w:color w:val="auto"/>
                <w:w w:val="97"/>
              </w:rPr>
              <w:t>(7)</w:t>
            </w: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5"/>
        </w:trPr>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left="953"/>
              <w:spacing w:after="0"/>
              <w:rPr>
                <w:sz w:val="20"/>
                <w:szCs w:val="20"/>
                <w:color w:val="auto"/>
              </w:rPr>
            </w:pPr>
            <w:r>
              <w:rPr>
                <w:rFonts w:ascii="Times New Roman" w:cs="Times New Roman" w:eastAsia="Times New Roman" w:hAnsi="Times New Roman"/>
                <w:sz w:val="14"/>
                <w:szCs w:val="14"/>
                <w:color w:val="auto"/>
                <w:w w:val="85"/>
              </w:rPr>
              <w:t>2</w:t>
            </w:r>
          </w:p>
        </w:tc>
        <w:tc>
          <w:tcPr>
            <w:tcW w:w="100" w:type="dxa"/>
            <w:vAlign w:val="bottom"/>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w:t>
            </w:r>
          </w:p>
        </w:tc>
      </w:tr>
      <w:tr>
        <w:trPr>
          <w:trHeight w:val="172"/>
        </w:trPr>
        <w:tc>
          <w:tcPr>
            <w:tcW w:w="380" w:type="dxa"/>
            <w:vAlign w:val="bottom"/>
            <w:tcBorders>
              <w:bottom w:val="single" w:sz="8" w:color="auto"/>
            </w:tcBorders>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bottom w:val="single" w:sz="8" w:color="auto"/>
            </w:tcBorders>
          </w:tcPr>
          <w:p>
            <w:pPr>
              <w:jc w:val="center"/>
              <w:ind w:left="933"/>
              <w:spacing w:after="0"/>
              <w:rPr>
                <w:sz w:val="20"/>
                <w:szCs w:val="20"/>
                <w:color w:val="auto"/>
              </w:rPr>
            </w:pPr>
            <w:r>
              <w:rPr>
                <w:rFonts w:ascii="Times New Roman" w:cs="Times New Roman" w:eastAsia="Times New Roman" w:hAnsi="Times New Roman"/>
                <w:sz w:val="14"/>
                <w:szCs w:val="14"/>
                <w:color w:val="auto"/>
                <w:w w:val="97"/>
              </w:rPr>
              <w:t>(9)</w:t>
            </w:r>
          </w:p>
        </w:tc>
        <w:tc>
          <w:tcPr>
            <w:tcW w:w="100" w:type="dxa"/>
            <w:vAlign w:val="bottom"/>
          </w:tcPr>
          <w:p>
            <w:pPr>
              <w:spacing w:after="0"/>
              <w:rPr>
                <w:sz w:val="14"/>
                <w:szCs w:val="14"/>
                <w:color w:val="auto"/>
              </w:rPr>
            </w:pPr>
          </w:p>
        </w:tc>
        <w:tc>
          <w:tcPr>
            <w:tcW w:w="560" w:type="dxa"/>
            <w:vAlign w:val="bottom"/>
            <w:tcBorders>
              <w:bottom w:val="single" w:sz="8" w:color="auto"/>
            </w:tcBorders>
          </w:tcPr>
          <w:p>
            <w:pPr>
              <w:jc w:val="right"/>
              <w:ind w:right="40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w:t>
            </w:r>
          </w:p>
        </w:tc>
      </w:tr>
      <w:tr>
        <w:trPr>
          <w:trHeight w:val="20"/>
        </w:trPr>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2">
            <w:col w:w="7620" w:space="400"/>
            <w:col w:w="3260"/>
          </w:cols>
          <w:pgMar w:left="300" w:top="900" w:right="31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4"/>
          <w:szCs w:val="14"/>
          <w:b w:val="1"/>
          <w:bCs w:val="1"/>
          <w:color w:val="auto"/>
        </w:rPr>
        <w:t>Note 18. Earnings Per Share</w:t>
      </w:r>
    </w:p>
    <w:p>
      <w:pPr>
        <w:spacing w:after="0" w:line="16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For the three months ended March 31, 2024, basic earnings per share ("EPS") is computed using the weighted-average number of common shares outstanding during the period.</w:t>
      </w:r>
    </w:p>
    <w:p>
      <w:pPr>
        <w:spacing w:after="0" w:line="148" w:lineRule="exact"/>
        <w:rPr>
          <w:sz w:val="20"/>
          <w:szCs w:val="20"/>
          <w:color w:val="auto"/>
        </w:rPr>
      </w:pPr>
    </w:p>
    <w:p>
      <w:pPr>
        <w:jc w:val="both"/>
        <w:ind w:firstLine="307"/>
        <w:spacing w:after="0" w:line="265" w:lineRule="auto"/>
        <w:rPr>
          <w:sz w:val="20"/>
          <w:szCs w:val="20"/>
          <w:color w:val="auto"/>
        </w:rPr>
      </w:pPr>
      <w:r>
        <w:rPr>
          <w:rFonts w:ascii="Times New Roman" w:cs="Times New Roman" w:eastAsia="Times New Roman" w:hAnsi="Times New Roman"/>
          <w:sz w:val="14"/>
          <w:szCs w:val="14"/>
          <w:color w:val="auto"/>
        </w:rPr>
        <w:t>For the three months ended March 31, 2023, basic earnings per share was calculated using the two-class method as our Series A Preferred Stock, which was considered a participating security prior to its conversion into Common Stock and cancellation pursuant to the Transaction. The two-class method requires an allocation of earnings to all securities that participate in dividends with common shares, such as our Series A Preferred Stock, to the extent that each security may share in the entity’s earnings. Basic earnings per share are then calculated by dividing undistributed earnings allocated to common stock by the weighted average number of common shares outstanding for the period.</w:t>
      </w:r>
    </w:p>
    <w:p>
      <w:pPr>
        <w:spacing w:after="0" w:line="109" w:lineRule="exact"/>
        <w:rPr>
          <w:sz w:val="20"/>
          <w:szCs w:val="20"/>
          <w:color w:val="auto"/>
        </w:rPr>
      </w:pPr>
    </w:p>
    <w:p>
      <w:pPr>
        <w:jc w:val="both"/>
        <w:ind w:firstLine="307"/>
        <w:spacing w:after="0" w:line="265" w:lineRule="auto"/>
        <w:rPr>
          <w:sz w:val="20"/>
          <w:szCs w:val="20"/>
          <w:color w:val="auto"/>
        </w:rPr>
      </w:pPr>
      <w:r>
        <w:rPr>
          <w:rFonts w:ascii="Times New Roman" w:cs="Times New Roman" w:eastAsia="Times New Roman" w:hAnsi="Times New Roman"/>
          <w:sz w:val="14"/>
          <w:szCs w:val="14"/>
          <w:color w:val="auto"/>
        </w:rPr>
        <w:t>Diluted earnings per share for the three months ended March 31, 2024 is calculated based on the weighted-average number of common shares outstanding for the period plus the dilutive effect of common stock equivalents using the treasury stock method. Diluted earnings per share for the three months ended March 31, 2023 is calculated using the more dilutive of the two-class or if-converted methods. The two-class method uses net income available to common shareholders and assumes conversion of all potential shares other than the participating securities. The if-converted method uses net income and assumes conversion of all potential shares including the participating securities.</w:t>
      </w:r>
    </w:p>
    <w:p>
      <w:pPr>
        <w:spacing w:after="0" w:line="1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The details of the EPS calculations for the three months ended March 31, 2024 and 2023 are as follows:</w:t>
      </w:r>
    </w:p>
    <w:p>
      <w:pPr>
        <w:spacing w:after="0" w:line="133" w:lineRule="exact"/>
        <w:rPr>
          <w:sz w:val="20"/>
          <w:szCs w:val="20"/>
          <w:color w:val="auto"/>
        </w:rPr>
      </w:pPr>
    </w:p>
    <w:p>
      <w:pPr>
        <w:jc w:val="center"/>
        <w:ind w:left="8000"/>
        <w:spacing w:after="0"/>
        <w:rPr>
          <w:sz w:val="20"/>
          <w:szCs w:val="20"/>
          <w:color w:val="auto"/>
        </w:rPr>
      </w:pPr>
      <w:r>
        <w:rPr>
          <w:rFonts w:ascii="Times New Roman" w:cs="Times New Roman" w:eastAsia="Times New Roman" w:hAnsi="Times New Roman"/>
          <w:sz w:val="11"/>
          <w:szCs w:val="11"/>
          <w:b w:val="1"/>
          <w:bCs w:val="1"/>
          <w:color w:val="auto"/>
        </w:rPr>
        <w:t>Three Months Ended</w:t>
      </w:r>
    </w:p>
    <w:p>
      <w:pPr>
        <w:spacing w:after="0" w:line="15" w:lineRule="exact"/>
        <w:rPr>
          <w:sz w:val="20"/>
          <w:szCs w:val="20"/>
          <w:color w:val="auto"/>
        </w:rPr>
      </w:pPr>
    </w:p>
    <w:p>
      <w:pPr>
        <w:jc w:val="center"/>
        <w:ind w:left="8000"/>
        <w:spacing w:after="0"/>
        <w:rPr>
          <w:sz w:val="20"/>
          <w:szCs w:val="20"/>
          <w:color w:val="auto"/>
        </w:rPr>
      </w:pPr>
      <w:r>
        <w:rPr>
          <w:rFonts w:ascii="Times New Roman" w:cs="Times New Roman" w:eastAsia="Times New Roman" w:hAnsi="Times New Roman"/>
          <w:sz w:val="11"/>
          <w:szCs w:val="11"/>
          <w:b w:val="1"/>
          <w:bCs w:val="1"/>
          <w:color w:val="auto"/>
        </w:rPr>
        <w:t>March 31,</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8020" w:type="dxa"/>
            <w:vAlign w:val="bottom"/>
          </w:tcPr>
          <w:p>
            <w:pPr>
              <w:spacing w:after="0"/>
              <w:rPr>
                <w:sz w:val="14"/>
                <w:szCs w:val="14"/>
                <w:color w:val="auto"/>
              </w:rPr>
            </w:pPr>
          </w:p>
        </w:tc>
        <w:tc>
          <w:tcPr>
            <w:tcW w:w="380" w:type="dxa"/>
            <w:vAlign w:val="bottom"/>
            <w:tcBorders>
              <w:top w:val="single" w:sz="8" w:color="auto"/>
              <w:bottom w:val="single" w:sz="8" w:color="auto"/>
            </w:tcBorders>
          </w:tcPr>
          <w:p>
            <w:pPr>
              <w:spacing w:after="0"/>
              <w:rPr>
                <w:sz w:val="14"/>
                <w:szCs w:val="14"/>
                <w:color w:val="auto"/>
              </w:rPr>
            </w:pPr>
          </w:p>
        </w:tc>
        <w:tc>
          <w:tcPr>
            <w:tcW w:w="1220" w:type="dxa"/>
            <w:vAlign w:val="bottom"/>
            <w:tcBorders>
              <w:top w:val="single" w:sz="8" w:color="auto"/>
              <w:bottom w:val="single" w:sz="8" w:color="auto"/>
            </w:tcBorders>
          </w:tcPr>
          <w:p>
            <w:pPr>
              <w:jc w:val="right"/>
              <w:ind w:right="611"/>
              <w:spacing w:after="0"/>
              <w:rPr>
                <w:sz w:val="20"/>
                <w:szCs w:val="20"/>
                <w:color w:val="auto"/>
              </w:rPr>
            </w:pPr>
            <w:r>
              <w:rPr>
                <w:rFonts w:ascii="Times New Roman" w:cs="Times New Roman" w:eastAsia="Times New Roman" w:hAnsi="Times New Roman"/>
                <w:sz w:val="11"/>
                <w:szCs w:val="11"/>
                <w:b w:val="1"/>
                <w:bCs w:val="1"/>
                <w:color w:val="auto"/>
              </w:rPr>
              <w:t>2024</w:t>
            </w:r>
          </w:p>
        </w:tc>
        <w:tc>
          <w:tcPr>
            <w:tcW w:w="80" w:type="dxa"/>
            <w:vAlign w:val="bottom"/>
            <w:tcBorders>
              <w:top w:val="single" w:sz="8" w:color="auto"/>
              <w:bottom w:val="single" w:sz="8" w:color="auto"/>
            </w:tcBorders>
          </w:tcPr>
          <w:p>
            <w:pPr>
              <w:spacing w:after="0"/>
              <w:rPr>
                <w:sz w:val="14"/>
                <w:szCs w:val="14"/>
                <w:color w:val="auto"/>
              </w:rPr>
            </w:pPr>
          </w:p>
        </w:tc>
        <w:tc>
          <w:tcPr>
            <w:tcW w:w="300" w:type="dxa"/>
            <w:vAlign w:val="bottom"/>
            <w:tcBorders>
              <w:top w:val="single" w:sz="8" w:color="auto"/>
              <w:bottom w:val="single" w:sz="8" w:color="auto"/>
            </w:tcBorders>
          </w:tcPr>
          <w:p>
            <w:pPr>
              <w:spacing w:after="0"/>
              <w:rPr>
                <w:sz w:val="14"/>
                <w:szCs w:val="14"/>
                <w:color w:val="auto"/>
              </w:rPr>
            </w:pPr>
          </w:p>
        </w:tc>
        <w:tc>
          <w:tcPr>
            <w:tcW w:w="1280" w:type="dxa"/>
            <w:vAlign w:val="bottom"/>
            <w:tcBorders>
              <w:top w:val="single" w:sz="8" w:color="auto"/>
              <w:bottom w:val="single" w:sz="8" w:color="auto"/>
            </w:tcBorders>
          </w:tcPr>
          <w:p>
            <w:pPr>
              <w:jc w:val="right"/>
              <w:ind w:right="610"/>
              <w:spacing w:after="0"/>
              <w:rPr>
                <w:sz w:val="20"/>
                <w:szCs w:val="20"/>
                <w:color w:val="auto"/>
              </w:rPr>
            </w:pPr>
            <w:r>
              <w:rPr>
                <w:rFonts w:ascii="Times New Roman" w:cs="Times New Roman" w:eastAsia="Times New Roman" w:hAnsi="Times New Roman"/>
                <w:sz w:val="11"/>
                <w:szCs w:val="11"/>
                <w:b w:val="1"/>
                <w:bCs w:val="1"/>
                <w:color w:val="auto"/>
              </w:rPr>
              <w:t>2023</w:t>
            </w:r>
          </w:p>
        </w:tc>
      </w:tr>
      <w:tr>
        <w:trPr>
          <w:trHeight w:val="161"/>
        </w:trPr>
        <w:tc>
          <w:tcPr>
            <w:tcW w:w="80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880" w:type="dxa"/>
            <w:vAlign w:val="bottom"/>
            <w:gridSpan w:val="4"/>
          </w:tcPr>
          <w:p>
            <w:pPr>
              <w:jc w:val="right"/>
              <w:ind w:right="670"/>
              <w:spacing w:after="0"/>
              <w:rPr>
                <w:sz w:val="20"/>
                <w:szCs w:val="20"/>
                <w:color w:val="auto"/>
              </w:rPr>
            </w:pPr>
            <w:r>
              <w:rPr>
                <w:rFonts w:ascii="Times New Roman" w:cs="Times New Roman" w:eastAsia="Times New Roman" w:hAnsi="Times New Roman"/>
                <w:sz w:val="11"/>
                <w:szCs w:val="11"/>
                <w:b w:val="1"/>
                <w:bCs w:val="1"/>
                <w:color w:val="auto"/>
              </w:rPr>
              <w:t>(Dollars in millions except per share)</w:t>
            </w:r>
          </w:p>
        </w:tc>
      </w:tr>
      <w:tr>
        <w:trPr>
          <w:trHeight w:val="212"/>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Basic earnings per share:</w:t>
            </w: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r>
      <w:tr>
        <w:trPr>
          <w:trHeight w:val="197"/>
        </w:trPr>
        <w:tc>
          <w:tcPr>
            <w:tcW w:w="8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380" w:type="dxa"/>
            <w:vAlign w:val="bottom"/>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w:t>
            </w:r>
          </w:p>
        </w:tc>
        <w:tc>
          <w:tcPr>
            <w:tcW w:w="80" w:type="dxa"/>
            <w:vAlign w:val="bottom"/>
          </w:tcPr>
          <w:p>
            <w:pPr>
              <w:spacing w:after="0"/>
              <w:rPr>
                <w:sz w:val="17"/>
                <w:szCs w:val="17"/>
                <w:color w:val="auto"/>
              </w:rPr>
            </w:pPr>
          </w:p>
        </w:tc>
        <w:tc>
          <w:tcPr>
            <w:tcW w:w="300" w:type="dxa"/>
            <w:vAlign w:val="bottom"/>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w:t>
            </w:r>
          </w:p>
        </w:tc>
      </w:tr>
      <w:tr>
        <w:trPr>
          <w:trHeight w:val="208"/>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Less: preferred stock dividend</w:t>
            </w:r>
          </w:p>
        </w:tc>
        <w:tc>
          <w:tcPr>
            <w:tcW w:w="3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w:t>
            </w:r>
          </w:p>
        </w:tc>
      </w:tr>
      <w:tr>
        <w:trPr>
          <w:trHeight w:val="187"/>
        </w:trPr>
        <w:tc>
          <w:tcPr>
            <w:tcW w:w="80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Net income available for distribution</w:t>
            </w:r>
          </w:p>
        </w:tc>
        <w:tc>
          <w:tcPr>
            <w:tcW w:w="38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66</w:t>
            </w:r>
          </w:p>
        </w:tc>
        <w:tc>
          <w:tcPr>
            <w:tcW w:w="8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w:t>
            </w:r>
          </w:p>
        </w:tc>
      </w:tr>
      <w:tr>
        <w:trPr>
          <w:trHeight w:val="202"/>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Less: earnings allocated to participating securities</w:t>
            </w:r>
          </w:p>
        </w:tc>
        <w:tc>
          <w:tcPr>
            <w:tcW w:w="380" w:type="dxa"/>
            <w:vAlign w:val="bottom"/>
            <w:tcBorders>
              <w:bottom w:val="single" w:sz="8" w:color="auto"/>
            </w:tcBorders>
            <w:shd w:val="clear" w:color="auto" w:fill="CCEEFF"/>
          </w:tcPr>
          <w:p>
            <w:pPr>
              <w:spacing w:after="0"/>
              <w:rPr>
                <w:sz w:val="17"/>
                <w:szCs w:val="17"/>
                <w:color w:val="auto"/>
              </w:rPr>
            </w:pPr>
          </w:p>
        </w:tc>
        <w:tc>
          <w:tcPr>
            <w:tcW w:w="1300" w:type="dxa"/>
            <w:vAlign w:val="bottom"/>
            <w:tcBorders>
              <w:bottom w:val="single" w:sz="8" w:color="auto"/>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w:t>
            </w:r>
          </w:p>
        </w:tc>
      </w:tr>
      <w:tr>
        <w:trPr>
          <w:trHeight w:val="193"/>
        </w:trPr>
        <w:tc>
          <w:tcPr>
            <w:tcW w:w="802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4"/>
                <w:szCs w:val="14"/>
                <w:color w:val="auto"/>
              </w:rPr>
              <w:t>Net income available to common shareholders</w:t>
            </w:r>
          </w:p>
        </w:tc>
        <w:tc>
          <w:tcPr>
            <w:tcW w:w="380" w:type="dxa"/>
            <w:vAlign w:val="bottom"/>
            <w:tcBorders>
              <w:bottom w:val="single" w:sz="8" w:color="auto"/>
            </w:tcBorders>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66</w:t>
            </w:r>
          </w:p>
        </w:tc>
        <w:tc>
          <w:tcPr>
            <w:tcW w:w="8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w:t>
            </w:r>
          </w:p>
        </w:tc>
      </w:tr>
      <w:tr>
        <w:trPr>
          <w:trHeight w:val="193"/>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Weighted average common shares outstanding - Basic</w:t>
            </w:r>
          </w:p>
        </w:tc>
        <w:tc>
          <w:tcPr>
            <w:tcW w:w="380" w:type="dxa"/>
            <w:vAlign w:val="bottom"/>
            <w:tcBorders>
              <w:bottom w:val="single" w:sz="8" w:color="auto"/>
            </w:tcBorders>
            <w:shd w:val="clear" w:color="auto" w:fill="CCEEFF"/>
          </w:tcPr>
          <w:p>
            <w:pPr>
              <w:spacing w:after="0"/>
              <w:rPr>
                <w:sz w:val="16"/>
                <w:szCs w:val="16"/>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236,664,129</w:t>
            </w:r>
          </w:p>
        </w:tc>
        <w:tc>
          <w:tcPr>
            <w:tcW w:w="8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64,896,081</w:t>
            </w:r>
          </w:p>
        </w:tc>
      </w:tr>
      <w:tr>
        <w:trPr>
          <w:trHeight w:val="199"/>
        </w:trPr>
        <w:tc>
          <w:tcPr>
            <w:tcW w:w="8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EPS – Basic</w:t>
            </w:r>
          </w:p>
        </w:tc>
        <w:tc>
          <w:tcPr>
            <w:tcW w:w="380" w:type="dxa"/>
            <w:vAlign w:val="bottom"/>
            <w:tcBorders>
              <w:bottom w:val="single" w:sz="8" w:color="auto"/>
            </w:tcBorders>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0.28</w:t>
            </w:r>
          </w:p>
        </w:tc>
        <w:tc>
          <w:tcPr>
            <w:tcW w:w="80" w:type="dxa"/>
            <w:vAlign w:val="bottom"/>
          </w:tcPr>
          <w:p>
            <w:pPr>
              <w:spacing w:after="0"/>
              <w:rPr>
                <w:sz w:val="17"/>
                <w:szCs w:val="17"/>
                <w:color w:val="auto"/>
              </w:rPr>
            </w:pPr>
          </w:p>
        </w:tc>
        <w:tc>
          <w:tcPr>
            <w:tcW w:w="300" w:type="dxa"/>
            <w:vAlign w:val="bottom"/>
            <w:tcBorders>
              <w:bottom w:val="single" w:sz="8" w:color="auto"/>
            </w:tcBorders>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0.13</w:t>
            </w:r>
          </w:p>
        </w:tc>
      </w:tr>
      <w:tr>
        <w:trPr>
          <w:trHeight w:val="20"/>
        </w:trPr>
        <w:tc>
          <w:tcPr>
            <w:tcW w:w="80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174"/>
        </w:trPr>
        <w:tc>
          <w:tcPr>
            <w:tcW w:w="80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r>
      <w:tr>
        <w:trPr>
          <w:trHeight w:val="197"/>
        </w:trPr>
        <w:tc>
          <w:tcPr>
            <w:tcW w:w="80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Diluted earnings per share:</w:t>
            </w:r>
          </w:p>
        </w:tc>
        <w:tc>
          <w:tcPr>
            <w:tcW w:w="3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08"/>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i w:val="1"/>
                <w:iCs w:val="1"/>
                <w:color w:val="auto"/>
              </w:rPr>
              <w:t>Method used:</w:t>
            </w: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4"/>
                <w:szCs w:val="14"/>
                <w:i w:val="1"/>
                <w:iCs w:val="1"/>
                <w:color w:val="auto"/>
              </w:rPr>
              <w:t>Two-class</w:t>
            </w:r>
          </w:p>
        </w:tc>
      </w:tr>
      <w:tr>
        <w:trPr>
          <w:trHeight w:val="197"/>
        </w:trPr>
        <w:tc>
          <w:tcPr>
            <w:tcW w:w="8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Weighted average common shares outstanding - Basic</w:t>
            </w:r>
          </w:p>
        </w:tc>
        <w:tc>
          <w:tcPr>
            <w:tcW w:w="3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236,664,129</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64,896,081</w:t>
            </w:r>
          </w:p>
        </w:tc>
      </w:tr>
      <w:tr>
        <w:trPr>
          <w:trHeight w:val="219"/>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Dilutive effect of unvested RSUs and other contingently issuable shares</w:t>
            </w: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2,327,757</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1,074,642</w:t>
            </w:r>
          </w:p>
        </w:tc>
      </w:tr>
      <w:tr>
        <w:trPr>
          <w:trHeight w:val="187"/>
        </w:trPr>
        <w:tc>
          <w:tcPr>
            <w:tcW w:w="8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Weighted average common shares outstanding – Diluted</w:t>
            </w: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238,991,886</w:t>
            </w:r>
          </w:p>
        </w:tc>
        <w:tc>
          <w:tcPr>
            <w:tcW w:w="8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65,970,723</w:t>
            </w:r>
          </w:p>
        </w:tc>
      </w:tr>
      <w:tr>
        <w:trPr>
          <w:trHeight w:val="218"/>
        </w:trPr>
        <w:tc>
          <w:tcPr>
            <w:tcW w:w="8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EPS – Diluted</w:t>
            </w:r>
          </w:p>
        </w:tc>
        <w:tc>
          <w:tcPr>
            <w:tcW w:w="380" w:type="dxa"/>
            <w:vAlign w:val="bottom"/>
            <w:tcBorders>
              <w:bottom w:val="single" w:sz="8" w:color="auto"/>
            </w:tcBorders>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0.28</w:t>
            </w:r>
          </w:p>
        </w:tc>
        <w:tc>
          <w:tcPr>
            <w:tcW w:w="8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0.13</w:t>
            </w: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19. Related Party Transactions</w:t>
      </w:r>
    </w:p>
    <w:p>
      <w:pPr>
        <w:spacing w:after="0" w:line="150" w:lineRule="exact"/>
        <w:rPr>
          <w:sz w:val="20"/>
          <w:szCs w:val="20"/>
          <w:color w:val="auto"/>
        </w:rPr>
      </w:pPr>
    </w:p>
    <w:p>
      <w:pPr>
        <w:jc w:val="both"/>
        <w:ind w:firstLine="307"/>
        <w:spacing w:after="0" w:line="271" w:lineRule="auto"/>
        <w:rPr>
          <w:sz w:val="20"/>
          <w:szCs w:val="20"/>
          <w:color w:val="auto"/>
        </w:rPr>
      </w:pPr>
      <w:r>
        <w:rPr>
          <w:rFonts w:ascii="Times New Roman" w:cs="Times New Roman" w:eastAsia="Times New Roman" w:hAnsi="Times New Roman"/>
          <w:sz w:val="14"/>
          <w:szCs w:val="14"/>
          <w:color w:val="auto"/>
        </w:rPr>
        <w:t>We contract with Trane Technologies ("Trane") for the occasional purchase of goods and services. Trane is considered a related party as Mr. Paul Camuti, a director on our Board of Directors since February 9, 2024, serves as an executive officer of Trane. Our payments under the agreements with Trane for the three months ended March 31, 2024, as well as any liabilities due to Trane as of March 31, 2024, were immaterial. For the three months ended March 31, 2023, Trane was not considered a related party.</w:t>
      </w:r>
    </w:p>
    <w:p>
      <w:pPr>
        <w:spacing w:after="0" w:line="200" w:lineRule="exact"/>
        <w:rPr>
          <w:sz w:val="20"/>
          <w:szCs w:val="20"/>
          <w:color w:val="auto"/>
        </w:rPr>
      </w:pPr>
    </w:p>
    <w:p>
      <w:pPr>
        <w:spacing w:after="0" w:line="245"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171450</wp:posOffset>
            </wp:positionV>
            <wp:extent cx="7186930"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00" w:right="31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4"/>
          <w:szCs w:val="14"/>
          <w:b w:val="1"/>
          <w:bCs w:val="1"/>
          <w:color w:val="auto"/>
        </w:rPr>
        <w:t>Note 20. Commitments and Contingencies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Securities Litigation</w:t>
      </w:r>
    </w:p>
    <w:p>
      <w:pPr>
        <w:spacing w:after="0" w:line="152" w:lineRule="exact"/>
        <w:rPr>
          <w:sz w:val="20"/>
          <w:szCs w:val="20"/>
          <w:color w:val="auto"/>
        </w:rPr>
      </w:pPr>
    </w:p>
    <w:p>
      <w:pPr>
        <w:jc w:val="both"/>
        <w:ind w:firstLine="307"/>
        <w:spacing w:after="0" w:line="262" w:lineRule="auto"/>
        <w:rPr>
          <w:sz w:val="20"/>
          <w:szCs w:val="20"/>
          <w:color w:val="auto"/>
        </w:rPr>
      </w:pPr>
      <w:r>
        <w:rPr>
          <w:rFonts w:ascii="Times New Roman" w:cs="Times New Roman" w:eastAsia="Times New Roman" w:hAnsi="Times New Roman"/>
          <w:sz w:val="14"/>
          <w:szCs w:val="14"/>
          <w:color w:val="auto"/>
        </w:rPr>
        <w:t>In 2020, various securities class action complaints were filed against Garrett Motion Inc. and certain current and former Garrett officers and directors in the United States District Court for the Southern District of New York asserting claims under Section 10(b) and 20(a) of the Securities Exchange Act of 1934, as amended, for alleged securities fraud and control person liability. In March 2022, the trial court dismissed with prejudice the claims against certain of the defendants, and in March 2023, the trial court dismissed with prejudice all remaining claims. In April 2023, the plaintiffs appealed the trial court’s decision to the United States Court of Appeals for the Second Circuit, and in April 2024 the Second Circuit affirmed dismissal of the claims. Management did not believe an adverse outcome in this matter was probable, and therefore no accrual has been recorded.</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Brazilian Tax Matter</w:t>
      </w:r>
    </w:p>
    <w:p>
      <w:pPr>
        <w:spacing w:after="0" w:line="162" w:lineRule="exact"/>
        <w:rPr>
          <w:sz w:val="20"/>
          <w:szCs w:val="20"/>
          <w:color w:val="auto"/>
        </w:rPr>
      </w:pPr>
    </w:p>
    <w:p>
      <w:pPr>
        <w:jc w:val="both"/>
        <w:ind w:firstLine="307"/>
        <w:spacing w:after="0" w:line="265" w:lineRule="auto"/>
        <w:rPr>
          <w:sz w:val="20"/>
          <w:szCs w:val="20"/>
          <w:color w:val="auto"/>
        </w:rPr>
      </w:pPr>
      <w:r>
        <w:rPr>
          <w:rFonts w:ascii="Times New Roman" w:cs="Times New Roman" w:eastAsia="Times New Roman" w:hAnsi="Times New Roman"/>
          <w:sz w:val="14"/>
          <w:szCs w:val="14"/>
          <w:color w:val="auto"/>
        </w:rPr>
        <w:t>In September 2020, the Brazilian tax authorities issued an infraction notice against Garrett Motion Industria Automotiva Brasil Ltda, challenging the use of certain tax credits (“Befiex Credits”) between January 2017 and February 2020. The infraction notice results in a loss contingency that may or may not ultimately be incurred by the Company. The estimated total amount of the contingency as of March 31, 2024 was $39 million including penalties and interest. The Company believes, based on management’s assessment and the advice of external legal counsel, that it has meritorious arguments in connection with the infraction notice and any liability for the infraction notice is currently not probable. Accordingly, no accrual is required at this time.</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Warranties and Guarantees</w:t>
      </w:r>
    </w:p>
    <w:p>
      <w:pPr>
        <w:spacing w:after="0" w:line="152" w:lineRule="exact"/>
        <w:rPr>
          <w:sz w:val="20"/>
          <w:szCs w:val="20"/>
          <w:color w:val="auto"/>
        </w:rPr>
      </w:pPr>
    </w:p>
    <w:p>
      <w:pPr>
        <w:jc w:val="both"/>
        <w:ind w:firstLine="307"/>
        <w:spacing w:after="0" w:line="264" w:lineRule="auto"/>
        <w:rPr>
          <w:sz w:val="20"/>
          <w:szCs w:val="20"/>
          <w:color w:val="auto"/>
        </w:rPr>
      </w:pPr>
      <w:r>
        <w:rPr>
          <w:rFonts w:ascii="Times New Roman" w:cs="Times New Roman" w:eastAsia="Times New Roman" w:hAnsi="Times New Roman"/>
          <w:sz w:val="14"/>
          <w:szCs w:val="14"/>
          <w:color w:val="auto"/>
        </w:rPr>
        <w:t>In the normal course of business, we issue product warranties and product performance guarantees. We accrue for the estimated cost of product warranties and performance guarantees based on contract terms and historical experience at the time of sale to the customer. Adjustments to initial obligations for warranties and guarantees are made as changes to the obligations become reasonably estimable. Product warranties and product performance guarantees are included in Accrued liabilities and Other liabilities. The following table summarizes information concerning our recorded obligations for product warranties and product performance guarantees.</w:t>
      </w:r>
    </w:p>
    <w:p>
      <w:pPr>
        <w:spacing w:after="0" w:line="1" w:lineRule="exact"/>
        <w:rPr>
          <w:sz w:val="20"/>
          <w:szCs w:val="20"/>
          <w:color w:val="auto"/>
        </w:rPr>
      </w:pPr>
    </w:p>
    <w:p>
      <w:pPr>
        <w:jc w:val="center"/>
        <w:ind w:left="9020"/>
        <w:spacing w:after="0"/>
        <w:rPr>
          <w:sz w:val="20"/>
          <w:szCs w:val="20"/>
          <w:color w:val="auto"/>
        </w:rPr>
      </w:pPr>
      <w:r>
        <w:rPr>
          <w:rFonts w:ascii="Times New Roman" w:cs="Times New Roman" w:eastAsia="Times New Roman" w:hAnsi="Times New Roman"/>
          <w:sz w:val="11"/>
          <w:szCs w:val="11"/>
          <w:b w:val="1"/>
          <w:bCs w:val="1"/>
          <w:color w:val="auto"/>
        </w:rPr>
        <w:t>Three Months Ended</w:t>
      </w:r>
    </w:p>
    <w:p>
      <w:pPr>
        <w:spacing w:after="0" w:line="5" w:lineRule="exact"/>
        <w:rPr>
          <w:sz w:val="20"/>
          <w:szCs w:val="20"/>
          <w:color w:val="auto"/>
        </w:rPr>
      </w:pPr>
    </w:p>
    <w:p>
      <w:pPr>
        <w:jc w:val="center"/>
        <w:ind w:left="9020"/>
        <w:spacing w:after="0"/>
        <w:rPr>
          <w:sz w:val="20"/>
          <w:szCs w:val="20"/>
          <w:color w:val="auto"/>
        </w:rPr>
      </w:pPr>
      <w:r>
        <w:rPr>
          <w:rFonts w:ascii="Times New Roman" w:cs="Times New Roman" w:eastAsia="Times New Roman" w:hAnsi="Times New Roman"/>
          <w:sz w:val="11"/>
          <w:szCs w:val="11"/>
          <w:b w:val="1"/>
          <w:bCs w:val="1"/>
          <w:color w:val="auto"/>
        </w:rPr>
        <w:t>March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9040" w:type="dxa"/>
            <w:vAlign w:val="bottom"/>
          </w:tcPr>
          <w:p>
            <w:pPr>
              <w:spacing w:after="0"/>
              <w:rPr>
                <w:sz w:val="13"/>
                <w:szCs w:val="13"/>
                <w:color w:val="auto"/>
              </w:rPr>
            </w:pPr>
          </w:p>
        </w:tc>
        <w:tc>
          <w:tcPr>
            <w:tcW w:w="780" w:type="dxa"/>
            <w:vAlign w:val="bottom"/>
            <w:tcBorders>
              <w:top w:val="single" w:sz="8" w:color="auto"/>
              <w:bottom w:val="single" w:sz="8" w:color="auto"/>
            </w:tcBorders>
          </w:tcPr>
          <w:p>
            <w:pPr>
              <w:jc w:val="right"/>
              <w:ind w:right="56"/>
              <w:spacing w:after="0"/>
              <w:rPr>
                <w:sz w:val="20"/>
                <w:szCs w:val="20"/>
                <w:color w:val="auto"/>
              </w:rPr>
            </w:pPr>
            <w:r>
              <w:rPr>
                <w:rFonts w:ascii="Times New Roman" w:cs="Times New Roman" w:eastAsia="Times New Roman" w:hAnsi="Times New Roman"/>
                <w:sz w:val="11"/>
                <w:szCs w:val="11"/>
                <w:b w:val="1"/>
                <w:bCs w:val="1"/>
                <w:color w:val="auto"/>
              </w:rPr>
              <w:t>2024</w:t>
            </w:r>
          </w:p>
        </w:tc>
        <w:tc>
          <w:tcPr>
            <w:tcW w:w="300" w:type="dxa"/>
            <w:vAlign w:val="bottom"/>
            <w:tcBorders>
              <w:top w:val="single" w:sz="8" w:color="auto"/>
              <w:bottom w:val="single" w:sz="8" w:color="auto"/>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780" w:type="dxa"/>
            <w:vAlign w:val="bottom"/>
            <w:tcBorders>
              <w:top w:val="single" w:sz="8" w:color="auto"/>
              <w:bottom w:val="single" w:sz="8" w:color="auto"/>
            </w:tcBorders>
          </w:tcPr>
          <w:p>
            <w:pPr>
              <w:jc w:val="right"/>
              <w:ind w:right="54"/>
              <w:spacing w:after="0"/>
              <w:rPr>
                <w:sz w:val="20"/>
                <w:szCs w:val="20"/>
                <w:color w:val="auto"/>
              </w:rPr>
            </w:pPr>
            <w:r>
              <w:rPr>
                <w:rFonts w:ascii="Times New Roman" w:cs="Times New Roman" w:eastAsia="Times New Roman" w:hAnsi="Times New Roman"/>
                <w:sz w:val="11"/>
                <w:szCs w:val="11"/>
                <w:b w:val="1"/>
                <w:bCs w:val="1"/>
                <w:color w:val="auto"/>
              </w:rPr>
              <w:t>2023</w:t>
            </w:r>
          </w:p>
        </w:tc>
        <w:tc>
          <w:tcPr>
            <w:tcW w:w="300" w:type="dxa"/>
            <w:vAlign w:val="bottom"/>
            <w:tcBorders>
              <w:top w:val="single" w:sz="8" w:color="auto"/>
              <w:bottom w:val="single" w:sz="8" w:color="auto"/>
            </w:tcBorders>
          </w:tcPr>
          <w:p>
            <w:pPr>
              <w:spacing w:after="0"/>
              <w:rPr>
                <w:sz w:val="13"/>
                <w:szCs w:val="13"/>
                <w:color w:val="auto"/>
              </w:rPr>
            </w:pPr>
          </w:p>
        </w:tc>
      </w:tr>
      <w:tr>
        <w:trPr>
          <w:trHeight w:val="161"/>
        </w:trPr>
        <w:tc>
          <w:tcPr>
            <w:tcW w:w="9040" w:type="dxa"/>
            <w:vAlign w:val="bottom"/>
          </w:tcPr>
          <w:p>
            <w:pPr>
              <w:spacing w:after="0"/>
              <w:rPr>
                <w:sz w:val="13"/>
                <w:szCs w:val="13"/>
                <w:color w:val="auto"/>
              </w:rPr>
            </w:pPr>
          </w:p>
        </w:tc>
        <w:tc>
          <w:tcPr>
            <w:tcW w:w="1940" w:type="dxa"/>
            <w:vAlign w:val="bottom"/>
            <w:gridSpan w:val="4"/>
          </w:tcPr>
          <w:p>
            <w:pPr>
              <w:jc w:val="right"/>
              <w:ind w:right="274"/>
              <w:spacing w:after="0"/>
              <w:rPr>
                <w:sz w:val="20"/>
                <w:szCs w:val="20"/>
                <w:color w:val="auto"/>
              </w:rPr>
            </w:pPr>
            <w:r>
              <w:rPr>
                <w:rFonts w:ascii="Times New Roman" w:cs="Times New Roman" w:eastAsia="Times New Roman" w:hAnsi="Times New Roman"/>
                <w:sz w:val="11"/>
                <w:szCs w:val="11"/>
                <w:b w:val="1"/>
                <w:bCs w:val="1"/>
                <w:color w:val="auto"/>
              </w:rPr>
              <w:t>(Dollars in millions)</w:t>
            </w:r>
          </w:p>
        </w:tc>
        <w:tc>
          <w:tcPr>
            <w:tcW w:w="300" w:type="dxa"/>
            <w:vAlign w:val="bottom"/>
          </w:tcPr>
          <w:p>
            <w:pPr>
              <w:spacing w:after="0"/>
              <w:rPr>
                <w:sz w:val="13"/>
                <w:szCs w:val="13"/>
                <w:color w:val="auto"/>
              </w:rPr>
            </w:pPr>
          </w:p>
        </w:tc>
      </w:tr>
      <w:tr>
        <w:trPr>
          <w:trHeight w:val="212"/>
        </w:trPr>
        <w:tc>
          <w:tcPr>
            <w:tcW w:w="9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Warranty and product performance guarantees at beginning of period</w:t>
            </w:r>
          </w:p>
        </w:tc>
        <w:tc>
          <w:tcPr>
            <w:tcW w:w="780" w:type="dxa"/>
            <w:vAlign w:val="bottom"/>
            <w:shd w:val="clear" w:color="auto" w:fill="CCEEFF"/>
          </w:tcPr>
          <w:p>
            <w:pPr>
              <w:jc w:val="right"/>
              <w:ind w:right="616"/>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614"/>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w:t>
            </w:r>
          </w:p>
        </w:tc>
      </w:tr>
      <w:tr>
        <w:trPr>
          <w:trHeight w:val="197"/>
        </w:trPr>
        <w:tc>
          <w:tcPr>
            <w:tcW w:w="9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Accruals for warranties/guarantees issued during the period</w:t>
            </w:r>
          </w:p>
        </w:tc>
        <w:tc>
          <w:tcPr>
            <w:tcW w:w="780" w:type="dxa"/>
            <w:vAlign w:val="bottom"/>
          </w:tcPr>
          <w:p>
            <w:pPr>
              <w:spacing w:after="0"/>
              <w:rPr>
                <w:sz w:val="17"/>
                <w:szCs w:val="17"/>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r>
      <w:tr>
        <w:trPr>
          <w:trHeight w:val="208"/>
        </w:trPr>
        <w:tc>
          <w:tcPr>
            <w:tcW w:w="9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Settlement of warranty/guarantee claims</w:t>
            </w:r>
          </w:p>
        </w:tc>
        <w:tc>
          <w:tcPr>
            <w:tcW w:w="78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r>
      <w:tr>
        <w:trPr>
          <w:trHeight w:val="197"/>
        </w:trPr>
        <w:tc>
          <w:tcPr>
            <w:tcW w:w="9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Foreign currency translation</w:t>
            </w:r>
          </w:p>
        </w:tc>
        <w:tc>
          <w:tcPr>
            <w:tcW w:w="78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Borders>
              <w:bottom w:val="single" w:sz="8" w:color="CCEEFF"/>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18"/>
        </w:trPr>
        <w:tc>
          <w:tcPr>
            <w:tcW w:w="9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Warranty and product performance guarantees at end of period</w:t>
            </w:r>
          </w:p>
        </w:tc>
        <w:tc>
          <w:tcPr>
            <w:tcW w:w="780" w:type="dxa"/>
            <w:vAlign w:val="bottom"/>
            <w:tcBorders>
              <w:bottom w:val="single" w:sz="8" w:color="auto"/>
            </w:tcBorders>
            <w:shd w:val="clear" w:color="auto" w:fill="CCEEFF"/>
          </w:tcPr>
          <w:p>
            <w:pPr>
              <w:jc w:val="right"/>
              <w:ind w:right="616"/>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8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ind w:right="614"/>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w:t>
            </w:r>
          </w:p>
        </w:tc>
      </w:tr>
      <w:tr>
        <w:trPr>
          <w:trHeight w:val="20"/>
        </w:trPr>
        <w:tc>
          <w:tcPr>
            <w:tcW w:w="904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Other Commitments and Contingencies</w:t>
      </w:r>
    </w:p>
    <w:p>
      <w:pPr>
        <w:spacing w:after="0" w:line="162" w:lineRule="exact"/>
        <w:rPr>
          <w:sz w:val="20"/>
          <w:szCs w:val="20"/>
          <w:color w:val="auto"/>
        </w:rPr>
      </w:pPr>
    </w:p>
    <w:p>
      <w:pPr>
        <w:jc w:val="both"/>
        <w:ind w:firstLine="307"/>
        <w:spacing w:after="0" w:line="265" w:lineRule="auto"/>
        <w:rPr>
          <w:sz w:val="20"/>
          <w:szCs w:val="20"/>
          <w:color w:val="auto"/>
        </w:rPr>
      </w:pPr>
      <w:r>
        <w:rPr>
          <w:rFonts w:ascii="Times New Roman" w:cs="Times New Roman" w:eastAsia="Times New Roman" w:hAnsi="Times New Roman"/>
          <w:sz w:val="14"/>
          <w:szCs w:val="14"/>
          <w:color w:val="auto"/>
        </w:rPr>
        <w:t>We are subject to other lawsuits, investigations and disputes arising out of the conduct of our business, including matters relating to commercial transactions, government contracts, product liability, prior acquisitions and divestitures, employee benefit plans, intellectual property and environmental, health and safety matters. We recognize a liability for any contingency that is probable of occurring and reasonably estimable. We continually assess the likelihood of adverse judgments of outcomes in these matters, as well as potential ranges of possible losses (taking into consideration any insurance recoveries), based on a careful analysis of each matter with the assistance of outside legal counsel and, if applicable, other experts.</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21. Pension Benefits</w:t>
      </w:r>
    </w:p>
    <w:p>
      <w:pPr>
        <w:spacing w:after="0" w:line="150" w:lineRule="exact"/>
        <w:rPr>
          <w:sz w:val="20"/>
          <w:szCs w:val="20"/>
          <w:color w:val="auto"/>
        </w:rPr>
      </w:pPr>
    </w:p>
    <w:p>
      <w:pPr>
        <w:jc w:val="both"/>
        <w:ind w:firstLine="307"/>
        <w:spacing w:after="0" w:line="289" w:lineRule="auto"/>
        <w:rPr>
          <w:sz w:val="20"/>
          <w:szCs w:val="20"/>
          <w:color w:val="auto"/>
        </w:rPr>
      </w:pPr>
      <w:r>
        <w:rPr>
          <w:rFonts w:ascii="Times New Roman" w:cs="Times New Roman" w:eastAsia="Times New Roman" w:hAnsi="Times New Roman"/>
          <w:sz w:val="14"/>
          <w:szCs w:val="14"/>
          <w:color w:val="auto"/>
        </w:rPr>
        <w:t>We sponsor several funded U.S. and non-U.S. defined benefit pension plans. Significant plans outside the U.S. are in Switzerland and Ireland. Other pension plans outside the U.S. are not material to the Company, either individually or in the aggregate.</w:t>
      </w:r>
    </w:p>
    <w:p>
      <w:pPr>
        <w:spacing w:after="0" w:line="241"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171450</wp:posOffset>
            </wp:positionV>
            <wp:extent cx="7186930"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00" w:right="319" w:bottom="1440" w:gutter="0" w:footer="0" w:header="0"/>
        </w:sectPr>
      </w:pPr>
    </w:p>
    <w:bookmarkStart w:id="21" w:name="page22"/>
    <w:bookmarkEnd w:id="21"/>
    <w:p>
      <w:pPr>
        <w:jc w:val="both"/>
        <w:ind w:firstLine="307"/>
        <w:spacing w:after="0" w:line="271" w:lineRule="auto"/>
        <w:rPr>
          <w:sz w:val="20"/>
          <w:szCs w:val="20"/>
          <w:color w:val="auto"/>
        </w:rPr>
      </w:pPr>
      <w:r>
        <w:rPr>
          <w:rFonts w:ascii="Times New Roman" w:cs="Times New Roman" w:eastAsia="Times New Roman" w:hAnsi="Times New Roman"/>
          <w:sz w:val="14"/>
          <w:szCs w:val="14"/>
          <w:color w:val="auto"/>
        </w:rPr>
        <w:t>Our general funding policy for qualified defined benefit pension plans is to contribute amounts at least sufficient to satisfy regulatory funding standards. We are not required to make any contributions to our U.S. pension plan in 2024. We expect to make contributions of cash and/or marketable securities of approximately $7 million to our non-U.S. pension plans to satisfy regulatory funding standards in 2024, of which $1 million has been contributed as of March 31, 2024.</w:t>
      </w:r>
    </w:p>
    <w:p>
      <w:pPr>
        <w:spacing w:after="0" w:line="11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Net periodic benefit costs for our significant defined benefit plans include the following components:</w:t>
      </w:r>
    </w:p>
    <w:p>
      <w:pPr>
        <w:sectPr>
          <w:pgSz w:w="11900" w:h="16838" w:orient="portrait"/>
          <w:cols w:equalWidth="0" w:num="1">
            <w:col w:w="11280"/>
          </w:cols>
          <w:pgMar w:left="300" w:top="902" w:right="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Service cost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-99060</wp:posOffset>
            </wp:positionV>
            <wp:extent cx="4537710" cy="135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4537710" cy="135255"/>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Interest cost</w:t>
      </w:r>
    </w:p>
    <w:p>
      <w:pPr>
        <w:spacing w:after="0" w:line="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Expected return on plan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-99060</wp:posOffset>
            </wp:positionV>
            <wp:extent cx="4537710" cy="12827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4537710" cy="128270"/>
                    </a:xfrm>
                    <a:prstGeom prst="rect">
                      <a:avLst/>
                    </a:prstGeom>
                    <a:noFill/>
                  </pic:spPr>
                </pic:pic>
              </a:graphicData>
            </a:graphic>
          </wp:anchor>
        </w:drawing>
      </w:r>
    </w:p>
    <w:p>
      <w:pPr>
        <w:spacing w:after="0" w:line="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Amortization of prior service (credit)</w:t>
      </w:r>
    </w:p>
    <w:p>
      <w:pPr>
        <w:spacing w:after="0" w:line="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-99060</wp:posOffset>
            </wp:positionV>
            <wp:extent cx="4537710" cy="148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4537710" cy="1485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66"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1"/>
          <w:szCs w:val="11"/>
          <w:b w:val="1"/>
          <w:bCs w:val="1"/>
          <w:color w:val="auto"/>
        </w:rPr>
        <w:t>Three Months Ended March 31,</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20" w:type="dxa"/>
            <w:vAlign w:val="bottom"/>
            <w:tcBorders>
              <w:top w:val="single" w:sz="8" w:color="auto"/>
              <w:bottom w:val="single" w:sz="8" w:color="auto"/>
            </w:tcBorders>
          </w:tcPr>
          <w:p>
            <w:pPr>
              <w:spacing w:after="0"/>
              <w:rPr>
                <w:sz w:val="14"/>
                <w:szCs w:val="14"/>
                <w:color w:val="auto"/>
              </w:rPr>
            </w:pPr>
          </w:p>
        </w:tc>
        <w:tc>
          <w:tcPr>
            <w:tcW w:w="1120" w:type="dxa"/>
            <w:vAlign w:val="bottom"/>
            <w:tcBorders>
              <w:top w:val="single" w:sz="8" w:color="auto"/>
              <w:bottom w:val="single" w:sz="8" w:color="auto"/>
            </w:tcBorders>
            <w:gridSpan w:val="3"/>
          </w:tcPr>
          <w:p>
            <w:pPr>
              <w:jc w:val="right"/>
              <w:ind w:right="9"/>
              <w:spacing w:after="0"/>
              <w:rPr>
                <w:sz w:val="20"/>
                <w:szCs w:val="20"/>
                <w:color w:val="auto"/>
              </w:rPr>
            </w:pPr>
            <w:r>
              <w:rPr>
                <w:rFonts w:ascii="Times New Roman" w:cs="Times New Roman" w:eastAsia="Times New Roman" w:hAnsi="Times New Roman"/>
                <w:sz w:val="11"/>
                <w:szCs w:val="11"/>
                <w:b w:val="1"/>
                <w:bCs w:val="1"/>
                <w:color w:val="auto"/>
              </w:rPr>
              <w:t>U.S. Plans</w:t>
            </w:r>
          </w:p>
        </w:tc>
        <w:tc>
          <w:tcPr>
            <w:tcW w:w="680" w:type="dxa"/>
            <w:vAlign w:val="bottom"/>
            <w:tcBorders>
              <w:top w:val="single" w:sz="8" w:color="auto"/>
              <w:bottom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640" w:type="dxa"/>
            <w:vAlign w:val="bottom"/>
            <w:tcBorders>
              <w:top w:val="single" w:sz="8" w:color="auto"/>
              <w:bottom w:val="single" w:sz="8" w:color="auto"/>
            </w:tcBorders>
          </w:tcPr>
          <w:p>
            <w:pPr>
              <w:spacing w:after="0"/>
              <w:rPr>
                <w:sz w:val="14"/>
                <w:szCs w:val="14"/>
                <w:color w:val="auto"/>
              </w:rPr>
            </w:pPr>
          </w:p>
        </w:tc>
        <w:tc>
          <w:tcPr>
            <w:tcW w:w="76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1"/>
                <w:szCs w:val="11"/>
                <w:b w:val="1"/>
                <w:bCs w:val="1"/>
                <w:color w:val="auto"/>
              </w:rPr>
              <w:t>Non-U.S. Plan</w:t>
            </w:r>
          </w:p>
        </w:tc>
        <w:tc>
          <w:tcPr>
            <w:tcW w:w="620" w:type="dxa"/>
            <w:vAlign w:val="bottom"/>
            <w:tcBorders>
              <w:top w:val="single" w:sz="8" w:color="auto"/>
              <w:bottom w:val="single" w:sz="8" w:color="auto"/>
            </w:tcBorders>
          </w:tcPr>
          <w:p>
            <w:pPr>
              <w:spacing w:after="0"/>
              <w:rPr>
                <w:sz w:val="14"/>
                <w:szCs w:val="14"/>
                <w:color w:val="auto"/>
              </w:rPr>
            </w:pPr>
          </w:p>
        </w:tc>
      </w:tr>
      <w:tr>
        <w:trPr>
          <w:trHeight w:val="161"/>
        </w:trPr>
        <w:tc>
          <w:tcPr>
            <w:tcW w:w="2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313"/>
              <w:spacing w:after="0"/>
              <w:rPr>
                <w:sz w:val="20"/>
                <w:szCs w:val="20"/>
                <w:color w:val="auto"/>
              </w:rPr>
            </w:pPr>
            <w:r>
              <w:rPr>
                <w:rFonts w:ascii="Times New Roman" w:cs="Times New Roman" w:eastAsia="Times New Roman" w:hAnsi="Times New Roman"/>
                <w:sz w:val="11"/>
                <w:szCs w:val="11"/>
                <w:b w:val="1"/>
                <w:bCs w:val="1"/>
                <w:color w:val="auto"/>
              </w:rPr>
              <w:t>2024</w:t>
            </w:r>
          </w:p>
        </w:tc>
        <w:tc>
          <w:tcPr>
            <w:tcW w:w="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313"/>
              <w:spacing w:after="0"/>
              <w:rPr>
                <w:sz w:val="20"/>
                <w:szCs w:val="20"/>
                <w:color w:val="auto"/>
              </w:rPr>
            </w:pPr>
            <w:r>
              <w:rPr>
                <w:rFonts w:ascii="Times New Roman" w:cs="Times New Roman" w:eastAsia="Times New Roman" w:hAnsi="Times New Roman"/>
                <w:sz w:val="11"/>
                <w:szCs w:val="11"/>
                <w:b w:val="1"/>
                <w:bCs w:val="1"/>
                <w:color w:val="auto"/>
              </w:rPr>
              <w:t>2023</w:t>
            </w:r>
          </w:p>
        </w:tc>
        <w:tc>
          <w:tcPr>
            <w:tcW w:w="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2024</w:t>
            </w:r>
          </w:p>
        </w:tc>
        <w:tc>
          <w:tcPr>
            <w:tcW w:w="3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291"/>
              <w:spacing w:after="0"/>
              <w:rPr>
                <w:sz w:val="20"/>
                <w:szCs w:val="20"/>
                <w:color w:val="auto"/>
              </w:rPr>
            </w:pPr>
            <w:r>
              <w:rPr>
                <w:rFonts w:ascii="Times New Roman" w:cs="Times New Roman" w:eastAsia="Times New Roman" w:hAnsi="Times New Roman"/>
                <w:sz w:val="11"/>
                <w:szCs w:val="11"/>
                <w:b w:val="1"/>
                <w:bCs w:val="1"/>
                <w:color w:val="auto"/>
              </w:rPr>
              <w:t>2023</w:t>
            </w:r>
          </w:p>
        </w:tc>
      </w:tr>
      <w:tr>
        <w:trPr>
          <w:trHeight w:val="161"/>
        </w:trPr>
        <w:tc>
          <w:tcPr>
            <w:tcW w:w="2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3"/>
          </w:tcPr>
          <w:p>
            <w:pPr>
              <w:jc w:val="right"/>
              <w:ind w:right="134"/>
              <w:spacing w:after="0"/>
              <w:rPr>
                <w:sz w:val="20"/>
                <w:szCs w:val="20"/>
                <w:color w:val="auto"/>
              </w:rPr>
            </w:pPr>
            <w:r>
              <w:rPr>
                <w:rFonts w:ascii="Times New Roman" w:cs="Times New Roman" w:eastAsia="Times New Roman" w:hAnsi="Times New Roman"/>
                <w:sz w:val="11"/>
                <w:szCs w:val="11"/>
                <w:b w:val="1"/>
                <w:bCs w:val="1"/>
                <w:color w:val="auto"/>
              </w:rPr>
              <w:t>(Dollars in millions)</w:t>
            </w:r>
          </w:p>
        </w:tc>
        <w:tc>
          <w:tcPr>
            <w:tcW w:w="3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r>
      <w:tr>
        <w:trPr>
          <w:trHeight w:val="202"/>
        </w:trPr>
        <w:tc>
          <w:tcPr>
            <w:tcW w:w="220" w:type="dxa"/>
            <w:vAlign w:val="bottom"/>
            <w:shd w:val="clear" w:color="auto" w:fill="CFF0FC"/>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FF0FC"/>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FF0FC"/>
          </w:tcPr>
          <w:p>
            <w:pPr>
              <w:jc w:val="right"/>
              <w:ind w:right="494"/>
              <w:spacing w:after="0"/>
              <w:rPr>
                <w:sz w:val="20"/>
                <w:szCs w:val="20"/>
                <w:color w:val="auto"/>
              </w:rPr>
            </w:pPr>
            <w:r>
              <w:rPr>
                <w:rFonts w:ascii="Times New Roman" w:cs="Times New Roman" w:eastAsia="Times New Roman" w:hAnsi="Times New Roman"/>
                <w:sz w:val="14"/>
                <w:szCs w:val="14"/>
                <w:color w:val="auto"/>
                <w:w w:val="85"/>
              </w:rPr>
              <w:t>$</w:t>
            </w:r>
          </w:p>
        </w:tc>
        <w:tc>
          <w:tcPr>
            <w:tcW w:w="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shd w:val="clear" w:color="auto" w:fill="CFF0FC"/>
          </w:tcPr>
          <w:p>
            <w:pPr>
              <w:spacing w:after="0"/>
              <w:rPr>
                <w:sz w:val="17"/>
                <w:szCs w:val="17"/>
                <w:color w:val="auto"/>
              </w:rPr>
            </w:pPr>
          </w:p>
        </w:tc>
        <w:tc>
          <w:tcPr>
            <w:tcW w:w="340" w:type="dxa"/>
            <w:vAlign w:val="bottom"/>
            <w:shd w:val="clear" w:color="auto" w:fill="CFF0FC"/>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w:t>
            </w:r>
          </w:p>
        </w:tc>
      </w:tr>
      <w:tr>
        <w:trPr>
          <w:trHeight w:val="197"/>
        </w:trPr>
        <w:tc>
          <w:tcPr>
            <w:tcW w:w="2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r>
      <w:tr>
        <w:trPr>
          <w:trHeight w:val="208"/>
        </w:trPr>
        <w:tc>
          <w:tcPr>
            <w:tcW w:w="22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w:t>
            </w:r>
          </w:p>
        </w:tc>
      </w:tr>
      <w:tr>
        <w:trPr>
          <w:trHeight w:val="197"/>
        </w:trPr>
        <w:tc>
          <w:tcPr>
            <w:tcW w:w="2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FF0FC"/>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FF0FC"/>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FF0FC"/>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13"/>
        </w:trPr>
        <w:tc>
          <w:tcPr>
            <w:tcW w:w="220" w:type="dxa"/>
            <w:vAlign w:val="bottom"/>
            <w:shd w:val="clear" w:color="auto" w:fill="CFF0FC"/>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FF0FC"/>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FF0FC"/>
          </w:tcPr>
          <w:p>
            <w:pPr>
              <w:jc w:val="right"/>
              <w:ind w:right="494"/>
              <w:spacing w:after="0"/>
              <w:rPr>
                <w:sz w:val="20"/>
                <w:szCs w:val="20"/>
                <w:color w:val="auto"/>
              </w:rPr>
            </w:pPr>
            <w:r>
              <w:rPr>
                <w:rFonts w:ascii="Times New Roman" w:cs="Times New Roman" w:eastAsia="Times New Roman" w:hAnsi="Times New Roman"/>
                <w:sz w:val="14"/>
                <w:szCs w:val="14"/>
                <w:color w:val="auto"/>
                <w:w w:val="85"/>
              </w:rPr>
              <w:t>$</w:t>
            </w:r>
          </w:p>
        </w:tc>
        <w:tc>
          <w:tcPr>
            <w:tcW w:w="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FF0FC"/>
          </w:tcPr>
          <w:p>
            <w:pPr>
              <w:spacing w:after="0"/>
              <w:rPr>
                <w:sz w:val="18"/>
                <w:szCs w:val="18"/>
                <w:color w:val="auto"/>
              </w:rPr>
            </w:pPr>
          </w:p>
        </w:tc>
        <w:tc>
          <w:tcPr>
            <w:tcW w:w="340" w:type="dxa"/>
            <w:vAlign w:val="bottom"/>
            <w:shd w:val="clear" w:color="auto" w:fill="CFF0FC"/>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
        </w:trPr>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ectPr>
          <w:pgSz w:w="11900" w:h="16838" w:orient="portrait"/>
          <w:cols w:equalWidth="0" w:num="2">
            <w:col w:w="6440" w:space="720"/>
            <w:col w:w="4120"/>
          </w:cols>
          <w:pgMar w:left="300" w:top="902" w:right="319" w:bottom="1440" w:gutter="0" w:footer="0" w:header="0"/>
          <w:type w:val="continuous"/>
        </w:sectPr>
      </w:pPr>
    </w:p>
    <w:p>
      <w:pPr>
        <w:jc w:val="both"/>
        <w:ind w:firstLine="307"/>
        <w:spacing w:after="0" w:line="271" w:lineRule="auto"/>
        <w:rPr>
          <w:sz w:val="20"/>
          <w:szCs w:val="20"/>
          <w:color w:val="auto"/>
        </w:rPr>
      </w:pPr>
      <w:r>
        <w:rPr>
          <w:rFonts w:ascii="Times New Roman" w:cs="Times New Roman" w:eastAsia="Times New Roman" w:hAnsi="Times New Roman"/>
          <w:sz w:val="14"/>
          <w:szCs w:val="14"/>
          <w:color w:val="auto"/>
        </w:rPr>
        <w:t>For both our U.S. and non-U.S. defined benefit pension plans, we estimate the service and interest cost components of net periodic benefit (income) cost by utilizing a full yield curve approach in the estimation of these cost components by applying the specific spot rates along the yield curve used in the determination of the pension benefit obligation to their underlying projected cash flows. This approach provides a more precise measurement of service and interest costs by improving the correlation between projected cash flows and their corresponding spot rates.</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22. Subsequent Events</w:t>
      </w:r>
    </w:p>
    <w:p>
      <w:pPr>
        <w:spacing w:after="0" w:line="203" w:lineRule="exact"/>
        <w:rPr>
          <w:sz w:val="20"/>
          <w:szCs w:val="20"/>
          <w:color w:val="auto"/>
        </w:rPr>
      </w:pPr>
    </w:p>
    <w:p>
      <w:pPr>
        <w:jc w:val="both"/>
        <w:ind w:firstLine="307"/>
        <w:spacing w:after="0" w:line="255" w:lineRule="auto"/>
        <w:rPr>
          <w:sz w:val="20"/>
          <w:szCs w:val="20"/>
          <w:color w:val="auto"/>
        </w:rPr>
      </w:pPr>
      <w:r>
        <w:rPr>
          <w:rFonts w:ascii="Times New Roman" w:cs="Times New Roman" w:eastAsia="Times New Roman" w:hAnsi="Times New Roman"/>
          <w:sz w:val="14"/>
          <w:szCs w:val="14"/>
          <w:color w:val="auto"/>
        </w:rPr>
        <w:t>On April 3, 2024, the Company divested its equity interest in an unconsolidated joint venture for approximately $58 million, subject to customary debt and working capital adjustments, with cash consideration received on divestiture date of $46 million. The carrying value of the equity method investment amounted to $21 million as of March 31, 2024, and is included in Investments and long-term receivables on the Consolidated Interim Balance Sheet.</w:t>
      </w:r>
    </w:p>
    <w:p>
      <w:pPr>
        <w:spacing w:after="0" w:line="16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On April 10, 2024, the Company made an early debt repayment of $100 million on its 2023 Dollar Term Facility.</w:t>
      </w:r>
    </w:p>
    <w:p>
      <w:pPr>
        <w:spacing w:after="0" w:line="286"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171450</wp:posOffset>
            </wp:positionV>
            <wp:extent cx="7186930"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02" w:right="319" w:bottom="1440" w:gutter="0" w:footer="0" w:header="0"/>
          <w:type w:val="continuous"/>
        </w:sectPr>
      </w:pPr>
    </w:p>
    <w:bookmarkStart w:id="22" w:name="page23"/>
    <w:bookmarkEnd w:id="22"/>
    <w:p>
      <w:pPr>
        <w:spacing w:after="0"/>
        <w:rPr>
          <w:sz w:val="20"/>
          <w:szCs w:val="20"/>
          <w:color w:val="auto"/>
        </w:rPr>
      </w:pPr>
      <w:r>
        <w:rPr>
          <w:rFonts w:ascii="Times New Roman" w:cs="Times New Roman" w:eastAsia="Times New Roman" w:hAnsi="Times New Roman"/>
          <w:sz w:val="14"/>
          <w:szCs w:val="14"/>
          <w:b w:val="1"/>
          <w:bCs w:val="1"/>
          <w:color w:val="auto"/>
        </w:rPr>
        <w:t>Item 2. Management’s Discussion and Analysis of Financial Condition and Results of Operations</w:t>
      </w:r>
    </w:p>
    <w:p>
      <w:pPr>
        <w:spacing w:after="0" w:line="158" w:lineRule="exact"/>
        <w:rPr>
          <w:sz w:val="20"/>
          <w:szCs w:val="20"/>
          <w:color w:val="auto"/>
        </w:rPr>
      </w:pPr>
    </w:p>
    <w:p>
      <w:pPr>
        <w:jc w:val="both"/>
        <w:ind w:firstLine="307"/>
        <w:spacing w:after="0" w:line="262" w:lineRule="auto"/>
        <w:rPr>
          <w:sz w:val="20"/>
          <w:szCs w:val="20"/>
          <w:color w:val="auto"/>
        </w:rPr>
      </w:pPr>
      <w:r>
        <w:rPr>
          <w:rFonts w:ascii="Times New Roman" w:cs="Times New Roman" w:eastAsia="Times New Roman" w:hAnsi="Times New Roman"/>
          <w:sz w:val="14"/>
          <w:szCs w:val="14"/>
          <w:i w:val="1"/>
          <w:iCs w:val="1"/>
          <w:color w:val="auto"/>
        </w:rPr>
        <w:t>The following discussion and analysis of our financial condition and results of operations, which we refer to as our “MD&amp;A,” should be read in conjunction with our Consolidated Interim Financial Statements and related notes appearing elsewhere in this Quarterly Report on Form 10-Q as well as the audited annual Consolidated Financial Statements for the year ended December 31, 2023, included in our 2023 Form 10-K. Some of the information contained in this MD&amp;A or set forth elsewhere in this Quarterly Report on Form 10-Q, including information with respect to our plans and strategy for our business, includes forward-looking statements that involve risks and uncertainties. As a result of many important factors, including those set forth in the “Risk Factors” section of our 2023 Form 10-K and this Quarterly Report on Form 10-Q, our actual results could differ materially from the results described in, or implied, by these forward-looking statements.</w:t>
      </w:r>
    </w:p>
    <w:p>
      <w:pPr>
        <w:spacing w:after="0" w:line="284" w:lineRule="exact"/>
        <w:rPr>
          <w:sz w:val="20"/>
          <w:szCs w:val="20"/>
          <w:color w:val="auto"/>
        </w:rPr>
      </w:pPr>
    </w:p>
    <w:p>
      <w:pPr>
        <w:ind w:right="1120" w:firstLine="307"/>
        <w:spacing w:after="0" w:line="468" w:lineRule="auto"/>
        <w:rPr>
          <w:sz w:val="20"/>
          <w:szCs w:val="20"/>
          <w:color w:val="auto"/>
        </w:rPr>
      </w:pPr>
      <w:r>
        <w:rPr>
          <w:rFonts w:ascii="Times New Roman" w:cs="Times New Roman" w:eastAsia="Times New Roman" w:hAnsi="Times New Roman"/>
          <w:sz w:val="14"/>
          <w:szCs w:val="14"/>
          <w:color w:val="auto"/>
        </w:rPr>
        <w:t xml:space="preserve">The following MD&amp;A is intended to help you understand the results of operations and financial condition of Garrett Motion Inc. for the three months ended March 31, 2024. </w:t>
      </w:r>
      <w:r>
        <w:rPr>
          <w:rFonts w:ascii="Times New Roman" w:cs="Times New Roman" w:eastAsia="Times New Roman" w:hAnsi="Times New Roman"/>
          <w:sz w:val="14"/>
          <w:szCs w:val="14"/>
          <w:b w:val="1"/>
          <w:bCs w:val="1"/>
          <w:color w:val="auto"/>
        </w:rPr>
        <w:t>Executive Summary</w:t>
      </w:r>
    </w:p>
    <w:p>
      <w:pPr>
        <w:jc w:val="both"/>
        <w:ind w:firstLine="307"/>
        <w:spacing w:after="0" w:line="271" w:lineRule="auto"/>
        <w:rPr>
          <w:sz w:val="20"/>
          <w:szCs w:val="20"/>
          <w:color w:val="auto"/>
        </w:rPr>
      </w:pPr>
      <w:r>
        <w:rPr>
          <w:rFonts w:ascii="Times New Roman" w:cs="Times New Roman" w:eastAsia="Times New Roman" w:hAnsi="Times New Roman"/>
          <w:sz w:val="14"/>
          <w:szCs w:val="14"/>
          <w:color w:val="auto"/>
        </w:rPr>
        <w:t>During the first quarter of 2024, the industry continued to experience supply chain challenges where ripple effects from disruptions in the global supply chain have impacted our OEM customers and altered the volume of customer orders received. In response, we flexed our variable cost structure to successfully achieve efficiencies on productivity and drive operational performance. Our agility enabled us to achieve Net income of $66 million and Adjusted EBITDA of $151 million for the quarter.</w:t>
      </w:r>
    </w:p>
    <w:p>
      <w:pPr>
        <w:spacing w:after="0" w:line="104" w:lineRule="exact"/>
        <w:rPr>
          <w:sz w:val="20"/>
          <w:szCs w:val="20"/>
          <w:color w:val="auto"/>
        </w:rPr>
      </w:pPr>
    </w:p>
    <w:p>
      <w:pPr>
        <w:jc w:val="both"/>
        <w:ind w:firstLine="307"/>
        <w:spacing w:after="0" w:line="271" w:lineRule="auto"/>
        <w:rPr>
          <w:sz w:val="20"/>
          <w:szCs w:val="20"/>
          <w:color w:val="auto"/>
        </w:rPr>
      </w:pPr>
      <w:r>
        <w:rPr>
          <w:rFonts w:ascii="Times New Roman" w:cs="Times New Roman" w:eastAsia="Times New Roman" w:hAnsi="Times New Roman"/>
          <w:sz w:val="14"/>
          <w:szCs w:val="14"/>
          <w:color w:val="auto"/>
        </w:rPr>
        <w:t>We continue to grow our turbocharging business and build momentum with our zero emission technologies. In particular, during the quarter, we launched a commercial vehicle application with natural gas for heavy duty trucks in China and won two awards for power generation turbos. We also won two series production awards for our differentiated fuel cell compressor applications and saw our E-powertrain application installed and undergoing vehicle testing with a global OEM.</w:t>
      </w:r>
    </w:p>
    <w:p>
      <w:pPr>
        <w:spacing w:after="0" w:line="104" w:lineRule="exact"/>
        <w:rPr>
          <w:sz w:val="20"/>
          <w:szCs w:val="20"/>
          <w:color w:val="auto"/>
        </w:rPr>
      </w:pPr>
    </w:p>
    <w:p>
      <w:pPr>
        <w:jc w:val="both"/>
        <w:ind w:firstLine="307"/>
        <w:spacing w:after="0" w:line="289" w:lineRule="auto"/>
        <w:rPr>
          <w:sz w:val="20"/>
          <w:szCs w:val="20"/>
          <w:color w:val="auto"/>
        </w:rPr>
      </w:pPr>
      <w:r>
        <w:rPr>
          <w:rFonts w:ascii="Times New Roman" w:cs="Times New Roman" w:eastAsia="Times New Roman" w:hAnsi="Times New Roman"/>
          <w:sz w:val="14"/>
          <w:szCs w:val="14"/>
          <w:color w:val="auto"/>
        </w:rPr>
        <w:t>For the three months ended March 31, 2024, we repurchased $109 million of Common Stock in connection with our share repurchase program, with $241 million remaining under the share repurchase program.</w:t>
      </w:r>
    </w:p>
    <w:p>
      <w:pPr>
        <w:spacing w:after="0" w:line="102" w:lineRule="exact"/>
        <w:rPr>
          <w:sz w:val="20"/>
          <w:szCs w:val="20"/>
          <w:color w:val="auto"/>
        </w:rPr>
      </w:pPr>
    </w:p>
    <w:p>
      <w:pPr>
        <w:jc w:val="both"/>
        <w:ind w:firstLine="307"/>
        <w:spacing w:after="0" w:line="289" w:lineRule="auto"/>
        <w:rPr>
          <w:sz w:val="20"/>
          <w:szCs w:val="20"/>
          <w:color w:val="auto"/>
        </w:rPr>
      </w:pPr>
      <w:r>
        <w:rPr>
          <w:rFonts w:ascii="Times New Roman" w:cs="Times New Roman" w:eastAsia="Times New Roman" w:hAnsi="Times New Roman"/>
          <w:sz w:val="14"/>
          <w:szCs w:val="14"/>
          <w:color w:val="auto"/>
        </w:rPr>
        <w:t>On April 3, 2024, we divested our equity interest in an unconsolidated joint venture for approximately $58 million, subject to customary debt and working capital adjustments, with cash consideration received on divestiture date of $46 million.</w:t>
      </w:r>
    </w:p>
    <w:p>
      <w:pPr>
        <w:spacing w:after="0" w:line="9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On April 10, 2024, we made an early debt repayment of $100 million on our 2023 Dollar Term Facility.</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Disaggregated Revenue</w:t>
      </w:r>
    </w:p>
    <w:p>
      <w:pPr>
        <w:spacing w:after="0" w:line="16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The following tables show our revenues by geographic region and product line for the three months ended March 31, 2024 and 2023, respectively.</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By Region</w:t>
      </w:r>
    </w:p>
    <w:p>
      <w:pPr>
        <w:spacing w:after="0" w:line="51" w:lineRule="exact"/>
        <w:rPr>
          <w:sz w:val="20"/>
          <w:szCs w:val="20"/>
          <w:color w:val="auto"/>
        </w:rPr>
      </w:pPr>
    </w:p>
    <w:p>
      <w:pPr>
        <w:jc w:val="center"/>
        <w:ind w:left="6960"/>
        <w:spacing w:after="0"/>
        <w:rPr>
          <w:sz w:val="20"/>
          <w:szCs w:val="20"/>
          <w:color w:val="auto"/>
        </w:rPr>
      </w:pPr>
      <w:r>
        <w:rPr>
          <w:rFonts w:ascii="Times New Roman" w:cs="Times New Roman" w:eastAsia="Times New Roman" w:hAnsi="Times New Roman"/>
          <w:sz w:val="11"/>
          <w:szCs w:val="11"/>
          <w:b w:val="1"/>
          <w:bCs w:val="1"/>
          <w:color w:val="auto"/>
        </w:rPr>
        <w:t>Three Months Ended</w:t>
      </w:r>
    </w:p>
    <w:p>
      <w:pPr>
        <w:spacing w:after="0" w:line="15" w:lineRule="exact"/>
        <w:rPr>
          <w:sz w:val="20"/>
          <w:szCs w:val="20"/>
          <w:color w:val="auto"/>
        </w:rPr>
      </w:pPr>
    </w:p>
    <w:p>
      <w:pPr>
        <w:jc w:val="center"/>
        <w:ind w:left="6960"/>
        <w:spacing w:after="0"/>
        <w:rPr>
          <w:sz w:val="20"/>
          <w:szCs w:val="20"/>
          <w:color w:val="auto"/>
        </w:rPr>
      </w:pPr>
      <w:r>
        <w:rPr>
          <w:rFonts w:ascii="Times New Roman" w:cs="Times New Roman" w:eastAsia="Times New Roman" w:hAnsi="Times New Roman"/>
          <w:sz w:val="11"/>
          <w:szCs w:val="11"/>
          <w:b w:val="1"/>
          <w:bCs w:val="1"/>
          <w:color w:val="auto"/>
        </w:rPr>
        <w:t>March 31,</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26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420" w:type="dxa"/>
            <w:vAlign w:val="bottom"/>
            <w:tcBorders>
              <w:top w:val="single" w:sz="8" w:color="auto"/>
              <w:bottom w:val="single" w:sz="8" w:color="auto"/>
            </w:tcBorders>
          </w:tcPr>
          <w:p>
            <w:pPr>
              <w:spacing w:after="0"/>
              <w:rPr>
                <w:sz w:val="14"/>
                <w:szCs w:val="14"/>
                <w:color w:val="auto"/>
              </w:rPr>
            </w:pPr>
          </w:p>
        </w:tc>
        <w:tc>
          <w:tcPr>
            <w:tcW w:w="900" w:type="dxa"/>
            <w:vAlign w:val="bottom"/>
            <w:tcBorders>
              <w:top w:val="single" w:sz="8" w:color="auto"/>
              <w:bottom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1"/>
                <w:szCs w:val="11"/>
                <w:b w:val="1"/>
                <w:bCs w:val="1"/>
                <w:color w:val="auto"/>
              </w:rPr>
              <w:t>2024</w:t>
            </w:r>
          </w:p>
        </w:tc>
        <w:tc>
          <w:tcPr>
            <w:tcW w:w="880" w:type="dxa"/>
            <w:vAlign w:val="bottom"/>
            <w:tcBorders>
              <w:top w:val="single" w:sz="8" w:color="auto"/>
              <w:bottom w:val="single" w:sz="8" w:color="auto"/>
            </w:tcBorders>
          </w:tcPr>
          <w:p>
            <w:pPr>
              <w:spacing w:after="0"/>
              <w:rPr>
                <w:sz w:val="14"/>
                <w:szCs w:val="14"/>
                <w:color w:val="auto"/>
              </w:rPr>
            </w:pPr>
          </w:p>
        </w:tc>
        <w:tc>
          <w:tcPr>
            <w:tcW w:w="580" w:type="dxa"/>
            <w:vAlign w:val="bottom"/>
            <w:tcBorders>
              <w:top w:val="single" w:sz="8" w:color="auto"/>
              <w:bottom w:val="single" w:sz="8" w:color="auto"/>
            </w:tcBorders>
          </w:tcPr>
          <w:p>
            <w:pPr>
              <w:spacing w:after="0"/>
              <w:rPr>
                <w:sz w:val="14"/>
                <w:szCs w:val="14"/>
                <w:color w:val="auto"/>
              </w:rPr>
            </w:pPr>
          </w:p>
        </w:tc>
        <w:tc>
          <w:tcPr>
            <w:tcW w:w="740" w:type="dxa"/>
            <w:vAlign w:val="bottom"/>
            <w:tcBorders>
              <w:top w:val="single" w:sz="8" w:color="auto"/>
              <w:bottom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1"/>
                <w:szCs w:val="11"/>
                <w:b w:val="1"/>
                <w:bCs w:val="1"/>
                <w:color w:val="auto"/>
              </w:rPr>
              <w:t>2023</w:t>
            </w:r>
          </w:p>
        </w:tc>
        <w:tc>
          <w:tcPr>
            <w:tcW w:w="780" w:type="dxa"/>
            <w:vAlign w:val="bottom"/>
            <w:tcBorders>
              <w:top w:val="single" w:sz="8" w:color="auto"/>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3260" w:type="dxa"/>
            <w:vAlign w:val="bottom"/>
          </w:tcPr>
          <w:p>
            <w:pPr>
              <w:spacing w:after="0"/>
              <w:rPr>
                <w:sz w:val="13"/>
                <w:szCs w:val="13"/>
                <w:color w:val="auto"/>
              </w:rPr>
            </w:pPr>
          </w:p>
        </w:tc>
        <w:tc>
          <w:tcPr>
            <w:tcW w:w="37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60" w:type="dxa"/>
            <w:vAlign w:val="bottom"/>
            <w:gridSpan w:val="2"/>
          </w:tcPr>
          <w:p>
            <w:pPr>
              <w:jc w:val="right"/>
              <w:ind w:right="69"/>
              <w:spacing w:after="0"/>
              <w:rPr>
                <w:sz w:val="20"/>
                <w:szCs w:val="20"/>
                <w:color w:val="auto"/>
              </w:rPr>
            </w:pPr>
            <w:r>
              <w:rPr>
                <w:rFonts w:ascii="Times New Roman" w:cs="Times New Roman" w:eastAsia="Times New Roman" w:hAnsi="Times New Roman"/>
                <w:sz w:val="11"/>
                <w:szCs w:val="11"/>
                <w:b w:val="1"/>
                <w:bCs w:val="1"/>
                <w:color w:val="auto"/>
              </w:rPr>
              <w:t>(Dollars in millions)</w:t>
            </w:r>
          </w:p>
        </w:tc>
        <w:tc>
          <w:tcPr>
            <w:tcW w:w="4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2"/>
        </w:trPr>
        <w:tc>
          <w:tcPr>
            <w:tcW w:w="32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United States</w:t>
            </w:r>
          </w:p>
        </w:tc>
        <w:tc>
          <w:tcPr>
            <w:tcW w:w="3720" w:type="dxa"/>
            <w:vAlign w:val="bottom"/>
            <w:shd w:val="clear" w:color="auto" w:fill="CFF0FC"/>
          </w:tcPr>
          <w:p>
            <w:pPr>
              <w:spacing w:after="0"/>
              <w:rPr>
                <w:sz w:val="18"/>
                <w:szCs w:val="18"/>
                <w:color w:val="auto"/>
              </w:rPr>
            </w:pPr>
          </w:p>
        </w:tc>
        <w:tc>
          <w:tcPr>
            <w:tcW w:w="420" w:type="dxa"/>
            <w:vAlign w:val="bottom"/>
            <w:shd w:val="clear" w:color="auto" w:fill="CCEEFF"/>
          </w:tcPr>
          <w:p>
            <w:pPr>
              <w:jc w:val="right"/>
              <w:ind w:right="269"/>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178</w:t>
            </w:r>
          </w:p>
        </w:tc>
        <w:tc>
          <w:tcPr>
            <w:tcW w:w="300" w:type="dxa"/>
            <w:vAlign w:val="bottom"/>
            <w:shd w:val="clear" w:color="auto" w:fill="CCEEFF"/>
          </w:tcPr>
          <w:p>
            <w:pPr>
              <w:spacing w:after="0"/>
              <w:rPr>
                <w:sz w:val="18"/>
                <w:szCs w:val="18"/>
                <w:color w:val="auto"/>
              </w:rPr>
            </w:pPr>
          </w:p>
        </w:tc>
        <w:tc>
          <w:tcPr>
            <w:tcW w:w="880" w:type="dxa"/>
            <w:vAlign w:val="bottom"/>
            <w:shd w:val="clear" w:color="auto" w:fill="CCEEFF"/>
          </w:tcPr>
          <w:p>
            <w:pPr>
              <w:jc w:val="center"/>
              <w:ind w:right="232"/>
              <w:spacing w:after="0"/>
              <w:rPr>
                <w:sz w:val="20"/>
                <w:szCs w:val="20"/>
                <w:color w:val="auto"/>
              </w:rPr>
            </w:pPr>
            <w:r>
              <w:rPr>
                <w:rFonts w:ascii="Times New Roman" w:cs="Times New Roman" w:eastAsia="Times New Roman" w:hAnsi="Times New Roman"/>
                <w:sz w:val="14"/>
                <w:szCs w:val="14"/>
                <w:color w:val="auto"/>
              </w:rPr>
              <w:t>19%</w:t>
            </w:r>
          </w:p>
        </w:tc>
        <w:tc>
          <w:tcPr>
            <w:tcW w:w="580" w:type="dxa"/>
            <w:vAlign w:val="bottom"/>
            <w:shd w:val="clear" w:color="auto" w:fill="CCEEFF"/>
          </w:tcPr>
          <w:p>
            <w:pPr>
              <w:jc w:val="right"/>
              <w:ind w:right="429"/>
              <w:spacing w:after="0"/>
              <w:rPr>
                <w:sz w:val="20"/>
                <w:szCs w:val="20"/>
                <w:color w:val="auto"/>
              </w:rPr>
            </w:pPr>
            <w:r>
              <w:rPr>
                <w:rFonts w:ascii="Times New Roman" w:cs="Times New Roman" w:eastAsia="Times New Roman" w:hAnsi="Times New Roman"/>
                <w:sz w:val="14"/>
                <w:szCs w:val="14"/>
                <w:color w:val="auto"/>
                <w:w w:val="85"/>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173</w:t>
            </w: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jc w:val="center"/>
              <w:ind w:right="169"/>
              <w:spacing w:after="0"/>
              <w:rPr>
                <w:sz w:val="20"/>
                <w:szCs w:val="20"/>
                <w:color w:val="auto"/>
              </w:rPr>
            </w:pPr>
            <w:r>
              <w:rPr>
                <w:rFonts w:ascii="Times New Roman" w:cs="Times New Roman" w:eastAsia="Times New Roman" w:hAnsi="Times New Roman"/>
                <w:sz w:val="14"/>
                <w:szCs w:val="14"/>
                <w:color w:val="auto"/>
              </w:rPr>
              <w:t>18%</w:t>
            </w:r>
          </w:p>
        </w:tc>
        <w:tc>
          <w:tcPr>
            <w:tcW w:w="0" w:type="dxa"/>
            <w:vAlign w:val="bottom"/>
          </w:tcPr>
          <w:p>
            <w:pPr>
              <w:spacing w:after="0"/>
              <w:rPr>
                <w:sz w:val="1"/>
                <w:szCs w:val="1"/>
                <w:color w:val="auto"/>
              </w:rPr>
            </w:pPr>
          </w:p>
        </w:tc>
      </w:tr>
      <w:tr>
        <w:trPr>
          <w:trHeight w:val="202"/>
        </w:trPr>
        <w:tc>
          <w:tcPr>
            <w:tcW w:w="3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Europe</w:t>
            </w:r>
          </w:p>
        </w:tc>
        <w:tc>
          <w:tcPr>
            <w:tcW w:w="37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469</w:t>
            </w:r>
          </w:p>
        </w:tc>
        <w:tc>
          <w:tcPr>
            <w:tcW w:w="300" w:type="dxa"/>
            <w:vAlign w:val="bottom"/>
          </w:tcPr>
          <w:p>
            <w:pPr>
              <w:spacing w:after="0"/>
              <w:rPr>
                <w:sz w:val="17"/>
                <w:szCs w:val="17"/>
                <w:color w:val="auto"/>
              </w:rPr>
            </w:pPr>
          </w:p>
        </w:tc>
        <w:tc>
          <w:tcPr>
            <w:tcW w:w="880" w:type="dxa"/>
            <w:vAlign w:val="bottom"/>
          </w:tcPr>
          <w:p>
            <w:pPr>
              <w:jc w:val="center"/>
              <w:ind w:right="232"/>
              <w:spacing w:after="0"/>
              <w:rPr>
                <w:sz w:val="20"/>
                <w:szCs w:val="20"/>
                <w:color w:val="auto"/>
              </w:rPr>
            </w:pPr>
            <w:r>
              <w:rPr>
                <w:rFonts w:ascii="Times New Roman" w:cs="Times New Roman" w:eastAsia="Times New Roman" w:hAnsi="Times New Roman"/>
                <w:sz w:val="14"/>
                <w:szCs w:val="14"/>
                <w:color w:val="auto"/>
              </w:rPr>
              <w:t>51%</w:t>
            </w:r>
          </w:p>
        </w:tc>
        <w:tc>
          <w:tcPr>
            <w:tcW w:w="58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497</w:t>
            </w:r>
          </w:p>
        </w:tc>
        <w:tc>
          <w:tcPr>
            <w:tcW w:w="320" w:type="dxa"/>
            <w:vAlign w:val="bottom"/>
          </w:tcPr>
          <w:p>
            <w:pPr>
              <w:spacing w:after="0"/>
              <w:rPr>
                <w:sz w:val="17"/>
                <w:szCs w:val="17"/>
                <w:color w:val="auto"/>
              </w:rPr>
            </w:pPr>
          </w:p>
        </w:tc>
        <w:tc>
          <w:tcPr>
            <w:tcW w:w="780" w:type="dxa"/>
            <w:vAlign w:val="bottom"/>
          </w:tcPr>
          <w:p>
            <w:pPr>
              <w:jc w:val="center"/>
              <w:ind w:right="169"/>
              <w:spacing w:after="0"/>
              <w:rPr>
                <w:sz w:val="20"/>
                <w:szCs w:val="20"/>
                <w:color w:val="auto"/>
              </w:rPr>
            </w:pPr>
            <w:r>
              <w:rPr>
                <w:rFonts w:ascii="Times New Roman" w:cs="Times New Roman" w:eastAsia="Times New Roman" w:hAnsi="Times New Roman"/>
                <w:sz w:val="14"/>
                <w:szCs w:val="14"/>
                <w:color w:val="auto"/>
              </w:rPr>
              <w:t>51%</w:t>
            </w:r>
          </w:p>
        </w:tc>
        <w:tc>
          <w:tcPr>
            <w:tcW w:w="0" w:type="dxa"/>
            <w:vAlign w:val="bottom"/>
          </w:tcPr>
          <w:p>
            <w:pPr>
              <w:spacing w:after="0"/>
              <w:rPr>
                <w:sz w:val="1"/>
                <w:szCs w:val="1"/>
                <w:color w:val="auto"/>
              </w:rPr>
            </w:pPr>
          </w:p>
        </w:tc>
      </w:tr>
      <w:tr>
        <w:trPr>
          <w:trHeight w:val="203"/>
        </w:trPr>
        <w:tc>
          <w:tcPr>
            <w:tcW w:w="32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Asia</w:t>
            </w:r>
          </w:p>
        </w:tc>
        <w:tc>
          <w:tcPr>
            <w:tcW w:w="3720" w:type="dxa"/>
            <w:vAlign w:val="bottom"/>
            <w:shd w:val="clear" w:color="auto" w:fill="CFF0FC"/>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252</w:t>
            </w:r>
          </w:p>
        </w:tc>
        <w:tc>
          <w:tcPr>
            <w:tcW w:w="300" w:type="dxa"/>
            <w:vAlign w:val="bottom"/>
            <w:shd w:val="clear" w:color="auto" w:fill="CCEEFF"/>
          </w:tcPr>
          <w:p>
            <w:pPr>
              <w:spacing w:after="0"/>
              <w:rPr>
                <w:sz w:val="17"/>
                <w:szCs w:val="17"/>
                <w:color w:val="auto"/>
              </w:rPr>
            </w:pPr>
          </w:p>
        </w:tc>
        <w:tc>
          <w:tcPr>
            <w:tcW w:w="880" w:type="dxa"/>
            <w:vAlign w:val="bottom"/>
            <w:shd w:val="clear" w:color="auto" w:fill="CCEEFF"/>
          </w:tcPr>
          <w:p>
            <w:pPr>
              <w:jc w:val="center"/>
              <w:ind w:right="232"/>
              <w:spacing w:after="0"/>
              <w:rPr>
                <w:sz w:val="20"/>
                <w:szCs w:val="20"/>
                <w:color w:val="auto"/>
              </w:rPr>
            </w:pPr>
            <w:r>
              <w:rPr>
                <w:rFonts w:ascii="Times New Roman" w:cs="Times New Roman" w:eastAsia="Times New Roman" w:hAnsi="Times New Roman"/>
                <w:sz w:val="14"/>
                <w:szCs w:val="14"/>
                <w:color w:val="auto"/>
              </w:rPr>
              <w:t>28%</w:t>
            </w:r>
          </w:p>
        </w:tc>
        <w:tc>
          <w:tcPr>
            <w:tcW w:w="580" w:type="dxa"/>
            <w:vAlign w:val="bottom"/>
            <w:shd w:val="clear" w:color="auto" w:fill="CCEEFF"/>
          </w:tcPr>
          <w:p>
            <w:pPr>
              <w:spacing w:after="0"/>
              <w:rPr>
                <w:sz w:val="17"/>
                <w:szCs w:val="17"/>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282</w:t>
            </w:r>
          </w:p>
        </w:tc>
        <w:tc>
          <w:tcPr>
            <w:tcW w:w="320" w:type="dxa"/>
            <w:vAlign w:val="bottom"/>
            <w:shd w:val="clear" w:color="auto" w:fill="CCEEFF"/>
          </w:tcPr>
          <w:p>
            <w:pPr>
              <w:spacing w:after="0"/>
              <w:rPr>
                <w:sz w:val="17"/>
                <w:szCs w:val="17"/>
                <w:color w:val="auto"/>
              </w:rPr>
            </w:pPr>
          </w:p>
        </w:tc>
        <w:tc>
          <w:tcPr>
            <w:tcW w:w="780" w:type="dxa"/>
            <w:vAlign w:val="bottom"/>
            <w:shd w:val="clear" w:color="auto" w:fill="CCEEFF"/>
          </w:tcPr>
          <w:p>
            <w:pPr>
              <w:jc w:val="center"/>
              <w:ind w:right="169"/>
              <w:spacing w:after="0"/>
              <w:rPr>
                <w:sz w:val="20"/>
                <w:szCs w:val="20"/>
                <w:color w:val="auto"/>
              </w:rPr>
            </w:pPr>
            <w:r>
              <w:rPr>
                <w:rFonts w:ascii="Times New Roman" w:cs="Times New Roman" w:eastAsia="Times New Roman" w:hAnsi="Times New Roman"/>
                <w:sz w:val="14"/>
                <w:szCs w:val="14"/>
                <w:color w:val="auto"/>
              </w:rPr>
              <w:t>29%</w:t>
            </w:r>
          </w:p>
        </w:tc>
        <w:tc>
          <w:tcPr>
            <w:tcW w:w="0" w:type="dxa"/>
            <w:vAlign w:val="bottom"/>
          </w:tcPr>
          <w:p>
            <w:pPr>
              <w:spacing w:after="0"/>
              <w:rPr>
                <w:sz w:val="1"/>
                <w:szCs w:val="1"/>
                <w:color w:val="auto"/>
              </w:rPr>
            </w:pPr>
          </w:p>
        </w:tc>
      </w:tr>
      <w:tr>
        <w:trPr>
          <w:trHeight w:val="202"/>
        </w:trPr>
        <w:tc>
          <w:tcPr>
            <w:tcW w:w="3260" w:type="dxa"/>
            <w:vAlign w:val="bottom"/>
            <w:tcBorders>
              <w:bottom w:val="single" w:sz="8" w:color="CFF0FC"/>
            </w:tcBorders>
          </w:tcPr>
          <w:p>
            <w:pPr>
              <w:ind w:left="20"/>
              <w:spacing w:after="0"/>
              <w:rPr>
                <w:sz w:val="20"/>
                <w:szCs w:val="20"/>
                <w:color w:val="auto"/>
              </w:rPr>
            </w:pPr>
            <w:r>
              <w:rPr>
                <w:rFonts w:ascii="Times New Roman" w:cs="Times New Roman" w:eastAsia="Times New Roman" w:hAnsi="Times New Roman"/>
                <w:sz w:val="14"/>
                <w:szCs w:val="14"/>
                <w:color w:val="auto"/>
              </w:rPr>
              <w:t>Other</w:t>
            </w:r>
          </w:p>
        </w:tc>
        <w:tc>
          <w:tcPr>
            <w:tcW w:w="3720" w:type="dxa"/>
            <w:vAlign w:val="bottom"/>
            <w:tcBorders>
              <w:bottom w:val="single" w:sz="8" w:color="CFF0FC"/>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300" w:type="dxa"/>
            <w:vAlign w:val="bottom"/>
            <w:tcBorders>
              <w:bottom w:val="single" w:sz="8" w:color="CCEEFF"/>
            </w:tcBorders>
          </w:tcPr>
          <w:p>
            <w:pPr>
              <w:spacing w:after="0"/>
              <w:rPr>
                <w:sz w:val="17"/>
                <w:szCs w:val="17"/>
                <w:color w:val="auto"/>
              </w:rPr>
            </w:pPr>
          </w:p>
        </w:tc>
        <w:tc>
          <w:tcPr>
            <w:tcW w:w="880" w:type="dxa"/>
            <w:vAlign w:val="bottom"/>
            <w:tcBorders>
              <w:bottom w:val="single" w:sz="8" w:color="CCEEFF"/>
            </w:tcBorders>
          </w:tcPr>
          <w:p>
            <w:pPr>
              <w:jc w:val="center"/>
              <w:ind w:right="252"/>
              <w:spacing w:after="0"/>
              <w:rPr>
                <w:sz w:val="20"/>
                <w:szCs w:val="20"/>
                <w:color w:val="auto"/>
              </w:rPr>
            </w:pPr>
            <w:r>
              <w:rPr>
                <w:rFonts w:ascii="Times New Roman" w:cs="Times New Roman" w:eastAsia="Times New Roman" w:hAnsi="Times New Roman"/>
                <w:sz w:val="14"/>
                <w:szCs w:val="14"/>
                <w:color w:val="auto"/>
              </w:rPr>
              <w:t>2%</w:t>
            </w:r>
          </w:p>
        </w:tc>
        <w:tc>
          <w:tcPr>
            <w:tcW w:w="58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320" w:type="dxa"/>
            <w:vAlign w:val="bottom"/>
            <w:tcBorders>
              <w:bottom w:val="single" w:sz="8" w:color="CCEEFF"/>
            </w:tcBorders>
          </w:tcPr>
          <w:p>
            <w:pPr>
              <w:spacing w:after="0"/>
              <w:rPr>
                <w:sz w:val="17"/>
                <w:szCs w:val="17"/>
                <w:color w:val="auto"/>
              </w:rPr>
            </w:pPr>
          </w:p>
        </w:tc>
        <w:tc>
          <w:tcPr>
            <w:tcW w:w="780" w:type="dxa"/>
            <w:vAlign w:val="bottom"/>
            <w:tcBorders>
              <w:bottom w:val="single" w:sz="8" w:color="CCEEFF"/>
            </w:tcBorders>
          </w:tcPr>
          <w:p>
            <w:pPr>
              <w:jc w:val="center"/>
              <w:ind w:right="149"/>
              <w:spacing w:after="0"/>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197"/>
        </w:trPr>
        <w:tc>
          <w:tcPr>
            <w:tcW w:w="32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3720" w:type="dxa"/>
            <w:vAlign w:val="bottom"/>
            <w:tcBorders>
              <w:bottom w:val="single" w:sz="8" w:color="CFF0FC"/>
            </w:tcBorders>
            <w:shd w:val="clear" w:color="auto" w:fill="CFF0FC"/>
          </w:tcPr>
          <w:p>
            <w:pPr>
              <w:spacing w:after="0"/>
              <w:rPr>
                <w:sz w:val="16"/>
                <w:szCs w:val="16"/>
                <w:color w:val="auto"/>
              </w:rPr>
            </w:pPr>
          </w:p>
        </w:tc>
        <w:tc>
          <w:tcPr>
            <w:tcW w:w="420" w:type="dxa"/>
            <w:vAlign w:val="bottom"/>
            <w:tcBorders>
              <w:bottom w:val="single" w:sz="8" w:color="auto"/>
            </w:tcBorders>
            <w:shd w:val="clear" w:color="auto" w:fill="CCEEFF"/>
          </w:tcPr>
          <w:p>
            <w:pPr>
              <w:jc w:val="right"/>
              <w:ind w:right="269"/>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915</w:t>
            </w:r>
          </w:p>
        </w:tc>
        <w:tc>
          <w:tcPr>
            <w:tcW w:w="30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auto"/>
            </w:tcBorders>
            <w:shd w:val="clear" w:color="auto" w:fill="CCEEFF"/>
          </w:tcPr>
          <w:p>
            <w:pPr>
              <w:jc w:val="right"/>
              <w:ind w:right="429"/>
              <w:spacing w:after="0"/>
              <w:rPr>
                <w:sz w:val="20"/>
                <w:szCs w:val="20"/>
                <w:color w:val="auto"/>
              </w:rPr>
            </w:pPr>
            <w:r>
              <w:rPr>
                <w:rFonts w:ascii="Times New Roman" w:cs="Times New Roman" w:eastAsia="Times New Roman" w:hAnsi="Times New Roman"/>
                <w:sz w:val="14"/>
                <w:szCs w:val="14"/>
                <w:color w:val="auto"/>
                <w:w w:val="85"/>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970</w:t>
            </w:r>
          </w:p>
        </w:tc>
        <w:tc>
          <w:tcPr>
            <w:tcW w:w="32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260" w:type="dxa"/>
            <w:vAlign w:val="bottom"/>
            <w:tcBorders>
              <w:top w:val="single" w:sz="8" w:color="CFF0FC"/>
            </w:tcBorders>
          </w:tcPr>
          <w:p>
            <w:pPr>
              <w:spacing w:after="0" w:line="20" w:lineRule="exact"/>
              <w:rPr>
                <w:sz w:val="1"/>
                <w:szCs w:val="1"/>
                <w:color w:val="auto"/>
              </w:rPr>
            </w:pPr>
          </w:p>
        </w:tc>
        <w:tc>
          <w:tcPr>
            <w:tcW w:w="3720" w:type="dxa"/>
            <w:vAlign w:val="bottom"/>
            <w:tcBorders>
              <w:top w:val="single" w:sz="8" w:color="CFF0FC"/>
              <w:bottom w:val="single" w:sz="8" w:color="CFF0FC"/>
            </w:tcBorders>
            <w:vMerge w:val="restart"/>
          </w:tcPr>
          <w:p>
            <w:pPr>
              <w:jc w:val="right"/>
              <w:ind w:right="1049"/>
              <w:spacing w:after="0"/>
              <w:rPr>
                <w:sz w:val="20"/>
                <w:szCs w:val="20"/>
                <w:color w:val="auto"/>
              </w:rPr>
            </w:pPr>
            <w:r>
              <w:rPr>
                <w:rFonts w:ascii="Times New Roman" w:cs="Times New Roman" w:eastAsia="Times New Roman" w:hAnsi="Times New Roman"/>
                <w:sz w:val="14"/>
                <w:szCs w:val="14"/>
                <w:color w:val="auto"/>
              </w:rPr>
              <w:t>22</w:t>
            </w: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76"/>
        </w:trPr>
        <w:tc>
          <w:tcPr>
            <w:tcW w:w="3260" w:type="dxa"/>
            <w:vAlign w:val="bottom"/>
          </w:tcPr>
          <w:p>
            <w:pPr>
              <w:spacing w:after="0"/>
              <w:rPr>
                <w:sz w:val="24"/>
                <w:szCs w:val="24"/>
                <w:color w:val="auto"/>
              </w:rPr>
            </w:pPr>
          </w:p>
        </w:tc>
        <w:tc>
          <w:tcPr>
            <w:tcW w:w="3720" w:type="dxa"/>
            <w:vAlign w:val="bottom"/>
            <w:vMerge w:val="continue"/>
          </w:tcPr>
          <w:p>
            <w:pPr>
              <w:spacing w:after="0"/>
              <w:rPr>
                <w:sz w:val="24"/>
                <w:szCs w:val="24"/>
                <w:color w:val="auto"/>
              </w:rPr>
            </w:pPr>
          </w:p>
        </w:tc>
        <w:tc>
          <w:tcPr>
            <w:tcW w:w="4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3260" w:type="dxa"/>
            <w:vAlign w:val="bottom"/>
            <w:tcBorders>
              <w:bottom w:val="single" w:sz="8" w:color="9A9A9A"/>
            </w:tcBorders>
          </w:tcPr>
          <w:p>
            <w:pPr>
              <w:spacing w:after="0"/>
              <w:rPr>
                <w:sz w:val="24"/>
                <w:szCs w:val="24"/>
                <w:color w:val="auto"/>
              </w:rPr>
            </w:pPr>
          </w:p>
        </w:tc>
        <w:tc>
          <w:tcPr>
            <w:tcW w:w="372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7145020</wp:posOffset>
            </wp:positionH>
            <wp:positionV relativeFrom="paragraph">
              <wp:posOffset>-25400</wp:posOffset>
            </wp:positionV>
            <wp:extent cx="3238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900" w:right="31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4"/>
          <w:szCs w:val="14"/>
          <w:b w:val="1"/>
          <w:bCs w:val="1"/>
          <w:i w:val="1"/>
          <w:iCs w:val="1"/>
          <w:color w:val="auto"/>
        </w:rPr>
        <w:t>By Product Line</w:t>
      </w:r>
    </w:p>
    <w:p>
      <w:pPr>
        <w:spacing w:after="0" w:line="51" w:lineRule="exact"/>
        <w:rPr>
          <w:sz w:val="20"/>
          <w:szCs w:val="20"/>
          <w:color w:val="auto"/>
        </w:rPr>
      </w:pPr>
    </w:p>
    <w:p>
      <w:pPr>
        <w:jc w:val="center"/>
        <w:ind w:left="6960"/>
        <w:spacing w:after="0"/>
        <w:rPr>
          <w:sz w:val="20"/>
          <w:szCs w:val="20"/>
          <w:color w:val="auto"/>
        </w:rPr>
      </w:pPr>
      <w:r>
        <w:rPr>
          <w:rFonts w:ascii="Times New Roman" w:cs="Times New Roman" w:eastAsia="Times New Roman" w:hAnsi="Times New Roman"/>
          <w:sz w:val="11"/>
          <w:szCs w:val="11"/>
          <w:b w:val="1"/>
          <w:bCs w:val="1"/>
          <w:color w:val="auto"/>
        </w:rPr>
        <w:t>Three Months Ended</w:t>
      </w:r>
    </w:p>
    <w:p>
      <w:pPr>
        <w:spacing w:after="0" w:line="15" w:lineRule="exact"/>
        <w:rPr>
          <w:sz w:val="20"/>
          <w:szCs w:val="20"/>
          <w:color w:val="auto"/>
        </w:rPr>
      </w:pPr>
    </w:p>
    <w:p>
      <w:pPr>
        <w:jc w:val="center"/>
        <w:ind w:left="6960"/>
        <w:spacing w:after="0"/>
        <w:rPr>
          <w:sz w:val="20"/>
          <w:szCs w:val="20"/>
          <w:color w:val="auto"/>
        </w:rPr>
      </w:pPr>
      <w:r>
        <w:rPr>
          <w:rFonts w:ascii="Times New Roman" w:cs="Times New Roman" w:eastAsia="Times New Roman" w:hAnsi="Times New Roman"/>
          <w:sz w:val="11"/>
          <w:szCs w:val="11"/>
          <w:b w:val="1"/>
          <w:bCs w:val="1"/>
          <w:color w:val="auto"/>
        </w:rPr>
        <w:t>March 31,</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6980" w:type="dxa"/>
            <w:vAlign w:val="bottom"/>
          </w:tcPr>
          <w:p>
            <w:pPr>
              <w:spacing w:after="0"/>
              <w:rPr>
                <w:sz w:val="14"/>
                <w:szCs w:val="14"/>
                <w:color w:val="auto"/>
              </w:rPr>
            </w:pPr>
          </w:p>
        </w:tc>
        <w:tc>
          <w:tcPr>
            <w:tcW w:w="420" w:type="dxa"/>
            <w:vAlign w:val="bottom"/>
            <w:tcBorders>
              <w:top w:val="single" w:sz="8" w:color="auto"/>
              <w:bottom w:val="single" w:sz="8" w:color="auto"/>
            </w:tcBorders>
          </w:tcPr>
          <w:p>
            <w:pPr>
              <w:spacing w:after="0"/>
              <w:rPr>
                <w:sz w:val="14"/>
                <w:szCs w:val="14"/>
                <w:color w:val="auto"/>
              </w:rPr>
            </w:pPr>
          </w:p>
        </w:tc>
        <w:tc>
          <w:tcPr>
            <w:tcW w:w="900" w:type="dxa"/>
            <w:vAlign w:val="bottom"/>
            <w:tcBorders>
              <w:top w:val="single" w:sz="8" w:color="auto"/>
              <w:bottom w:val="single" w:sz="8" w:color="auto"/>
            </w:tcBorders>
            <w:gridSpan w:val="3"/>
          </w:tcPr>
          <w:p>
            <w:pPr>
              <w:jc w:val="right"/>
              <w:ind w:right="160"/>
              <w:spacing w:after="0"/>
              <w:rPr>
                <w:sz w:val="20"/>
                <w:szCs w:val="20"/>
                <w:color w:val="auto"/>
              </w:rPr>
            </w:pPr>
            <w:r>
              <w:rPr>
                <w:rFonts w:ascii="Times New Roman" w:cs="Times New Roman" w:eastAsia="Times New Roman" w:hAnsi="Times New Roman"/>
                <w:sz w:val="11"/>
                <w:szCs w:val="11"/>
                <w:b w:val="1"/>
                <w:bCs w:val="1"/>
                <w:color w:val="auto"/>
              </w:rPr>
              <w:t>2024</w:t>
            </w:r>
          </w:p>
        </w:tc>
        <w:tc>
          <w:tcPr>
            <w:tcW w:w="680" w:type="dxa"/>
            <w:vAlign w:val="bottom"/>
            <w:tcBorders>
              <w:top w:val="single" w:sz="8" w:color="auto"/>
              <w:bottom w:val="single" w:sz="8" w:color="auto"/>
            </w:tcBorders>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480" w:type="dxa"/>
            <w:vAlign w:val="bottom"/>
            <w:tcBorders>
              <w:top w:val="single" w:sz="8" w:color="auto"/>
              <w:bottom w:val="single" w:sz="8" w:color="auto"/>
            </w:tcBorders>
          </w:tcPr>
          <w:p>
            <w:pPr>
              <w:spacing w:after="0"/>
              <w:rPr>
                <w:sz w:val="14"/>
                <w:szCs w:val="14"/>
                <w:color w:val="auto"/>
              </w:rPr>
            </w:pPr>
          </w:p>
        </w:tc>
        <w:tc>
          <w:tcPr>
            <w:tcW w:w="70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1"/>
                <w:szCs w:val="11"/>
                <w:b w:val="1"/>
                <w:bCs w:val="1"/>
                <w:color w:val="auto"/>
              </w:rPr>
              <w:t>2023</w:t>
            </w:r>
          </w:p>
        </w:tc>
        <w:tc>
          <w:tcPr>
            <w:tcW w:w="920" w:type="dxa"/>
            <w:vAlign w:val="bottom"/>
            <w:tcBorders>
              <w:top w:val="single" w:sz="8" w:color="auto"/>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69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360" w:type="dxa"/>
            <w:vAlign w:val="bottom"/>
            <w:gridSpan w:val="3"/>
          </w:tcPr>
          <w:p>
            <w:pPr>
              <w:jc w:val="right"/>
              <w:spacing w:after="0"/>
              <w:rPr>
                <w:sz w:val="20"/>
                <w:szCs w:val="20"/>
                <w:color w:val="auto"/>
              </w:rPr>
            </w:pPr>
            <w:r>
              <w:rPr>
                <w:rFonts w:ascii="Times New Roman" w:cs="Times New Roman" w:eastAsia="Times New Roman" w:hAnsi="Times New Roman"/>
                <w:sz w:val="11"/>
                <w:szCs w:val="11"/>
                <w:b w:val="1"/>
                <w:bCs w:val="1"/>
                <w:color w:val="auto"/>
              </w:rPr>
              <w:t>(Dollars in millions)</w:t>
            </w:r>
          </w:p>
        </w:tc>
        <w:tc>
          <w:tcPr>
            <w:tcW w:w="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2"/>
        </w:trPr>
        <w:tc>
          <w:tcPr>
            <w:tcW w:w="69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Diesel</w:t>
            </w:r>
          </w:p>
        </w:tc>
        <w:tc>
          <w:tcPr>
            <w:tcW w:w="420" w:type="dxa"/>
            <w:vAlign w:val="bottom"/>
            <w:shd w:val="clear" w:color="auto" w:fill="CCEEFF"/>
          </w:tcPr>
          <w:p>
            <w:pPr>
              <w:jc w:val="right"/>
              <w:ind w:right="269"/>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241</w:t>
            </w: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jc w:val="center"/>
              <w:ind w:right="33"/>
              <w:spacing w:after="0"/>
              <w:rPr>
                <w:sz w:val="20"/>
                <w:szCs w:val="20"/>
                <w:color w:val="auto"/>
              </w:rPr>
            </w:pPr>
            <w:r>
              <w:rPr>
                <w:rFonts w:ascii="Times New Roman" w:cs="Times New Roman" w:eastAsia="Times New Roman" w:hAnsi="Times New Roman"/>
                <w:sz w:val="14"/>
                <w:szCs w:val="14"/>
                <w:color w:val="auto"/>
              </w:rPr>
              <w:t>26%</w:t>
            </w:r>
          </w:p>
        </w:tc>
        <w:tc>
          <w:tcPr>
            <w:tcW w:w="680" w:type="dxa"/>
            <w:vAlign w:val="bottom"/>
            <w:gridSpan w:val="2"/>
            <w:shd w:val="clear" w:color="auto" w:fill="CCEEFF"/>
          </w:tcPr>
          <w:p>
            <w:pPr>
              <w:jc w:val="right"/>
              <w:ind w:right="336"/>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262</w:t>
            </w: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center"/>
              <w:ind w:right="31"/>
              <w:spacing w:after="0"/>
              <w:rPr>
                <w:sz w:val="20"/>
                <w:szCs w:val="20"/>
                <w:color w:val="auto"/>
              </w:rPr>
            </w:pPr>
            <w:r>
              <w:rPr>
                <w:rFonts w:ascii="Times New Roman" w:cs="Times New Roman" w:eastAsia="Times New Roman" w:hAnsi="Times New Roman"/>
                <w:sz w:val="14"/>
                <w:szCs w:val="14"/>
                <w:color w:val="auto"/>
              </w:rPr>
              <w:t>27%</w:t>
            </w:r>
          </w:p>
        </w:tc>
        <w:tc>
          <w:tcPr>
            <w:tcW w:w="0" w:type="dxa"/>
            <w:vAlign w:val="bottom"/>
          </w:tcPr>
          <w:p>
            <w:pPr>
              <w:spacing w:after="0"/>
              <w:rPr>
                <w:sz w:val="1"/>
                <w:szCs w:val="1"/>
                <w:color w:val="auto"/>
              </w:rPr>
            </w:pPr>
          </w:p>
        </w:tc>
      </w:tr>
      <w:tr>
        <w:trPr>
          <w:trHeight w:val="202"/>
        </w:trPr>
        <w:tc>
          <w:tcPr>
            <w:tcW w:w="6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Gas</w:t>
            </w:r>
          </w:p>
        </w:tc>
        <w:tc>
          <w:tcPr>
            <w:tcW w:w="420" w:type="dxa"/>
            <w:vAlign w:val="bottom"/>
          </w:tcPr>
          <w:p>
            <w:pPr>
              <w:spacing w:after="0"/>
              <w:rPr>
                <w:sz w:val="17"/>
                <w:szCs w:val="17"/>
                <w:color w:val="auto"/>
              </w:rPr>
            </w:pPr>
          </w:p>
        </w:tc>
        <w:tc>
          <w:tcPr>
            <w:tcW w:w="6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388</w:t>
            </w:r>
          </w:p>
        </w:tc>
        <w:tc>
          <w:tcPr>
            <w:tcW w:w="300" w:type="dxa"/>
            <w:vAlign w:val="bottom"/>
          </w:tcPr>
          <w:p>
            <w:pPr>
              <w:spacing w:after="0"/>
              <w:rPr>
                <w:sz w:val="17"/>
                <w:szCs w:val="17"/>
                <w:color w:val="auto"/>
              </w:rPr>
            </w:pPr>
          </w:p>
        </w:tc>
        <w:tc>
          <w:tcPr>
            <w:tcW w:w="680" w:type="dxa"/>
            <w:vAlign w:val="bottom"/>
          </w:tcPr>
          <w:p>
            <w:pPr>
              <w:jc w:val="center"/>
              <w:ind w:right="33"/>
              <w:spacing w:after="0"/>
              <w:rPr>
                <w:sz w:val="20"/>
                <w:szCs w:val="20"/>
                <w:color w:val="auto"/>
              </w:rPr>
            </w:pPr>
            <w:r>
              <w:rPr>
                <w:rFonts w:ascii="Times New Roman" w:cs="Times New Roman" w:eastAsia="Times New Roman" w:hAnsi="Times New Roman"/>
                <w:sz w:val="14"/>
                <w:szCs w:val="14"/>
                <w:color w:val="auto"/>
              </w:rPr>
              <w:t>42%</w:t>
            </w:r>
          </w:p>
        </w:tc>
        <w:tc>
          <w:tcPr>
            <w:tcW w:w="2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403</w:t>
            </w:r>
          </w:p>
        </w:tc>
        <w:tc>
          <w:tcPr>
            <w:tcW w:w="180" w:type="dxa"/>
            <w:vAlign w:val="bottom"/>
          </w:tcPr>
          <w:p>
            <w:pPr>
              <w:spacing w:after="0"/>
              <w:rPr>
                <w:sz w:val="17"/>
                <w:szCs w:val="17"/>
                <w:color w:val="auto"/>
              </w:rPr>
            </w:pPr>
          </w:p>
        </w:tc>
        <w:tc>
          <w:tcPr>
            <w:tcW w:w="920" w:type="dxa"/>
            <w:vAlign w:val="bottom"/>
          </w:tcPr>
          <w:p>
            <w:pPr>
              <w:jc w:val="center"/>
              <w:ind w:right="31"/>
              <w:spacing w:after="0"/>
              <w:rPr>
                <w:sz w:val="20"/>
                <w:szCs w:val="20"/>
                <w:color w:val="auto"/>
              </w:rPr>
            </w:pPr>
            <w:r>
              <w:rPr>
                <w:rFonts w:ascii="Times New Roman" w:cs="Times New Roman" w:eastAsia="Times New Roman" w:hAnsi="Times New Roman"/>
                <w:sz w:val="14"/>
                <w:szCs w:val="14"/>
                <w:color w:val="auto"/>
              </w:rPr>
              <w:t>42%</w:t>
            </w:r>
          </w:p>
        </w:tc>
        <w:tc>
          <w:tcPr>
            <w:tcW w:w="0" w:type="dxa"/>
            <w:vAlign w:val="bottom"/>
          </w:tcPr>
          <w:p>
            <w:pPr>
              <w:spacing w:after="0"/>
              <w:rPr>
                <w:sz w:val="1"/>
                <w:szCs w:val="1"/>
                <w:color w:val="auto"/>
              </w:rPr>
            </w:pPr>
          </w:p>
        </w:tc>
      </w:tr>
      <w:tr>
        <w:trPr>
          <w:trHeight w:val="203"/>
        </w:trPr>
        <w:tc>
          <w:tcPr>
            <w:tcW w:w="69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Commercial Vehicle</w:t>
            </w:r>
          </w:p>
        </w:tc>
        <w:tc>
          <w:tcPr>
            <w:tcW w:w="42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161</w:t>
            </w:r>
          </w:p>
        </w:tc>
        <w:tc>
          <w:tcPr>
            <w:tcW w:w="300" w:type="dxa"/>
            <w:vAlign w:val="bottom"/>
            <w:shd w:val="clear" w:color="auto" w:fill="CCEEFF"/>
          </w:tcPr>
          <w:p>
            <w:pPr>
              <w:spacing w:after="0"/>
              <w:rPr>
                <w:sz w:val="17"/>
                <w:szCs w:val="17"/>
                <w:color w:val="auto"/>
              </w:rPr>
            </w:pPr>
          </w:p>
        </w:tc>
        <w:tc>
          <w:tcPr>
            <w:tcW w:w="680" w:type="dxa"/>
            <w:vAlign w:val="bottom"/>
            <w:shd w:val="clear" w:color="auto" w:fill="CCEEFF"/>
          </w:tcPr>
          <w:p>
            <w:pPr>
              <w:jc w:val="center"/>
              <w:ind w:right="33"/>
              <w:spacing w:after="0"/>
              <w:rPr>
                <w:sz w:val="20"/>
                <w:szCs w:val="20"/>
                <w:color w:val="auto"/>
              </w:rPr>
            </w:pPr>
            <w:r>
              <w:rPr>
                <w:rFonts w:ascii="Times New Roman" w:cs="Times New Roman" w:eastAsia="Times New Roman" w:hAnsi="Times New Roman"/>
                <w:sz w:val="14"/>
                <w:szCs w:val="14"/>
                <w:color w:val="auto"/>
              </w:rPr>
              <w:t>18%</w:t>
            </w:r>
          </w:p>
        </w:tc>
        <w:tc>
          <w:tcPr>
            <w:tcW w:w="2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183</w:t>
            </w: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jc w:val="center"/>
              <w:ind w:right="31"/>
              <w:spacing w:after="0"/>
              <w:rPr>
                <w:sz w:val="20"/>
                <w:szCs w:val="20"/>
                <w:color w:val="auto"/>
              </w:rPr>
            </w:pPr>
            <w:r>
              <w:rPr>
                <w:rFonts w:ascii="Times New Roman" w:cs="Times New Roman" w:eastAsia="Times New Roman" w:hAnsi="Times New Roman"/>
                <w:sz w:val="14"/>
                <w:szCs w:val="14"/>
                <w:color w:val="auto"/>
              </w:rPr>
              <w:t>19%</w:t>
            </w:r>
          </w:p>
        </w:tc>
        <w:tc>
          <w:tcPr>
            <w:tcW w:w="0" w:type="dxa"/>
            <w:vAlign w:val="bottom"/>
          </w:tcPr>
          <w:p>
            <w:pPr>
              <w:spacing w:after="0"/>
              <w:rPr>
                <w:sz w:val="1"/>
                <w:szCs w:val="1"/>
                <w:color w:val="auto"/>
              </w:rPr>
            </w:pPr>
          </w:p>
        </w:tc>
      </w:tr>
      <w:tr>
        <w:trPr>
          <w:trHeight w:val="202"/>
        </w:trPr>
        <w:tc>
          <w:tcPr>
            <w:tcW w:w="6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Aftermarket</w:t>
            </w:r>
          </w:p>
        </w:tc>
        <w:tc>
          <w:tcPr>
            <w:tcW w:w="420" w:type="dxa"/>
            <w:vAlign w:val="bottom"/>
          </w:tcPr>
          <w:p>
            <w:pPr>
              <w:spacing w:after="0"/>
              <w:rPr>
                <w:sz w:val="17"/>
                <w:szCs w:val="17"/>
                <w:color w:val="auto"/>
              </w:rPr>
            </w:pPr>
          </w:p>
        </w:tc>
        <w:tc>
          <w:tcPr>
            <w:tcW w:w="6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112</w:t>
            </w:r>
          </w:p>
        </w:tc>
        <w:tc>
          <w:tcPr>
            <w:tcW w:w="300" w:type="dxa"/>
            <w:vAlign w:val="bottom"/>
          </w:tcPr>
          <w:p>
            <w:pPr>
              <w:spacing w:after="0"/>
              <w:rPr>
                <w:sz w:val="17"/>
                <w:szCs w:val="17"/>
                <w:color w:val="auto"/>
              </w:rPr>
            </w:pPr>
          </w:p>
        </w:tc>
        <w:tc>
          <w:tcPr>
            <w:tcW w:w="680" w:type="dxa"/>
            <w:vAlign w:val="bottom"/>
          </w:tcPr>
          <w:p>
            <w:pPr>
              <w:jc w:val="center"/>
              <w:ind w:right="33"/>
              <w:spacing w:after="0"/>
              <w:rPr>
                <w:sz w:val="20"/>
                <w:szCs w:val="20"/>
                <w:color w:val="auto"/>
              </w:rPr>
            </w:pPr>
            <w:r>
              <w:rPr>
                <w:rFonts w:ascii="Times New Roman" w:cs="Times New Roman" w:eastAsia="Times New Roman" w:hAnsi="Times New Roman"/>
                <w:sz w:val="14"/>
                <w:szCs w:val="14"/>
                <w:color w:val="auto"/>
              </w:rPr>
              <w:t>12%</w:t>
            </w:r>
          </w:p>
        </w:tc>
        <w:tc>
          <w:tcPr>
            <w:tcW w:w="2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110</w:t>
            </w:r>
          </w:p>
        </w:tc>
        <w:tc>
          <w:tcPr>
            <w:tcW w:w="180" w:type="dxa"/>
            <w:vAlign w:val="bottom"/>
          </w:tcPr>
          <w:p>
            <w:pPr>
              <w:spacing w:after="0"/>
              <w:rPr>
                <w:sz w:val="17"/>
                <w:szCs w:val="17"/>
                <w:color w:val="auto"/>
              </w:rPr>
            </w:pPr>
          </w:p>
        </w:tc>
        <w:tc>
          <w:tcPr>
            <w:tcW w:w="920" w:type="dxa"/>
            <w:vAlign w:val="bottom"/>
          </w:tcPr>
          <w:p>
            <w:pPr>
              <w:jc w:val="center"/>
              <w:ind w:right="31"/>
              <w:spacing w:after="0"/>
              <w:rPr>
                <w:sz w:val="20"/>
                <w:szCs w:val="20"/>
                <w:color w:val="auto"/>
              </w:rPr>
            </w:pPr>
            <w:r>
              <w:rPr>
                <w:rFonts w:ascii="Times New Roman" w:cs="Times New Roman" w:eastAsia="Times New Roman" w:hAnsi="Times New Roman"/>
                <w:sz w:val="14"/>
                <w:szCs w:val="14"/>
                <w:color w:val="auto"/>
              </w:rPr>
              <w:t>11%</w:t>
            </w:r>
          </w:p>
        </w:tc>
        <w:tc>
          <w:tcPr>
            <w:tcW w:w="0" w:type="dxa"/>
            <w:vAlign w:val="bottom"/>
          </w:tcPr>
          <w:p>
            <w:pPr>
              <w:spacing w:after="0"/>
              <w:rPr>
                <w:sz w:val="1"/>
                <w:szCs w:val="1"/>
                <w:color w:val="auto"/>
              </w:rPr>
            </w:pPr>
          </w:p>
        </w:tc>
      </w:tr>
      <w:tr>
        <w:trPr>
          <w:trHeight w:val="203"/>
        </w:trPr>
        <w:tc>
          <w:tcPr>
            <w:tcW w:w="69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Other</w:t>
            </w:r>
          </w:p>
        </w:tc>
        <w:tc>
          <w:tcPr>
            <w:tcW w:w="42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13</w:t>
            </w:r>
          </w:p>
        </w:tc>
        <w:tc>
          <w:tcPr>
            <w:tcW w:w="300" w:type="dxa"/>
            <w:vAlign w:val="bottom"/>
            <w:shd w:val="clear" w:color="auto" w:fill="CCEEFF"/>
          </w:tcPr>
          <w:p>
            <w:pPr>
              <w:spacing w:after="0"/>
              <w:rPr>
                <w:sz w:val="17"/>
                <w:szCs w:val="17"/>
                <w:color w:val="auto"/>
              </w:rPr>
            </w:pPr>
          </w:p>
        </w:tc>
        <w:tc>
          <w:tcPr>
            <w:tcW w:w="680" w:type="dxa"/>
            <w:vAlign w:val="bottom"/>
            <w:shd w:val="clear" w:color="auto" w:fill="CCEEFF"/>
          </w:tcPr>
          <w:p>
            <w:pPr>
              <w:jc w:val="center"/>
              <w:ind w:right="53"/>
              <w:spacing w:after="0"/>
              <w:rPr>
                <w:sz w:val="20"/>
                <w:szCs w:val="20"/>
                <w:color w:val="auto"/>
              </w:rPr>
            </w:pPr>
            <w:r>
              <w:rPr>
                <w:rFonts w:ascii="Times New Roman" w:cs="Times New Roman" w:eastAsia="Times New Roman" w:hAnsi="Times New Roman"/>
                <w:sz w:val="14"/>
                <w:szCs w:val="14"/>
                <w:color w:val="auto"/>
              </w:rPr>
              <w:t>2%</w:t>
            </w:r>
          </w:p>
        </w:tc>
        <w:tc>
          <w:tcPr>
            <w:tcW w:w="200" w:type="dxa"/>
            <w:vAlign w:val="bottom"/>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jc w:val="center"/>
              <w:ind w:right="11"/>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72"/>
        </w:trPr>
        <w:tc>
          <w:tcPr>
            <w:tcW w:w="6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420" w:type="dxa"/>
            <w:vAlign w:val="bottom"/>
            <w:tcBorders>
              <w:bottom w:val="single" w:sz="8" w:color="auto"/>
            </w:tcBorders>
          </w:tcPr>
          <w:p>
            <w:pPr>
              <w:jc w:val="right"/>
              <w:ind w:right="269"/>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915</w:t>
            </w: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Borders>
              <w:bottom w:val="single" w:sz="8" w:color="auto"/>
            </w:tcBorders>
          </w:tcPr>
          <w:p>
            <w:pPr>
              <w:jc w:val="right"/>
              <w:ind w:right="336"/>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970</w:t>
            </w: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9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Results of Operations for the Three Months Ended March 31, 2024</w:t>
            </w:r>
          </w:p>
        </w:tc>
        <w:tc>
          <w:tcPr>
            <w:tcW w:w="4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7"/>
        </w:trPr>
        <w:tc>
          <w:tcPr>
            <w:tcW w:w="6980" w:type="dxa"/>
            <w:vAlign w:val="bottom"/>
            <w:vMerge w:val="continue"/>
          </w:tcPr>
          <w:p>
            <w:pPr>
              <w:spacing w:after="0"/>
              <w:rPr>
                <w:sz w:val="24"/>
                <w:szCs w:val="24"/>
                <w:color w:val="auto"/>
              </w:rPr>
            </w:pPr>
          </w:p>
        </w:tc>
        <w:tc>
          <w:tcPr>
            <w:tcW w:w="4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9"/>
        </w:trPr>
        <w:tc>
          <w:tcPr>
            <w:tcW w:w="6980" w:type="dxa"/>
            <w:vAlign w:val="bottom"/>
          </w:tcPr>
          <w:p>
            <w:pPr>
              <w:spacing w:after="0"/>
              <w:rPr>
                <w:sz w:val="20"/>
                <w:szCs w:val="20"/>
                <w:color w:val="auto"/>
              </w:rPr>
            </w:pPr>
            <w:r>
              <w:rPr>
                <w:rFonts w:ascii="Times New Roman" w:cs="Times New Roman" w:eastAsia="Times New Roman" w:hAnsi="Times New Roman"/>
                <w:sz w:val="14"/>
                <w:szCs w:val="14"/>
                <w:b w:val="1"/>
                <w:bCs w:val="1"/>
                <w:i w:val="1"/>
                <w:iCs w:val="1"/>
                <w:color w:val="auto"/>
              </w:rPr>
              <w:t>Net Sales</w:t>
            </w:r>
          </w:p>
        </w:tc>
        <w:tc>
          <w:tcPr>
            <w:tcW w:w="4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69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380" w:type="dxa"/>
            <w:vAlign w:val="bottom"/>
            <w:gridSpan w:val="4"/>
          </w:tcPr>
          <w:p>
            <w:pPr>
              <w:jc w:val="center"/>
              <w:ind w:right="140"/>
              <w:spacing w:after="0"/>
              <w:rPr>
                <w:sz w:val="20"/>
                <w:szCs w:val="20"/>
                <w:color w:val="auto"/>
              </w:rPr>
            </w:pPr>
            <w:r>
              <w:rPr>
                <w:rFonts w:ascii="Times New Roman" w:cs="Times New Roman" w:eastAsia="Times New Roman" w:hAnsi="Times New Roman"/>
                <w:sz w:val="11"/>
                <w:szCs w:val="11"/>
                <w:b w:val="1"/>
                <w:bCs w:val="1"/>
                <w:color w:val="auto"/>
              </w:rPr>
              <w:t>Three Months Ended</w:t>
            </w: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69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gridSpan w:val="3"/>
          </w:tcPr>
          <w:p>
            <w:pPr>
              <w:jc w:val="center"/>
              <w:ind w:right="320"/>
              <w:spacing w:after="0"/>
              <w:rPr>
                <w:sz w:val="20"/>
                <w:szCs w:val="20"/>
                <w:color w:val="auto"/>
              </w:rPr>
            </w:pPr>
            <w:r>
              <w:rPr>
                <w:rFonts w:ascii="Times New Roman" w:cs="Times New Roman" w:eastAsia="Times New Roman" w:hAnsi="Times New Roman"/>
                <w:sz w:val="11"/>
                <w:szCs w:val="11"/>
                <w:b w:val="1"/>
                <w:bCs w:val="1"/>
                <w:color w:val="auto"/>
              </w:rPr>
              <w:t>March 31,</w:t>
            </w:r>
          </w:p>
        </w:tc>
        <w:tc>
          <w:tcPr>
            <w:tcW w:w="9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69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1"/>
                <w:szCs w:val="11"/>
                <w:b w:val="1"/>
                <w:bCs w:val="1"/>
                <w:color w:val="auto"/>
              </w:rPr>
              <w:t>2024</w:t>
            </w:r>
          </w:p>
        </w:tc>
        <w:tc>
          <w:tcPr>
            <w:tcW w:w="2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611"/>
              <w:spacing w:after="0"/>
              <w:rPr>
                <w:sz w:val="20"/>
                <w:szCs w:val="20"/>
                <w:color w:val="auto"/>
              </w:rPr>
            </w:pPr>
            <w:r>
              <w:rPr>
                <w:rFonts w:ascii="Times New Roman" w:cs="Times New Roman" w:eastAsia="Times New Roman" w:hAnsi="Times New Roman"/>
                <w:sz w:val="11"/>
                <w:szCs w:val="11"/>
                <w:b w:val="1"/>
                <w:bCs w:val="1"/>
                <w:color w:val="auto"/>
                <w:w w:val="99"/>
              </w:rPr>
              <w:t>2023</w:t>
            </w:r>
          </w:p>
        </w:tc>
        <w:tc>
          <w:tcPr>
            <w:tcW w:w="0" w:type="dxa"/>
            <w:vAlign w:val="bottom"/>
          </w:tcPr>
          <w:p>
            <w:pPr>
              <w:spacing w:after="0"/>
              <w:rPr>
                <w:sz w:val="1"/>
                <w:szCs w:val="1"/>
                <w:color w:val="auto"/>
              </w:rPr>
            </w:pPr>
          </w:p>
        </w:tc>
      </w:tr>
      <w:tr>
        <w:trPr>
          <w:trHeight w:val="161"/>
        </w:trPr>
        <w:tc>
          <w:tcPr>
            <w:tcW w:w="69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380" w:type="dxa"/>
            <w:vAlign w:val="bottom"/>
            <w:gridSpan w:val="4"/>
          </w:tcPr>
          <w:p>
            <w:pPr>
              <w:jc w:val="center"/>
              <w:ind w:right="140"/>
              <w:spacing w:after="0"/>
              <w:rPr>
                <w:sz w:val="20"/>
                <w:szCs w:val="20"/>
                <w:color w:val="auto"/>
              </w:rPr>
            </w:pPr>
            <w:r>
              <w:rPr>
                <w:rFonts w:ascii="Times New Roman" w:cs="Times New Roman" w:eastAsia="Times New Roman" w:hAnsi="Times New Roman"/>
                <w:sz w:val="11"/>
                <w:szCs w:val="11"/>
                <w:b w:val="1"/>
                <w:bCs w:val="1"/>
                <w:color w:val="auto"/>
              </w:rPr>
              <w:t>(Dollars in millions)</w:t>
            </w: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2"/>
        </w:trPr>
        <w:tc>
          <w:tcPr>
            <w:tcW w:w="69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Net sales</w:t>
            </w:r>
          </w:p>
        </w:tc>
        <w:tc>
          <w:tcPr>
            <w:tcW w:w="420" w:type="dxa"/>
            <w:vAlign w:val="bottom"/>
            <w:shd w:val="clear" w:color="auto" w:fill="CFF0FC"/>
          </w:tcPr>
          <w:p>
            <w:pPr>
              <w:spacing w:after="0"/>
              <w:rPr>
                <w:sz w:val="18"/>
                <w:szCs w:val="18"/>
                <w:color w:val="auto"/>
              </w:rPr>
            </w:pPr>
          </w:p>
        </w:tc>
        <w:tc>
          <w:tcPr>
            <w:tcW w:w="900" w:type="dxa"/>
            <w:vAlign w:val="bottom"/>
            <w:gridSpan w:val="3"/>
            <w:shd w:val="clear" w:color="auto" w:fill="CFF0FC"/>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FF0FC"/>
          </w:tcPr>
          <w:p>
            <w:pPr>
              <w:spacing w:after="0"/>
              <w:rPr>
                <w:sz w:val="18"/>
                <w:szCs w:val="18"/>
                <w:color w:val="auto"/>
              </w:rPr>
            </w:pPr>
          </w:p>
        </w:tc>
        <w:tc>
          <w:tcPr>
            <w:tcW w:w="680" w:type="dxa"/>
            <w:vAlign w:val="bottom"/>
            <w:gridSpan w:val="2"/>
            <w:shd w:val="clear" w:color="auto" w:fill="CFF0FC"/>
          </w:tcPr>
          <w:p>
            <w:pPr>
              <w:jc w:val="right"/>
              <w:ind w:right="156"/>
              <w:spacing w:after="0"/>
              <w:rPr>
                <w:sz w:val="20"/>
                <w:szCs w:val="20"/>
                <w:color w:val="auto"/>
              </w:rPr>
            </w:pPr>
            <w:r>
              <w:rPr>
                <w:rFonts w:ascii="Times New Roman" w:cs="Times New Roman" w:eastAsia="Times New Roman" w:hAnsi="Times New Roman"/>
                <w:sz w:val="14"/>
                <w:szCs w:val="14"/>
                <w:color w:val="auto"/>
              </w:rPr>
              <w:t>915</w:t>
            </w:r>
          </w:p>
        </w:tc>
        <w:tc>
          <w:tcPr>
            <w:tcW w:w="520" w:type="dxa"/>
            <w:vAlign w:val="bottom"/>
            <w:shd w:val="clear" w:color="auto" w:fill="CFF0FC"/>
          </w:tcPr>
          <w:p>
            <w:pPr>
              <w:jc w:val="right"/>
              <w:ind w:right="311"/>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970</w:t>
            </w:r>
          </w:p>
        </w:tc>
        <w:tc>
          <w:tcPr>
            <w:tcW w:w="0" w:type="dxa"/>
            <w:vAlign w:val="bottom"/>
          </w:tcPr>
          <w:p>
            <w:pPr>
              <w:spacing w:after="0"/>
              <w:rPr>
                <w:sz w:val="1"/>
                <w:szCs w:val="1"/>
                <w:color w:val="auto"/>
              </w:rPr>
            </w:pPr>
          </w:p>
        </w:tc>
      </w:tr>
      <w:tr>
        <w:trPr>
          <w:trHeight w:val="191"/>
        </w:trPr>
        <w:tc>
          <w:tcPr>
            <w:tcW w:w="6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 change compared with prior period</w:t>
            </w:r>
          </w:p>
        </w:tc>
        <w:tc>
          <w:tcPr>
            <w:tcW w:w="4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(5.7)%</w:t>
            </w:r>
          </w:p>
        </w:tc>
        <w:tc>
          <w:tcPr>
            <w:tcW w:w="5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4463415" cy="9398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4463415" cy="9398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both"/>
        <w:ind w:firstLine="307"/>
        <w:spacing w:after="0" w:line="265" w:lineRule="auto"/>
        <w:rPr>
          <w:sz w:val="20"/>
          <w:szCs w:val="20"/>
          <w:color w:val="auto"/>
        </w:rPr>
      </w:pPr>
      <w:r>
        <w:rPr>
          <w:rFonts w:ascii="Times New Roman" w:cs="Times New Roman" w:eastAsia="Times New Roman" w:hAnsi="Times New Roman"/>
          <w:sz w:val="14"/>
          <w:szCs w:val="14"/>
          <w:color w:val="auto"/>
        </w:rPr>
        <w:t>For the three months ended March 31, 2024, net sales decreased compared to prior year by $55 million or 6%, including an unfavorable impact of $8 million or 1% due to foreign currency translation driven by lower Chinese yuan-to-US dollar exchange rates, partially offset by higher Euro-to-US dollar exchange rates. Net sales decreased mainly due to lower volumes in gasoline, diesel and commercial vehicle applications, partially offset by demand for replacement parts on aftermarket sales. Net sales further decreased due to pricing decreases, net of inflation pass-through, driven by commodity deflation.</w:t>
      </w:r>
    </w:p>
    <w:p>
      <w:pPr>
        <w:spacing w:after="0" w:line="120" w:lineRule="exact"/>
        <w:rPr>
          <w:sz w:val="20"/>
          <w:szCs w:val="20"/>
          <w:color w:val="auto"/>
        </w:rPr>
      </w:pPr>
    </w:p>
    <w:p>
      <w:pPr>
        <w:jc w:val="both"/>
        <w:ind w:firstLine="307"/>
        <w:spacing w:after="0" w:line="289" w:lineRule="auto"/>
        <w:rPr>
          <w:sz w:val="20"/>
          <w:szCs w:val="20"/>
          <w:color w:val="auto"/>
        </w:rPr>
      </w:pPr>
      <w:r>
        <w:rPr>
          <w:rFonts w:ascii="Times New Roman" w:cs="Times New Roman" w:eastAsia="Times New Roman" w:hAnsi="Times New Roman"/>
          <w:sz w:val="14"/>
          <w:szCs w:val="14"/>
          <w:color w:val="auto"/>
        </w:rPr>
        <w:t>Gasoline product sales decreased by $15 million or 4% (including an unfavorable impact of $5 million or 2% due to foreign currency translation), primarily driven by soft demand in Asia and North America. The decrease was partially offset by program ramp-ups in Europe and India.</w:t>
      </w:r>
    </w:p>
    <w:p>
      <w:pPr>
        <w:spacing w:after="0" w:line="92" w:lineRule="exact"/>
        <w:rPr>
          <w:sz w:val="20"/>
          <w:szCs w:val="20"/>
          <w:color w:val="auto"/>
        </w:rPr>
      </w:pPr>
    </w:p>
    <w:p>
      <w:pPr>
        <w:jc w:val="both"/>
        <w:ind w:firstLine="307"/>
        <w:spacing w:after="0" w:line="289" w:lineRule="auto"/>
        <w:rPr>
          <w:sz w:val="20"/>
          <w:szCs w:val="20"/>
          <w:color w:val="auto"/>
        </w:rPr>
      </w:pPr>
      <w:r>
        <w:rPr>
          <w:rFonts w:ascii="Times New Roman" w:cs="Times New Roman" w:eastAsia="Times New Roman" w:hAnsi="Times New Roman"/>
          <w:sz w:val="14"/>
          <w:szCs w:val="14"/>
          <w:color w:val="auto"/>
        </w:rPr>
        <w:t>Diesel product sales decreased by $21 million or 8% (including an unfavorable impact of $21 million or 8% due to foreign currency translation), primarily driven by demand softness by OEMs in Europe and partially offset by resilient sales in light commercial vehicle applications in North America.</w:t>
      </w:r>
    </w:p>
    <w:p>
      <w:pPr>
        <w:spacing w:after="0" w:line="92" w:lineRule="exact"/>
        <w:rPr>
          <w:sz w:val="20"/>
          <w:szCs w:val="20"/>
          <w:color w:val="auto"/>
        </w:rPr>
      </w:pPr>
    </w:p>
    <w:p>
      <w:pPr>
        <w:jc w:val="both"/>
        <w:ind w:firstLine="307"/>
        <w:spacing w:after="0" w:line="271" w:lineRule="auto"/>
        <w:rPr>
          <w:sz w:val="20"/>
          <w:szCs w:val="20"/>
          <w:color w:val="auto"/>
        </w:rPr>
      </w:pPr>
      <w:r>
        <w:rPr>
          <w:rFonts w:ascii="Times New Roman" w:cs="Times New Roman" w:eastAsia="Times New Roman" w:hAnsi="Times New Roman"/>
          <w:sz w:val="14"/>
          <w:szCs w:val="14"/>
          <w:color w:val="auto"/>
        </w:rPr>
        <w:t>Commercial vehicle sales decreased by $22 million or 12% (including an unfavorable impact of $3 million or 1% due to foreign currency translation), primarily driven by soft demand in Europe and Asia in the construction industry, partially offset by higher demand in the heavy duty pick-up segment in North America and sustained demand in China linked to the start of production of compressed natural gas programs.</w:t>
      </w:r>
    </w:p>
    <w:p>
      <w:pPr>
        <w:spacing w:after="0" w:line="115" w:lineRule="exact"/>
        <w:rPr>
          <w:sz w:val="20"/>
          <w:szCs w:val="20"/>
          <w:color w:val="auto"/>
        </w:rPr>
      </w:pPr>
    </w:p>
    <w:p>
      <w:pPr>
        <w:jc w:val="both"/>
        <w:ind w:firstLine="307"/>
        <w:spacing w:after="0" w:line="289" w:lineRule="auto"/>
        <w:rPr>
          <w:sz w:val="20"/>
          <w:szCs w:val="20"/>
          <w:color w:val="auto"/>
        </w:rPr>
      </w:pPr>
      <w:r>
        <w:rPr>
          <w:rFonts w:ascii="Times New Roman" w:cs="Times New Roman" w:eastAsia="Times New Roman" w:hAnsi="Times New Roman"/>
          <w:sz w:val="14"/>
          <w:szCs w:val="14"/>
          <w:color w:val="auto"/>
        </w:rPr>
        <w:t>Aftermarket sales increased by $2 million or 2% (including a favorable impact of $2 million or 2% due to foreign currency translation), primarily due to favorable aftermarket conditions and demand for replacement parts in North America, China and Brazil, partially offset by softer sales in Southeast Asia and Australia.</w:t>
      </w:r>
    </w:p>
    <w:p>
      <w:pPr>
        <w:spacing w:after="0" w:line="230"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178435</wp:posOffset>
            </wp:positionV>
            <wp:extent cx="7186930"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60" w:right="31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4"/>
          <w:szCs w:val="14"/>
          <w:b w:val="1"/>
          <w:bCs w:val="1"/>
          <w:i w:val="1"/>
          <w:iCs w:val="1"/>
          <w:color w:val="auto"/>
        </w:rPr>
        <w:t>Cost of Goods Sold and Gross Profit</w:t>
      </w:r>
    </w:p>
    <w:p>
      <w:pPr>
        <w:spacing w:after="0" w:line="62" w:lineRule="exact"/>
        <w:rPr>
          <w:sz w:val="20"/>
          <w:szCs w:val="20"/>
          <w:color w:val="auto"/>
        </w:rPr>
      </w:pPr>
    </w:p>
    <w:p>
      <w:pPr>
        <w:jc w:val="center"/>
        <w:ind w:left="7820"/>
        <w:spacing w:after="0"/>
        <w:rPr>
          <w:sz w:val="20"/>
          <w:szCs w:val="20"/>
          <w:color w:val="auto"/>
        </w:rPr>
      </w:pPr>
      <w:r>
        <w:rPr>
          <w:rFonts w:ascii="Times New Roman" w:cs="Times New Roman" w:eastAsia="Times New Roman" w:hAnsi="Times New Roman"/>
          <w:sz w:val="11"/>
          <w:szCs w:val="11"/>
          <w:b w:val="1"/>
          <w:bCs w:val="1"/>
          <w:color w:val="auto"/>
        </w:rPr>
        <w:t>Three Months Ended</w:t>
      </w:r>
    </w:p>
    <w:p>
      <w:pPr>
        <w:spacing w:after="0" w:line="23" w:lineRule="exact"/>
        <w:rPr>
          <w:sz w:val="20"/>
          <w:szCs w:val="20"/>
          <w:color w:val="auto"/>
        </w:rPr>
      </w:pPr>
    </w:p>
    <w:p>
      <w:pPr>
        <w:jc w:val="center"/>
        <w:ind w:left="7820"/>
        <w:spacing w:after="0"/>
        <w:rPr>
          <w:sz w:val="20"/>
          <w:szCs w:val="20"/>
          <w:color w:val="auto"/>
        </w:rPr>
      </w:pPr>
      <w:r>
        <w:rPr>
          <w:rFonts w:ascii="Times New Roman" w:cs="Times New Roman" w:eastAsia="Times New Roman" w:hAnsi="Times New Roman"/>
          <w:sz w:val="11"/>
          <w:szCs w:val="11"/>
          <w:b w:val="1"/>
          <w:bCs w:val="1"/>
          <w:color w:val="auto"/>
        </w:rPr>
        <w:t>March 31,</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840" w:type="dxa"/>
            <w:vAlign w:val="bottom"/>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1360" w:type="dxa"/>
            <w:vAlign w:val="bottom"/>
            <w:tcBorders>
              <w:top w:val="single" w:sz="8" w:color="auto"/>
              <w:bottom w:val="single" w:sz="8" w:color="auto"/>
            </w:tcBorders>
          </w:tcPr>
          <w:p>
            <w:pPr>
              <w:jc w:val="right"/>
              <w:ind w:right="733"/>
              <w:spacing w:after="0"/>
              <w:rPr>
                <w:sz w:val="20"/>
                <w:szCs w:val="20"/>
                <w:color w:val="auto"/>
              </w:rPr>
            </w:pPr>
            <w:r>
              <w:rPr>
                <w:rFonts w:ascii="Times New Roman" w:cs="Times New Roman" w:eastAsia="Times New Roman" w:hAnsi="Times New Roman"/>
                <w:sz w:val="11"/>
                <w:szCs w:val="11"/>
                <w:b w:val="1"/>
                <w:bCs w:val="1"/>
                <w:color w:val="auto"/>
              </w:rPr>
              <w:t>2024</w:t>
            </w:r>
          </w:p>
        </w:tc>
        <w:tc>
          <w:tcPr>
            <w:tcW w:w="100" w:type="dxa"/>
            <w:vAlign w:val="bottom"/>
            <w:tcBorders>
              <w:top w:val="single" w:sz="8" w:color="auto"/>
              <w:bottom w:val="single" w:sz="8" w:color="auto"/>
            </w:tcBorders>
          </w:tcPr>
          <w:p>
            <w:pPr>
              <w:spacing w:after="0"/>
              <w:rPr>
                <w:sz w:val="14"/>
                <w:szCs w:val="14"/>
                <w:color w:val="auto"/>
              </w:rPr>
            </w:pPr>
          </w:p>
        </w:tc>
        <w:tc>
          <w:tcPr>
            <w:tcW w:w="460" w:type="dxa"/>
            <w:vAlign w:val="bottom"/>
            <w:tcBorders>
              <w:top w:val="single" w:sz="8" w:color="auto"/>
              <w:bottom w:val="single" w:sz="8" w:color="auto"/>
            </w:tcBorders>
          </w:tcPr>
          <w:p>
            <w:pPr>
              <w:spacing w:after="0"/>
              <w:rPr>
                <w:sz w:val="14"/>
                <w:szCs w:val="14"/>
                <w:color w:val="auto"/>
              </w:rPr>
            </w:pPr>
          </w:p>
        </w:tc>
        <w:tc>
          <w:tcPr>
            <w:tcW w:w="1120" w:type="dxa"/>
            <w:vAlign w:val="bottom"/>
            <w:tcBorders>
              <w:top w:val="single" w:sz="8" w:color="auto"/>
              <w:bottom w:val="single" w:sz="8" w:color="auto"/>
            </w:tcBorders>
          </w:tcPr>
          <w:p>
            <w:pPr>
              <w:jc w:val="right"/>
              <w:ind w:right="631"/>
              <w:spacing w:after="0"/>
              <w:rPr>
                <w:sz w:val="20"/>
                <w:szCs w:val="20"/>
                <w:color w:val="auto"/>
              </w:rPr>
            </w:pPr>
            <w:r>
              <w:rPr>
                <w:rFonts w:ascii="Times New Roman" w:cs="Times New Roman" w:eastAsia="Times New Roman" w:hAnsi="Times New Roman"/>
                <w:sz w:val="11"/>
                <w:szCs w:val="11"/>
                <w:b w:val="1"/>
                <w:bCs w:val="1"/>
                <w:color w:val="auto"/>
              </w:rPr>
              <w:t>2023</w:t>
            </w:r>
          </w:p>
        </w:tc>
        <w:tc>
          <w:tcPr>
            <w:tcW w:w="20" w:type="dxa"/>
            <w:vAlign w:val="bottom"/>
            <w:tcBorders>
              <w:top w:val="single" w:sz="8" w:color="auto"/>
              <w:bottom w:val="single" w:sz="8" w:color="auto"/>
            </w:tcBorders>
          </w:tcPr>
          <w:p>
            <w:pPr>
              <w:spacing w:after="0"/>
              <w:rPr>
                <w:sz w:val="14"/>
                <w:szCs w:val="14"/>
                <w:color w:val="auto"/>
              </w:rPr>
            </w:pPr>
          </w:p>
        </w:tc>
      </w:tr>
      <w:tr>
        <w:trPr>
          <w:trHeight w:val="161"/>
        </w:trPr>
        <w:tc>
          <w:tcPr>
            <w:tcW w:w="78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920" w:type="dxa"/>
            <w:vAlign w:val="bottom"/>
            <w:gridSpan w:val="3"/>
          </w:tcPr>
          <w:p>
            <w:pPr>
              <w:jc w:val="right"/>
              <w:ind w:right="29"/>
              <w:spacing w:after="0"/>
              <w:rPr>
                <w:sz w:val="20"/>
                <w:szCs w:val="20"/>
                <w:color w:val="auto"/>
              </w:rPr>
            </w:pPr>
            <w:r>
              <w:rPr>
                <w:rFonts w:ascii="Times New Roman" w:cs="Times New Roman" w:eastAsia="Times New Roman" w:hAnsi="Times New Roman"/>
                <w:sz w:val="11"/>
                <w:szCs w:val="11"/>
                <w:b w:val="1"/>
                <w:bCs w:val="1"/>
                <w:color w:val="auto"/>
              </w:rPr>
              <w:t>(Dollars in millions)</w:t>
            </w:r>
          </w:p>
        </w:tc>
        <w:tc>
          <w:tcPr>
            <w:tcW w:w="11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12"/>
        </w:trPr>
        <w:tc>
          <w:tcPr>
            <w:tcW w:w="78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Cost of goods sold</w:t>
            </w:r>
          </w:p>
        </w:tc>
        <w:tc>
          <w:tcPr>
            <w:tcW w:w="160" w:type="dxa"/>
            <w:vAlign w:val="bottom"/>
            <w:shd w:val="clear" w:color="auto" w:fill="CFF0FC"/>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jc w:val="right"/>
              <w:ind w:right="173"/>
              <w:spacing w:after="0"/>
              <w:rPr>
                <w:sz w:val="20"/>
                <w:szCs w:val="20"/>
                <w:color w:val="auto"/>
              </w:rPr>
            </w:pPr>
            <w:r>
              <w:rPr>
                <w:rFonts w:ascii="Times New Roman" w:cs="Times New Roman" w:eastAsia="Times New Roman" w:hAnsi="Times New Roman"/>
                <w:sz w:val="14"/>
                <w:szCs w:val="14"/>
                <w:color w:val="auto"/>
              </w:rPr>
              <w:t>743</w:t>
            </w:r>
          </w:p>
        </w:tc>
        <w:tc>
          <w:tcPr>
            <w:tcW w:w="560" w:type="dxa"/>
            <w:vAlign w:val="bottom"/>
            <w:gridSpan w:val="2"/>
            <w:shd w:val="clear" w:color="auto" w:fill="CFF0FC"/>
          </w:tcPr>
          <w:p>
            <w:pPr>
              <w:jc w:val="right"/>
              <w:ind w:right="389"/>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shd w:val="clear" w:color="auto" w:fill="CFF0FC"/>
          </w:tcPr>
          <w:p>
            <w:pPr>
              <w:jc w:val="right"/>
              <w:ind w:right="91"/>
              <w:spacing w:after="0"/>
              <w:rPr>
                <w:sz w:val="20"/>
                <w:szCs w:val="20"/>
                <w:color w:val="auto"/>
              </w:rPr>
            </w:pPr>
            <w:r>
              <w:rPr>
                <w:rFonts w:ascii="Times New Roman" w:cs="Times New Roman" w:eastAsia="Times New Roman" w:hAnsi="Times New Roman"/>
                <w:sz w:val="14"/>
                <w:szCs w:val="14"/>
                <w:color w:val="auto"/>
              </w:rPr>
              <w:t>781</w:t>
            </w:r>
          </w:p>
        </w:tc>
        <w:tc>
          <w:tcPr>
            <w:tcW w:w="20" w:type="dxa"/>
            <w:vAlign w:val="bottom"/>
            <w:shd w:val="clear" w:color="auto" w:fill="CFF0FC"/>
          </w:tcPr>
          <w:p>
            <w:pPr>
              <w:spacing w:after="0"/>
              <w:rPr>
                <w:sz w:val="18"/>
                <w:szCs w:val="18"/>
                <w:color w:val="auto"/>
              </w:rPr>
            </w:pPr>
          </w:p>
        </w:tc>
      </w:tr>
      <w:tr>
        <w:trPr>
          <w:trHeight w:val="197"/>
        </w:trPr>
        <w:tc>
          <w:tcPr>
            <w:tcW w:w="7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 change compared with prior period</w:t>
            </w: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Pr>
          <w:p>
            <w:pPr>
              <w:jc w:val="right"/>
              <w:ind w:right="13"/>
              <w:spacing w:after="0"/>
              <w:rPr>
                <w:sz w:val="20"/>
                <w:szCs w:val="20"/>
                <w:color w:val="auto"/>
              </w:rPr>
            </w:pPr>
            <w:r>
              <w:rPr>
                <w:rFonts w:ascii="Times New Roman" w:cs="Times New Roman" w:eastAsia="Times New Roman" w:hAnsi="Times New Roman"/>
                <w:sz w:val="14"/>
                <w:szCs w:val="14"/>
                <w:color w:val="auto"/>
              </w:rPr>
              <w:t>(4.9)%</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8"/>
        </w:trPr>
        <w:tc>
          <w:tcPr>
            <w:tcW w:w="78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Gross profit percentage</w:t>
            </w:r>
          </w:p>
        </w:tc>
        <w:tc>
          <w:tcPr>
            <w:tcW w:w="1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jc w:val="right"/>
              <w:ind w:right="13"/>
              <w:spacing w:after="0"/>
              <w:rPr>
                <w:sz w:val="20"/>
                <w:szCs w:val="20"/>
                <w:color w:val="auto"/>
              </w:rPr>
            </w:pPr>
            <w:r>
              <w:rPr>
                <w:rFonts w:ascii="Times New Roman" w:cs="Times New Roman" w:eastAsia="Times New Roman" w:hAnsi="Times New Roman"/>
                <w:sz w:val="14"/>
                <w:szCs w:val="14"/>
                <w:color w:val="auto"/>
              </w:rPr>
              <w:t>18.8 %</w:t>
            </w:r>
          </w:p>
        </w:tc>
        <w:tc>
          <w:tcPr>
            <w:tcW w:w="10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19.5 %</w:t>
            </w:r>
          </w:p>
        </w:tc>
      </w:tr>
      <w:tr>
        <w:trPr>
          <w:trHeight w:val="395"/>
        </w:trPr>
        <w:tc>
          <w:tcPr>
            <w:tcW w:w="7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jc w:val="right"/>
              <w:ind w:right="253"/>
              <w:spacing w:after="0"/>
              <w:rPr>
                <w:sz w:val="20"/>
                <w:szCs w:val="20"/>
                <w:color w:val="auto"/>
              </w:rPr>
            </w:pPr>
            <w:r>
              <w:rPr>
                <w:rFonts w:ascii="Times New Roman" w:cs="Times New Roman" w:eastAsia="Times New Roman" w:hAnsi="Times New Roman"/>
                <w:sz w:val="11"/>
                <w:szCs w:val="11"/>
                <w:b w:val="1"/>
                <w:bCs w:val="1"/>
                <w:color w:val="auto"/>
              </w:rPr>
              <w:t>Cost of Goods Sold</w:t>
            </w: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40" w:type="dxa"/>
            <w:vAlign w:val="bottom"/>
            <w:gridSpan w:val="2"/>
          </w:tcPr>
          <w:p>
            <w:pPr>
              <w:jc w:val="right"/>
              <w:ind w:right="520"/>
              <w:spacing w:after="0"/>
              <w:rPr>
                <w:sz w:val="20"/>
                <w:szCs w:val="20"/>
                <w:color w:val="auto"/>
              </w:rPr>
            </w:pPr>
            <w:r>
              <w:rPr>
                <w:rFonts w:ascii="Times New Roman" w:cs="Times New Roman" w:eastAsia="Times New Roman" w:hAnsi="Times New Roman"/>
                <w:sz w:val="11"/>
                <w:szCs w:val="11"/>
                <w:b w:val="1"/>
                <w:bCs w:val="1"/>
                <w:color w:val="auto"/>
              </w:rPr>
              <w:t>Gross Profit</w:t>
            </w:r>
          </w:p>
        </w:tc>
      </w:tr>
      <w:tr>
        <w:trPr>
          <w:trHeight w:val="161"/>
        </w:trPr>
        <w:tc>
          <w:tcPr>
            <w:tcW w:w="78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92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11"/>
                <w:szCs w:val="11"/>
                <w:b w:val="1"/>
                <w:bCs w:val="1"/>
                <w:color w:val="auto"/>
              </w:rPr>
              <w:t>(Dollars in millions)</w:t>
            </w:r>
          </w:p>
        </w:tc>
        <w:tc>
          <w:tcPr>
            <w:tcW w:w="1120" w:type="dxa"/>
            <w:vAlign w:val="bottom"/>
            <w:tcBorders>
              <w:top w:val="single" w:sz="8" w:color="auto"/>
            </w:tcBorders>
          </w:tcPr>
          <w:p>
            <w:pPr>
              <w:spacing w:after="0"/>
              <w:rPr>
                <w:sz w:val="13"/>
                <w:szCs w:val="13"/>
                <w:color w:val="auto"/>
              </w:rPr>
            </w:pPr>
          </w:p>
        </w:tc>
        <w:tc>
          <w:tcPr>
            <w:tcW w:w="20" w:type="dxa"/>
            <w:vAlign w:val="bottom"/>
          </w:tcPr>
          <w:p>
            <w:pPr>
              <w:spacing w:after="0"/>
              <w:rPr>
                <w:sz w:val="13"/>
                <w:szCs w:val="13"/>
                <w:color w:val="auto"/>
              </w:rPr>
            </w:pPr>
          </w:p>
        </w:tc>
      </w:tr>
      <w:tr>
        <w:trPr>
          <w:trHeight w:val="212"/>
        </w:trPr>
        <w:tc>
          <w:tcPr>
            <w:tcW w:w="78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Cost of Goods Sold / Gross Profit for the three months ended March 31, 2023</w:t>
            </w:r>
          </w:p>
        </w:tc>
        <w:tc>
          <w:tcPr>
            <w:tcW w:w="160" w:type="dxa"/>
            <w:vAlign w:val="bottom"/>
            <w:shd w:val="clear" w:color="auto" w:fill="CFF0FC"/>
          </w:tcPr>
          <w:p>
            <w:pPr>
              <w:spacing w:after="0"/>
              <w:rPr>
                <w:sz w:val="18"/>
                <w:szCs w:val="18"/>
                <w:color w:val="auto"/>
              </w:rPr>
            </w:pPr>
          </w:p>
        </w:tc>
        <w:tc>
          <w:tcPr>
            <w:tcW w:w="22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781</w:t>
            </w:r>
          </w:p>
        </w:tc>
        <w:tc>
          <w:tcPr>
            <w:tcW w:w="100" w:type="dxa"/>
            <w:vAlign w:val="bottom"/>
            <w:shd w:val="clear" w:color="auto" w:fill="CFF0FC"/>
          </w:tcPr>
          <w:p>
            <w:pPr>
              <w:spacing w:after="0"/>
              <w:rPr>
                <w:sz w:val="18"/>
                <w:szCs w:val="18"/>
                <w:color w:val="auto"/>
              </w:rPr>
            </w:pPr>
          </w:p>
        </w:tc>
        <w:tc>
          <w:tcPr>
            <w:tcW w:w="460" w:type="dxa"/>
            <w:vAlign w:val="bottom"/>
            <w:shd w:val="clear" w:color="auto" w:fill="CCEEFF"/>
          </w:tcPr>
          <w:p>
            <w:pPr>
              <w:jc w:val="right"/>
              <w:ind w:right="30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189</w:t>
            </w:r>
          </w:p>
        </w:tc>
        <w:tc>
          <w:tcPr>
            <w:tcW w:w="20" w:type="dxa"/>
            <w:vAlign w:val="bottom"/>
          </w:tcPr>
          <w:p>
            <w:pPr>
              <w:spacing w:after="0"/>
              <w:rPr>
                <w:sz w:val="18"/>
                <w:szCs w:val="18"/>
                <w:color w:val="auto"/>
              </w:rPr>
            </w:pPr>
          </w:p>
        </w:tc>
      </w:tr>
      <w:tr>
        <w:trPr>
          <w:trHeight w:val="181"/>
        </w:trPr>
        <w:tc>
          <w:tcPr>
            <w:tcW w:w="784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Increase/(decrease) due to:</w:t>
            </w: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81"/>
        </w:trPr>
        <w:tc>
          <w:tcPr>
            <w:tcW w:w="7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Volume</w:t>
            </w:r>
          </w:p>
        </w:tc>
        <w:tc>
          <w:tcPr>
            <w:tcW w:w="1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20" w:type="dxa"/>
            <w:vAlign w:val="bottom"/>
          </w:tcPr>
          <w:p>
            <w:pPr>
              <w:spacing w:after="0"/>
              <w:rPr>
                <w:sz w:val="15"/>
                <w:szCs w:val="15"/>
                <w:color w:val="auto"/>
              </w:rPr>
            </w:pPr>
          </w:p>
        </w:tc>
      </w:tr>
      <w:tr>
        <w:trPr>
          <w:trHeight w:val="181"/>
        </w:trPr>
        <w:tc>
          <w:tcPr>
            <w:tcW w:w="78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Product mix</w:t>
            </w: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20" w:type="dxa"/>
            <w:vAlign w:val="bottom"/>
          </w:tcPr>
          <w:p>
            <w:pPr>
              <w:spacing w:after="0"/>
              <w:rPr>
                <w:sz w:val="15"/>
                <w:szCs w:val="15"/>
                <w:color w:val="auto"/>
              </w:rPr>
            </w:pPr>
          </w:p>
        </w:tc>
      </w:tr>
      <w:tr>
        <w:trPr>
          <w:trHeight w:val="181"/>
        </w:trPr>
        <w:tc>
          <w:tcPr>
            <w:tcW w:w="7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Price, net of inflation pass-through</w:t>
            </w:r>
          </w:p>
        </w:tc>
        <w:tc>
          <w:tcPr>
            <w:tcW w:w="1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20" w:type="dxa"/>
            <w:vAlign w:val="bottom"/>
          </w:tcPr>
          <w:p>
            <w:pPr>
              <w:spacing w:after="0"/>
              <w:rPr>
                <w:sz w:val="15"/>
                <w:szCs w:val="15"/>
                <w:color w:val="auto"/>
              </w:rPr>
            </w:pPr>
          </w:p>
        </w:tc>
      </w:tr>
      <w:tr>
        <w:trPr>
          <w:trHeight w:val="181"/>
        </w:trPr>
        <w:tc>
          <w:tcPr>
            <w:tcW w:w="78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Commodity, transportation &amp; energy inflation</w:t>
            </w: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20" w:type="dxa"/>
            <w:vAlign w:val="bottom"/>
          </w:tcPr>
          <w:p>
            <w:pPr>
              <w:spacing w:after="0"/>
              <w:rPr>
                <w:sz w:val="15"/>
                <w:szCs w:val="15"/>
                <w:color w:val="auto"/>
              </w:rPr>
            </w:pPr>
          </w:p>
        </w:tc>
      </w:tr>
      <w:tr>
        <w:trPr>
          <w:trHeight w:val="181"/>
        </w:trPr>
        <w:tc>
          <w:tcPr>
            <w:tcW w:w="7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Productivity, net</w:t>
            </w:r>
          </w:p>
        </w:tc>
        <w:tc>
          <w:tcPr>
            <w:tcW w:w="1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20" w:type="dxa"/>
            <w:vAlign w:val="bottom"/>
          </w:tcPr>
          <w:p>
            <w:pPr>
              <w:spacing w:after="0"/>
              <w:rPr>
                <w:sz w:val="15"/>
                <w:szCs w:val="15"/>
                <w:color w:val="auto"/>
              </w:rPr>
            </w:pPr>
          </w:p>
        </w:tc>
      </w:tr>
      <w:tr>
        <w:trPr>
          <w:trHeight w:val="181"/>
        </w:trPr>
        <w:tc>
          <w:tcPr>
            <w:tcW w:w="78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Research &amp; development</w:t>
            </w: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20" w:type="dxa"/>
            <w:vAlign w:val="bottom"/>
          </w:tcPr>
          <w:p>
            <w:pPr>
              <w:spacing w:after="0"/>
              <w:rPr>
                <w:sz w:val="15"/>
                <w:szCs w:val="15"/>
                <w:color w:val="auto"/>
              </w:rPr>
            </w:pPr>
          </w:p>
        </w:tc>
      </w:tr>
      <w:tr>
        <w:trPr>
          <w:trHeight w:val="181"/>
        </w:trPr>
        <w:tc>
          <w:tcPr>
            <w:tcW w:w="7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Foreign exchange rate impacts</w:t>
            </w:r>
          </w:p>
        </w:tc>
        <w:tc>
          <w:tcPr>
            <w:tcW w:w="16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46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20" w:type="dxa"/>
            <w:vAlign w:val="bottom"/>
          </w:tcPr>
          <w:p>
            <w:pPr>
              <w:spacing w:after="0"/>
              <w:rPr>
                <w:sz w:val="15"/>
                <w:szCs w:val="15"/>
                <w:color w:val="auto"/>
              </w:rPr>
            </w:pPr>
          </w:p>
        </w:tc>
      </w:tr>
      <w:tr>
        <w:trPr>
          <w:trHeight w:val="172"/>
        </w:trPr>
        <w:tc>
          <w:tcPr>
            <w:tcW w:w="7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Cost of Goods Sold / Gross Profit for the three months ended March 31, 2024</w:t>
            </w:r>
          </w:p>
        </w:tc>
        <w:tc>
          <w:tcPr>
            <w:tcW w:w="160" w:type="dxa"/>
            <w:vAlign w:val="bottom"/>
          </w:tcPr>
          <w:p>
            <w:pPr>
              <w:spacing w:after="0"/>
              <w:rPr>
                <w:sz w:val="14"/>
                <w:szCs w:val="14"/>
                <w:color w:val="auto"/>
              </w:rPr>
            </w:pPr>
          </w:p>
        </w:tc>
        <w:tc>
          <w:tcPr>
            <w:tcW w:w="22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743</w:t>
            </w:r>
          </w:p>
        </w:tc>
        <w:tc>
          <w:tcPr>
            <w:tcW w:w="100" w:type="dxa"/>
            <w:vAlign w:val="bottom"/>
          </w:tcPr>
          <w:p>
            <w:pPr>
              <w:spacing w:after="0"/>
              <w:rPr>
                <w:sz w:val="14"/>
                <w:szCs w:val="14"/>
                <w:color w:val="auto"/>
              </w:rPr>
            </w:pPr>
          </w:p>
        </w:tc>
        <w:tc>
          <w:tcPr>
            <w:tcW w:w="460" w:type="dxa"/>
            <w:vAlign w:val="bottom"/>
            <w:tcBorders>
              <w:bottom w:val="single" w:sz="8" w:color="auto"/>
            </w:tcBorders>
          </w:tcPr>
          <w:p>
            <w:pPr>
              <w:jc w:val="right"/>
              <w:ind w:right="30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172</w:t>
            </w:r>
          </w:p>
        </w:tc>
        <w:tc>
          <w:tcPr>
            <w:tcW w:w="20" w:type="dxa"/>
            <w:vAlign w:val="bottom"/>
          </w:tcPr>
          <w:p>
            <w:pPr>
              <w:spacing w:after="0"/>
              <w:rPr>
                <w:sz w:val="14"/>
                <w:szCs w:val="14"/>
                <w:color w:val="auto"/>
              </w:rPr>
            </w:pPr>
          </w:p>
        </w:tc>
      </w:tr>
      <w:tr>
        <w:trPr>
          <w:trHeight w:val="20"/>
        </w:trPr>
        <w:tc>
          <w:tcPr>
            <w:tcW w:w="7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307"/>
        <w:spacing w:after="0" w:line="271" w:lineRule="auto"/>
        <w:rPr>
          <w:sz w:val="20"/>
          <w:szCs w:val="20"/>
          <w:color w:val="auto"/>
        </w:rPr>
      </w:pPr>
      <w:r>
        <w:rPr>
          <w:rFonts w:ascii="Times New Roman" w:cs="Times New Roman" w:eastAsia="Times New Roman" w:hAnsi="Times New Roman"/>
          <w:sz w:val="14"/>
          <w:szCs w:val="14"/>
          <w:color w:val="auto"/>
        </w:rPr>
        <w:t>For the three months ended March 31, 2024, cost of goods sold decreased by $38 million primarily driven by $29 million of lower sales volumes, $17 million of commodity, transportation and energy deflation and $10 million of productivity, net of labor inflation and repositioning costs. These decreases were partially offset by $16 million from unfavorable product mix and $2 million of higher R&amp;D costs, reflecting Garrett's continued investment in new technologies.</w:t>
      </w:r>
    </w:p>
    <w:p>
      <w:pPr>
        <w:spacing w:after="0" w:line="115" w:lineRule="exact"/>
        <w:rPr>
          <w:sz w:val="20"/>
          <w:szCs w:val="20"/>
          <w:color w:val="auto"/>
        </w:rPr>
      </w:pPr>
    </w:p>
    <w:p>
      <w:pPr>
        <w:jc w:val="both"/>
        <w:ind w:firstLine="307"/>
        <w:spacing w:after="0" w:line="271" w:lineRule="auto"/>
        <w:rPr>
          <w:sz w:val="20"/>
          <w:szCs w:val="20"/>
          <w:color w:val="auto"/>
        </w:rPr>
      </w:pPr>
      <w:r>
        <w:rPr>
          <w:rFonts w:ascii="Times New Roman" w:cs="Times New Roman" w:eastAsia="Times New Roman" w:hAnsi="Times New Roman"/>
          <w:sz w:val="14"/>
          <w:szCs w:val="14"/>
          <w:color w:val="auto"/>
        </w:rPr>
        <w:t>Gross profit decreased by $17 million, primarily driven by $12 million from lower sales, $16 million from lower pricing net of inflation recoveries, $11 million from unfavorable product mix and $2 million from higher R&amp;D costs as discussed above. These decreases were partially offset by $15 million of higher productivity, net of labor inflation and repositioning costs, and $17 million of commodity, transportation and energy deflation. Foreign currency impacts also contributed to a $8 million decrease in gross profit.</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Selling, General and Administrative Expenses</w:t>
      </w:r>
    </w:p>
    <w:p>
      <w:pPr>
        <w:spacing w:after="0" w:line="62" w:lineRule="exact"/>
        <w:rPr>
          <w:sz w:val="20"/>
          <w:szCs w:val="20"/>
          <w:color w:val="auto"/>
        </w:rPr>
      </w:pPr>
    </w:p>
    <w:p>
      <w:pPr>
        <w:jc w:val="center"/>
        <w:ind w:left="7840"/>
        <w:spacing w:after="0"/>
        <w:rPr>
          <w:sz w:val="20"/>
          <w:szCs w:val="20"/>
          <w:color w:val="auto"/>
        </w:rPr>
      </w:pPr>
      <w:r>
        <w:rPr>
          <w:rFonts w:ascii="Times New Roman" w:cs="Times New Roman" w:eastAsia="Times New Roman" w:hAnsi="Times New Roman"/>
          <w:sz w:val="11"/>
          <w:szCs w:val="11"/>
          <w:b w:val="1"/>
          <w:bCs w:val="1"/>
          <w:color w:val="auto"/>
        </w:rPr>
        <w:t>Three Months Ended</w:t>
      </w:r>
    </w:p>
    <w:p>
      <w:pPr>
        <w:spacing w:after="0" w:line="15" w:lineRule="exact"/>
        <w:rPr>
          <w:sz w:val="20"/>
          <w:szCs w:val="20"/>
          <w:color w:val="auto"/>
        </w:rPr>
      </w:pPr>
    </w:p>
    <w:p>
      <w:pPr>
        <w:jc w:val="center"/>
        <w:ind w:left="7840"/>
        <w:spacing w:after="0"/>
        <w:rPr>
          <w:sz w:val="20"/>
          <w:szCs w:val="20"/>
          <w:color w:val="auto"/>
        </w:rPr>
      </w:pPr>
      <w:r>
        <w:rPr>
          <w:rFonts w:ascii="Times New Roman" w:cs="Times New Roman" w:eastAsia="Times New Roman" w:hAnsi="Times New Roman"/>
          <w:sz w:val="11"/>
          <w:szCs w:val="11"/>
          <w:b w:val="1"/>
          <w:bCs w:val="1"/>
          <w:color w:val="auto"/>
        </w:rPr>
        <w:t>March 31,</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7860" w:type="dxa"/>
            <w:vAlign w:val="bottom"/>
          </w:tcPr>
          <w:p>
            <w:pPr>
              <w:spacing w:after="0"/>
              <w:rPr>
                <w:sz w:val="14"/>
                <w:szCs w:val="14"/>
                <w:color w:val="auto"/>
              </w:rPr>
            </w:pPr>
          </w:p>
        </w:tc>
        <w:tc>
          <w:tcPr>
            <w:tcW w:w="1080" w:type="dxa"/>
            <w:vAlign w:val="bottom"/>
            <w:tcBorders>
              <w:top w:val="single" w:sz="8" w:color="auto"/>
              <w:bottom w:val="single" w:sz="8" w:color="auto"/>
            </w:tcBorders>
          </w:tcPr>
          <w:p>
            <w:pPr>
              <w:jc w:val="right"/>
              <w:ind w:right="76"/>
              <w:spacing w:after="0"/>
              <w:rPr>
                <w:sz w:val="20"/>
                <w:szCs w:val="20"/>
                <w:color w:val="auto"/>
              </w:rPr>
            </w:pPr>
            <w:r>
              <w:rPr>
                <w:rFonts w:ascii="Times New Roman" w:cs="Times New Roman" w:eastAsia="Times New Roman" w:hAnsi="Times New Roman"/>
                <w:sz w:val="11"/>
                <w:szCs w:val="11"/>
                <w:b w:val="1"/>
                <w:bCs w:val="1"/>
                <w:color w:val="auto"/>
              </w:rPr>
              <w:t>2024</w:t>
            </w:r>
          </w:p>
        </w:tc>
        <w:tc>
          <w:tcPr>
            <w:tcW w:w="620" w:type="dxa"/>
            <w:vAlign w:val="bottom"/>
            <w:tcBorders>
              <w:top w:val="single" w:sz="8" w:color="auto"/>
              <w:bottom w:val="single" w:sz="8" w:color="auto"/>
            </w:tcBorders>
          </w:tcPr>
          <w:p>
            <w:pPr>
              <w:spacing w:after="0"/>
              <w:rPr>
                <w:sz w:val="14"/>
                <w:szCs w:val="14"/>
                <w:color w:val="auto"/>
              </w:rPr>
            </w:pPr>
          </w:p>
        </w:tc>
        <w:tc>
          <w:tcPr>
            <w:tcW w:w="640" w:type="dxa"/>
            <w:vAlign w:val="bottom"/>
            <w:tcBorders>
              <w:top w:val="single" w:sz="8" w:color="auto"/>
              <w:bottom w:val="single" w:sz="8" w:color="auto"/>
            </w:tcBorders>
          </w:tcPr>
          <w:p>
            <w:pPr>
              <w:spacing w:after="0"/>
              <w:rPr>
                <w:sz w:val="14"/>
                <w:szCs w:val="14"/>
                <w:color w:val="auto"/>
              </w:rPr>
            </w:pPr>
          </w:p>
        </w:tc>
        <w:tc>
          <w:tcPr>
            <w:tcW w:w="1080" w:type="dxa"/>
            <w:vAlign w:val="bottom"/>
            <w:tcBorders>
              <w:top w:val="single" w:sz="8" w:color="auto"/>
              <w:bottom w:val="single" w:sz="8" w:color="auto"/>
            </w:tcBorders>
          </w:tcPr>
          <w:p>
            <w:pPr>
              <w:jc w:val="right"/>
              <w:ind w:right="654"/>
              <w:spacing w:after="0"/>
              <w:rPr>
                <w:sz w:val="20"/>
                <w:szCs w:val="20"/>
                <w:color w:val="auto"/>
              </w:rPr>
            </w:pPr>
            <w:r>
              <w:rPr>
                <w:rFonts w:ascii="Times New Roman" w:cs="Times New Roman" w:eastAsia="Times New Roman" w:hAnsi="Times New Roman"/>
                <w:sz w:val="11"/>
                <w:szCs w:val="11"/>
                <w:b w:val="1"/>
                <w:bCs w:val="1"/>
                <w:color w:val="auto"/>
              </w:rPr>
              <w:t>2023</w:t>
            </w:r>
          </w:p>
        </w:tc>
      </w:tr>
      <w:tr>
        <w:trPr>
          <w:trHeight w:val="161"/>
        </w:trPr>
        <w:tc>
          <w:tcPr>
            <w:tcW w:w="78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60" w:type="dxa"/>
            <w:vAlign w:val="bottom"/>
            <w:gridSpan w:val="2"/>
          </w:tcPr>
          <w:p>
            <w:pPr>
              <w:jc w:val="right"/>
              <w:ind w:right="69"/>
              <w:spacing w:after="0"/>
              <w:rPr>
                <w:sz w:val="20"/>
                <w:szCs w:val="20"/>
                <w:color w:val="auto"/>
              </w:rPr>
            </w:pPr>
            <w:r>
              <w:rPr>
                <w:rFonts w:ascii="Times New Roman" w:cs="Times New Roman" w:eastAsia="Times New Roman" w:hAnsi="Times New Roman"/>
                <w:sz w:val="11"/>
                <w:szCs w:val="11"/>
                <w:b w:val="1"/>
                <w:bCs w:val="1"/>
                <w:color w:val="auto"/>
              </w:rPr>
              <w:t>(Dollars in millions)</w:t>
            </w:r>
          </w:p>
        </w:tc>
        <w:tc>
          <w:tcPr>
            <w:tcW w:w="1080" w:type="dxa"/>
            <w:vAlign w:val="bottom"/>
          </w:tcPr>
          <w:p>
            <w:pPr>
              <w:spacing w:after="0"/>
              <w:rPr>
                <w:sz w:val="13"/>
                <w:szCs w:val="13"/>
                <w:color w:val="auto"/>
              </w:rPr>
            </w:pPr>
          </w:p>
        </w:tc>
      </w:tr>
      <w:tr>
        <w:trPr>
          <w:trHeight w:val="212"/>
        </w:trPr>
        <w:tc>
          <w:tcPr>
            <w:tcW w:w="7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Selling, general and administrative expense</w:t>
            </w:r>
          </w:p>
        </w:tc>
        <w:tc>
          <w:tcPr>
            <w:tcW w:w="1080" w:type="dxa"/>
            <w:vAlign w:val="bottom"/>
            <w:shd w:val="clear" w:color="auto" w:fill="CFF0FC"/>
          </w:tcPr>
          <w:p>
            <w:pPr>
              <w:jc w:val="right"/>
              <w:ind w:right="936"/>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shd w:val="clear" w:color="auto" w:fill="CFF0FC"/>
          </w:tcPr>
          <w:p>
            <w:pPr>
              <w:jc w:val="right"/>
              <w:ind w:right="134"/>
              <w:spacing w:after="0"/>
              <w:rPr>
                <w:sz w:val="20"/>
                <w:szCs w:val="20"/>
                <w:color w:val="auto"/>
              </w:rPr>
            </w:pPr>
            <w:r>
              <w:rPr>
                <w:rFonts w:ascii="Times New Roman" w:cs="Times New Roman" w:eastAsia="Times New Roman" w:hAnsi="Times New Roman"/>
                <w:sz w:val="14"/>
                <w:szCs w:val="14"/>
                <w:color w:val="auto"/>
              </w:rPr>
              <w:t>64</w:t>
            </w:r>
          </w:p>
        </w:tc>
        <w:tc>
          <w:tcPr>
            <w:tcW w:w="640" w:type="dxa"/>
            <w:vAlign w:val="bottom"/>
            <w:shd w:val="clear" w:color="auto" w:fill="CFF0FC"/>
          </w:tcPr>
          <w:p>
            <w:pPr>
              <w:jc w:val="right"/>
              <w:ind w:right="429"/>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shd w:val="clear" w:color="auto" w:fill="CFF0FC"/>
          </w:tcPr>
          <w:p>
            <w:pPr>
              <w:jc w:val="right"/>
              <w:ind w:right="114"/>
              <w:spacing w:after="0"/>
              <w:rPr>
                <w:sz w:val="20"/>
                <w:szCs w:val="20"/>
                <w:color w:val="auto"/>
              </w:rPr>
            </w:pPr>
            <w:r>
              <w:rPr>
                <w:rFonts w:ascii="Times New Roman" w:cs="Times New Roman" w:eastAsia="Times New Roman" w:hAnsi="Times New Roman"/>
                <w:sz w:val="14"/>
                <w:szCs w:val="14"/>
                <w:color w:val="auto"/>
              </w:rPr>
              <w:t>56</w:t>
            </w:r>
          </w:p>
        </w:tc>
      </w:tr>
      <w:tr>
        <w:trPr>
          <w:trHeight w:val="191"/>
        </w:trPr>
        <w:tc>
          <w:tcPr>
            <w:tcW w:w="7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 of sales</w:t>
            </w:r>
          </w:p>
        </w:tc>
        <w:tc>
          <w:tcPr>
            <w:tcW w:w="108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7.0 %</w:t>
            </w:r>
          </w:p>
        </w:tc>
        <w:tc>
          <w:tcPr>
            <w:tcW w:w="6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5.8 %</w:t>
            </w:r>
          </w:p>
        </w:tc>
      </w:tr>
    </w:tbl>
    <w:p>
      <w:pPr>
        <w:spacing w:after="0" w:line="210" w:lineRule="exact"/>
        <w:rPr>
          <w:sz w:val="20"/>
          <w:szCs w:val="20"/>
          <w:color w:val="auto"/>
        </w:rPr>
      </w:pPr>
    </w:p>
    <w:p>
      <w:pPr>
        <w:jc w:val="both"/>
        <w:ind w:firstLine="307"/>
        <w:spacing w:after="0" w:line="271" w:lineRule="auto"/>
        <w:rPr>
          <w:sz w:val="20"/>
          <w:szCs w:val="20"/>
          <w:color w:val="auto"/>
        </w:rPr>
      </w:pPr>
      <w:r>
        <w:rPr>
          <w:rFonts w:ascii="Times New Roman" w:cs="Times New Roman" w:eastAsia="Times New Roman" w:hAnsi="Times New Roman"/>
          <w:sz w:val="14"/>
          <w:szCs w:val="14"/>
          <w:color w:val="auto"/>
        </w:rPr>
        <w:t>Selling, general and administrative (“SG&amp;A”) expenses for the three months ended March 31, 2024 increased by $8 million compared with the prior year primarily driven by $4 million of higher stock-based compensation expenses. SG&amp;A expenses also increased due to $1 million of labor inflation impacts, $2 million of additional professional services costs and $1 million of unfavorable foreign exchange impacts.</w:t>
      </w:r>
    </w:p>
    <w:p>
      <w:pPr>
        <w:spacing w:after="0" w:line="200" w:lineRule="exact"/>
        <w:rPr>
          <w:sz w:val="20"/>
          <w:szCs w:val="20"/>
          <w:color w:val="auto"/>
        </w:rPr>
      </w:pPr>
    </w:p>
    <w:p>
      <w:pPr>
        <w:spacing w:after="0" w:line="383"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171450</wp:posOffset>
            </wp:positionV>
            <wp:extent cx="7186930"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98" w:right="31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4"/>
          <w:szCs w:val="14"/>
          <w:b w:val="1"/>
          <w:bCs w:val="1"/>
          <w:i w:val="1"/>
          <w:iCs w:val="1"/>
          <w:color w:val="auto"/>
        </w:rPr>
        <w:t>Interest Expense</w:t>
      </w:r>
    </w:p>
    <w:p>
      <w:pPr>
        <w:spacing w:after="0" w:line="62" w:lineRule="exact"/>
        <w:rPr>
          <w:sz w:val="20"/>
          <w:szCs w:val="20"/>
          <w:color w:val="auto"/>
        </w:rPr>
      </w:pPr>
    </w:p>
    <w:p>
      <w:pPr>
        <w:jc w:val="center"/>
        <w:ind w:left="8000"/>
        <w:spacing w:after="0"/>
        <w:rPr>
          <w:sz w:val="20"/>
          <w:szCs w:val="20"/>
          <w:color w:val="auto"/>
        </w:rPr>
      </w:pPr>
      <w:r>
        <w:rPr>
          <w:rFonts w:ascii="Times New Roman" w:cs="Times New Roman" w:eastAsia="Times New Roman" w:hAnsi="Times New Roman"/>
          <w:sz w:val="11"/>
          <w:szCs w:val="11"/>
          <w:b w:val="1"/>
          <w:bCs w:val="1"/>
          <w:color w:val="auto"/>
        </w:rPr>
        <w:t>Three Months Ended</w:t>
      </w:r>
    </w:p>
    <w:p>
      <w:pPr>
        <w:spacing w:after="0" w:line="23" w:lineRule="exact"/>
        <w:rPr>
          <w:sz w:val="20"/>
          <w:szCs w:val="20"/>
          <w:color w:val="auto"/>
        </w:rPr>
      </w:pPr>
    </w:p>
    <w:p>
      <w:pPr>
        <w:jc w:val="center"/>
        <w:ind w:left="8000"/>
        <w:spacing w:after="0"/>
        <w:rPr>
          <w:sz w:val="20"/>
          <w:szCs w:val="20"/>
          <w:color w:val="auto"/>
        </w:rPr>
      </w:pPr>
      <w:r>
        <w:rPr>
          <w:rFonts w:ascii="Times New Roman" w:cs="Times New Roman" w:eastAsia="Times New Roman" w:hAnsi="Times New Roman"/>
          <w:sz w:val="11"/>
          <w:szCs w:val="11"/>
          <w:b w:val="1"/>
          <w:bCs w:val="1"/>
          <w:color w:val="auto"/>
        </w:rPr>
        <w:t>March 31,</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020" w:type="dxa"/>
            <w:vAlign w:val="bottom"/>
          </w:tcPr>
          <w:p>
            <w:pPr>
              <w:spacing w:after="0"/>
              <w:rPr>
                <w:sz w:val="14"/>
                <w:szCs w:val="14"/>
                <w:color w:val="auto"/>
              </w:rPr>
            </w:pPr>
          </w:p>
        </w:tc>
        <w:tc>
          <w:tcPr>
            <w:tcW w:w="1040" w:type="dxa"/>
            <w:vAlign w:val="bottom"/>
            <w:tcBorders>
              <w:top w:val="single" w:sz="8" w:color="auto"/>
              <w:bottom w:val="single" w:sz="8" w:color="auto"/>
            </w:tcBorders>
          </w:tcPr>
          <w:p>
            <w:pPr>
              <w:jc w:val="right"/>
              <w:ind w:right="56"/>
              <w:spacing w:after="0"/>
              <w:rPr>
                <w:sz w:val="20"/>
                <w:szCs w:val="20"/>
                <w:color w:val="auto"/>
              </w:rPr>
            </w:pPr>
            <w:r>
              <w:rPr>
                <w:rFonts w:ascii="Times New Roman" w:cs="Times New Roman" w:eastAsia="Times New Roman" w:hAnsi="Times New Roman"/>
                <w:sz w:val="11"/>
                <w:szCs w:val="11"/>
                <w:b w:val="1"/>
                <w:bCs w:val="1"/>
                <w:color w:val="auto"/>
              </w:rPr>
              <w:t>2024</w:t>
            </w:r>
          </w:p>
        </w:tc>
        <w:tc>
          <w:tcPr>
            <w:tcW w:w="580" w:type="dxa"/>
            <w:vAlign w:val="bottom"/>
            <w:tcBorders>
              <w:top w:val="single" w:sz="8" w:color="auto"/>
              <w:bottom w:val="single" w:sz="8" w:color="auto"/>
            </w:tcBorders>
          </w:tcPr>
          <w:p>
            <w:pPr>
              <w:spacing w:after="0"/>
              <w:rPr>
                <w:sz w:val="14"/>
                <w:szCs w:val="14"/>
                <w:color w:val="auto"/>
              </w:rPr>
            </w:pPr>
          </w:p>
        </w:tc>
        <w:tc>
          <w:tcPr>
            <w:tcW w:w="620" w:type="dxa"/>
            <w:vAlign w:val="bottom"/>
            <w:tcBorders>
              <w:top w:val="single" w:sz="8" w:color="auto"/>
              <w:bottom w:val="single" w:sz="8" w:color="auto"/>
            </w:tcBorders>
          </w:tcPr>
          <w:p>
            <w:pPr>
              <w:spacing w:after="0"/>
              <w:rPr>
                <w:sz w:val="14"/>
                <w:szCs w:val="14"/>
                <w:color w:val="auto"/>
              </w:rPr>
            </w:pPr>
          </w:p>
        </w:tc>
        <w:tc>
          <w:tcPr>
            <w:tcW w:w="1020" w:type="dxa"/>
            <w:vAlign w:val="bottom"/>
            <w:tcBorders>
              <w:top w:val="single" w:sz="8" w:color="auto"/>
              <w:bottom w:val="single" w:sz="8" w:color="auto"/>
            </w:tcBorders>
          </w:tcPr>
          <w:p>
            <w:pPr>
              <w:jc w:val="right"/>
              <w:ind w:right="616"/>
              <w:spacing w:after="0"/>
              <w:rPr>
                <w:sz w:val="20"/>
                <w:szCs w:val="20"/>
                <w:color w:val="auto"/>
              </w:rPr>
            </w:pPr>
            <w:r>
              <w:rPr>
                <w:rFonts w:ascii="Times New Roman" w:cs="Times New Roman" w:eastAsia="Times New Roman" w:hAnsi="Times New Roman"/>
                <w:sz w:val="11"/>
                <w:szCs w:val="11"/>
                <w:b w:val="1"/>
                <w:bCs w:val="1"/>
                <w:color w:val="auto"/>
              </w:rPr>
              <w:t>2023</w:t>
            </w:r>
          </w:p>
        </w:tc>
      </w:tr>
      <w:tr>
        <w:trPr>
          <w:trHeight w:val="161"/>
        </w:trPr>
        <w:tc>
          <w:tcPr>
            <w:tcW w:w="80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0" w:type="dxa"/>
            <w:vAlign w:val="bottom"/>
            <w:gridSpan w:val="2"/>
          </w:tcPr>
          <w:p>
            <w:pPr>
              <w:jc w:val="right"/>
              <w:ind w:right="49"/>
              <w:spacing w:after="0"/>
              <w:rPr>
                <w:sz w:val="20"/>
                <w:szCs w:val="20"/>
                <w:color w:val="auto"/>
              </w:rPr>
            </w:pPr>
            <w:r>
              <w:rPr>
                <w:rFonts w:ascii="Times New Roman" w:cs="Times New Roman" w:eastAsia="Times New Roman" w:hAnsi="Times New Roman"/>
                <w:sz w:val="11"/>
                <w:szCs w:val="11"/>
                <w:b w:val="1"/>
                <w:bCs w:val="1"/>
                <w:color w:val="auto"/>
              </w:rPr>
              <w:t>(Dollars in millions)</w:t>
            </w:r>
          </w:p>
        </w:tc>
        <w:tc>
          <w:tcPr>
            <w:tcW w:w="1020" w:type="dxa"/>
            <w:vAlign w:val="bottom"/>
          </w:tcPr>
          <w:p>
            <w:pPr>
              <w:spacing w:after="0"/>
              <w:rPr>
                <w:sz w:val="13"/>
                <w:szCs w:val="13"/>
                <w:color w:val="auto"/>
              </w:rPr>
            </w:pPr>
          </w:p>
        </w:tc>
      </w:tr>
      <w:tr>
        <w:trPr>
          <w:trHeight w:val="212"/>
        </w:trPr>
        <w:tc>
          <w:tcPr>
            <w:tcW w:w="80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Interest expense</w:t>
            </w:r>
          </w:p>
        </w:tc>
        <w:tc>
          <w:tcPr>
            <w:tcW w:w="1040" w:type="dxa"/>
            <w:vAlign w:val="bottom"/>
            <w:shd w:val="clear" w:color="auto" w:fill="CFF0FC"/>
          </w:tcPr>
          <w:p>
            <w:pPr>
              <w:jc w:val="right"/>
              <w:ind w:right="896"/>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4"/>
                <w:szCs w:val="14"/>
                <w:color w:val="auto"/>
              </w:rPr>
              <w:t>31</w:t>
            </w:r>
          </w:p>
        </w:tc>
        <w:tc>
          <w:tcPr>
            <w:tcW w:w="620" w:type="dxa"/>
            <w:vAlign w:val="bottom"/>
            <w:shd w:val="clear" w:color="auto" w:fill="CFF0FC"/>
          </w:tcPr>
          <w:p>
            <w:pPr>
              <w:jc w:val="right"/>
              <w:ind w:right="409"/>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27</w:t>
            </w:r>
          </w:p>
        </w:tc>
      </w:tr>
    </w:tbl>
    <w:p>
      <w:pPr>
        <w:spacing w:after="0" w:line="198" w:lineRule="exact"/>
        <w:rPr>
          <w:sz w:val="20"/>
          <w:szCs w:val="20"/>
          <w:color w:val="auto"/>
        </w:rPr>
      </w:pPr>
    </w:p>
    <w:p>
      <w:pPr>
        <w:jc w:val="both"/>
        <w:ind w:firstLine="307"/>
        <w:spacing w:after="0" w:line="265" w:lineRule="auto"/>
        <w:rPr>
          <w:sz w:val="20"/>
          <w:szCs w:val="20"/>
          <w:color w:val="auto"/>
        </w:rPr>
      </w:pPr>
      <w:r>
        <w:rPr>
          <w:rFonts w:ascii="Times New Roman" w:cs="Times New Roman" w:eastAsia="Times New Roman" w:hAnsi="Times New Roman"/>
          <w:sz w:val="14"/>
          <w:szCs w:val="14"/>
          <w:color w:val="auto"/>
        </w:rPr>
        <w:t>For the three months ended March 31, 2024, interest expense increased by $4 million compared to the prior year, primarily driven by $18 million of additional interest expense from the 2023 Dollar Term Facility and higher interest rates. This increase in interest expense was partially offset by $6 million of higher gains on our interest derivatives in the current year. In addition, there were no marked-to-market remeasurement losses recorded during the three months ended March 31, 2024 on our undesignated interest rate swap contracts, in comparison to $7 million of marked-to-market remeasurement losses in the prior year.</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Non-operating income</w:t>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28"/>
        </w:trPr>
        <w:tc>
          <w:tcPr>
            <w:tcW w:w="80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20" w:type="dxa"/>
            <w:vAlign w:val="bottom"/>
            <w:gridSpan w:val="2"/>
          </w:tcPr>
          <w:p>
            <w:pPr>
              <w:jc w:val="center"/>
              <w:spacing w:after="0"/>
              <w:rPr>
                <w:sz w:val="20"/>
                <w:szCs w:val="20"/>
                <w:color w:val="auto"/>
              </w:rPr>
            </w:pPr>
            <w:r>
              <w:rPr>
                <w:rFonts w:ascii="Times New Roman" w:cs="Times New Roman" w:eastAsia="Times New Roman" w:hAnsi="Times New Roman"/>
                <w:sz w:val="11"/>
                <w:szCs w:val="11"/>
                <w:b w:val="1"/>
                <w:bCs w:val="1"/>
                <w:color w:val="auto"/>
              </w:rPr>
              <w:t>Three Months Ended</w:t>
            </w:r>
          </w:p>
        </w:tc>
        <w:tc>
          <w:tcPr>
            <w:tcW w:w="1000" w:type="dxa"/>
            <w:vAlign w:val="bottom"/>
          </w:tcPr>
          <w:p>
            <w:pPr>
              <w:spacing w:after="0"/>
              <w:rPr>
                <w:sz w:val="11"/>
                <w:szCs w:val="11"/>
                <w:color w:val="auto"/>
              </w:rPr>
            </w:pPr>
          </w:p>
        </w:tc>
      </w:tr>
      <w:tr>
        <w:trPr>
          <w:trHeight w:val="149"/>
        </w:trPr>
        <w:tc>
          <w:tcPr>
            <w:tcW w:w="80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20" w:type="dxa"/>
            <w:vAlign w:val="bottom"/>
            <w:gridSpan w:val="2"/>
          </w:tcPr>
          <w:p>
            <w:pPr>
              <w:jc w:val="center"/>
              <w:spacing w:after="0"/>
              <w:rPr>
                <w:sz w:val="20"/>
                <w:szCs w:val="20"/>
                <w:color w:val="auto"/>
              </w:rPr>
            </w:pPr>
            <w:r>
              <w:rPr>
                <w:rFonts w:ascii="Times New Roman" w:cs="Times New Roman" w:eastAsia="Times New Roman" w:hAnsi="Times New Roman"/>
                <w:sz w:val="11"/>
                <w:szCs w:val="11"/>
                <w:b w:val="1"/>
                <w:bCs w:val="1"/>
                <w:color w:val="auto"/>
              </w:rPr>
              <w:t>March 31,</w:t>
            </w:r>
          </w:p>
        </w:tc>
        <w:tc>
          <w:tcPr>
            <w:tcW w:w="1000" w:type="dxa"/>
            <w:vAlign w:val="bottom"/>
          </w:tcPr>
          <w:p>
            <w:pPr>
              <w:spacing w:after="0"/>
              <w:rPr>
                <w:sz w:val="12"/>
                <w:szCs w:val="12"/>
                <w:color w:val="auto"/>
              </w:rPr>
            </w:pPr>
          </w:p>
        </w:tc>
      </w:tr>
      <w:tr>
        <w:trPr>
          <w:trHeight w:val="30"/>
        </w:trPr>
        <w:tc>
          <w:tcPr>
            <w:tcW w:w="802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152"/>
        </w:trPr>
        <w:tc>
          <w:tcPr>
            <w:tcW w:w="8020" w:type="dxa"/>
            <w:vAlign w:val="bottom"/>
          </w:tcPr>
          <w:p>
            <w:pPr>
              <w:spacing w:after="0"/>
              <w:rPr>
                <w:sz w:val="13"/>
                <w:szCs w:val="13"/>
                <w:color w:val="auto"/>
              </w:rPr>
            </w:pPr>
          </w:p>
        </w:tc>
        <w:tc>
          <w:tcPr>
            <w:tcW w:w="104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1"/>
                <w:szCs w:val="11"/>
                <w:b w:val="1"/>
                <w:bCs w:val="1"/>
                <w:color w:val="auto"/>
              </w:rPr>
              <w:t>2024</w:t>
            </w:r>
          </w:p>
        </w:tc>
        <w:tc>
          <w:tcPr>
            <w:tcW w:w="58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616"/>
              <w:spacing w:after="0"/>
              <w:rPr>
                <w:sz w:val="20"/>
                <w:szCs w:val="20"/>
                <w:color w:val="auto"/>
              </w:rPr>
            </w:pPr>
            <w:r>
              <w:rPr>
                <w:rFonts w:ascii="Times New Roman" w:cs="Times New Roman" w:eastAsia="Times New Roman" w:hAnsi="Times New Roman"/>
                <w:sz w:val="11"/>
                <w:szCs w:val="11"/>
                <w:b w:val="1"/>
                <w:bCs w:val="1"/>
                <w:color w:val="auto"/>
              </w:rPr>
              <w:t>2023</w:t>
            </w:r>
          </w:p>
        </w:tc>
      </w:tr>
      <w:tr>
        <w:trPr>
          <w:trHeight w:val="161"/>
        </w:trPr>
        <w:tc>
          <w:tcPr>
            <w:tcW w:w="80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20" w:type="dxa"/>
            <w:vAlign w:val="bottom"/>
            <w:gridSpan w:val="2"/>
          </w:tcPr>
          <w:p>
            <w:pPr>
              <w:jc w:val="center"/>
              <w:spacing w:after="0"/>
              <w:rPr>
                <w:sz w:val="20"/>
                <w:szCs w:val="20"/>
                <w:color w:val="auto"/>
              </w:rPr>
            </w:pPr>
            <w:r>
              <w:rPr>
                <w:rFonts w:ascii="Times New Roman" w:cs="Times New Roman" w:eastAsia="Times New Roman" w:hAnsi="Times New Roman"/>
                <w:sz w:val="11"/>
                <w:szCs w:val="11"/>
                <w:b w:val="1"/>
                <w:bCs w:val="1"/>
                <w:color w:val="auto"/>
              </w:rPr>
              <w:t>(Dollars in millions)</w:t>
            </w:r>
          </w:p>
        </w:tc>
        <w:tc>
          <w:tcPr>
            <w:tcW w:w="1000" w:type="dxa"/>
            <w:vAlign w:val="bottom"/>
          </w:tcPr>
          <w:p>
            <w:pPr>
              <w:spacing w:after="0"/>
              <w:rPr>
                <w:sz w:val="13"/>
                <w:szCs w:val="13"/>
                <w:color w:val="auto"/>
              </w:rPr>
            </w:pPr>
          </w:p>
        </w:tc>
      </w:tr>
      <w:tr>
        <w:trPr>
          <w:trHeight w:val="212"/>
        </w:trPr>
        <w:tc>
          <w:tcPr>
            <w:tcW w:w="80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Non-operating income</w:t>
            </w:r>
          </w:p>
        </w:tc>
        <w:tc>
          <w:tcPr>
            <w:tcW w:w="1040" w:type="dxa"/>
            <w:vAlign w:val="bottom"/>
            <w:shd w:val="clear" w:color="auto" w:fill="CFF0FC"/>
          </w:tcPr>
          <w:p>
            <w:pPr>
              <w:jc w:val="right"/>
              <w:ind w:right="896"/>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640" w:type="dxa"/>
            <w:vAlign w:val="bottom"/>
            <w:shd w:val="clear" w:color="auto" w:fill="CFF0FC"/>
          </w:tcPr>
          <w:p>
            <w:pPr>
              <w:jc w:val="right"/>
              <w:ind w:right="429"/>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w:t>
            </w:r>
          </w:p>
        </w:tc>
      </w:tr>
    </w:tbl>
    <w:p>
      <w:pPr>
        <w:spacing w:after="0" w:line="198" w:lineRule="exact"/>
        <w:rPr>
          <w:sz w:val="20"/>
          <w:szCs w:val="20"/>
          <w:color w:val="auto"/>
        </w:rPr>
      </w:pPr>
    </w:p>
    <w:p>
      <w:pPr>
        <w:jc w:val="both"/>
        <w:ind w:firstLine="319"/>
        <w:spacing w:after="0" w:line="289" w:lineRule="auto"/>
        <w:rPr>
          <w:sz w:val="20"/>
          <w:szCs w:val="20"/>
          <w:color w:val="auto"/>
        </w:rPr>
      </w:pPr>
      <w:r>
        <w:rPr>
          <w:rFonts w:ascii="Times New Roman" w:cs="Times New Roman" w:eastAsia="Times New Roman" w:hAnsi="Times New Roman"/>
          <w:sz w:val="14"/>
          <w:szCs w:val="14"/>
          <w:color w:val="auto"/>
        </w:rPr>
        <w:t>For the three months ended March 31, 2024, non-operating income amounted to $5 million versus $3 million in the prior year. The higher non-operating income was primarily due to an increase in foreign exchange transactional gains.</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Tax Expense</w:t>
      </w:r>
    </w:p>
    <w:p>
      <w:pPr>
        <w:spacing w:after="0" w:line="73" w:lineRule="exact"/>
        <w:rPr>
          <w:sz w:val="20"/>
          <w:szCs w:val="20"/>
          <w:color w:val="auto"/>
        </w:rPr>
      </w:pPr>
    </w:p>
    <w:p>
      <w:pPr>
        <w:jc w:val="center"/>
        <w:ind w:left="7700"/>
        <w:spacing w:after="0"/>
        <w:rPr>
          <w:sz w:val="20"/>
          <w:szCs w:val="20"/>
          <w:color w:val="auto"/>
        </w:rPr>
      </w:pPr>
      <w:r>
        <w:rPr>
          <w:rFonts w:ascii="Times New Roman" w:cs="Times New Roman" w:eastAsia="Times New Roman" w:hAnsi="Times New Roman"/>
          <w:sz w:val="11"/>
          <w:szCs w:val="11"/>
          <w:b w:val="1"/>
          <w:bCs w:val="1"/>
          <w:color w:val="auto"/>
        </w:rPr>
        <w:t>Three Months Ended</w:t>
      </w:r>
    </w:p>
    <w:p>
      <w:pPr>
        <w:spacing w:after="0" w:line="23" w:lineRule="exact"/>
        <w:rPr>
          <w:sz w:val="20"/>
          <w:szCs w:val="20"/>
          <w:color w:val="auto"/>
        </w:rPr>
      </w:pPr>
    </w:p>
    <w:p>
      <w:pPr>
        <w:jc w:val="center"/>
        <w:ind w:left="7700"/>
        <w:spacing w:after="0"/>
        <w:rPr>
          <w:sz w:val="20"/>
          <w:szCs w:val="20"/>
          <w:color w:val="auto"/>
        </w:rPr>
      </w:pPr>
      <w:r>
        <w:rPr>
          <w:rFonts w:ascii="Times New Roman" w:cs="Times New Roman" w:eastAsia="Times New Roman" w:hAnsi="Times New Roman"/>
          <w:sz w:val="11"/>
          <w:szCs w:val="11"/>
          <w:b w:val="1"/>
          <w:bCs w:val="1"/>
          <w:color w:val="auto"/>
        </w:rPr>
        <w:t>March 31,</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780" w:type="dxa"/>
            <w:vAlign w:val="bottom"/>
          </w:tcPr>
          <w:p>
            <w:pPr>
              <w:spacing w:after="0"/>
              <w:rPr>
                <w:sz w:val="14"/>
                <w:szCs w:val="14"/>
                <w:color w:val="auto"/>
              </w:rPr>
            </w:pPr>
          </w:p>
        </w:tc>
        <w:tc>
          <w:tcPr>
            <w:tcW w:w="1100" w:type="dxa"/>
            <w:vAlign w:val="bottom"/>
            <w:tcBorders>
              <w:top w:val="single" w:sz="8" w:color="auto"/>
              <w:bottom w:val="single" w:sz="8" w:color="auto"/>
            </w:tcBorders>
          </w:tcPr>
          <w:p>
            <w:pPr>
              <w:jc w:val="right"/>
              <w:ind w:right="76"/>
              <w:spacing w:after="0"/>
              <w:rPr>
                <w:sz w:val="20"/>
                <w:szCs w:val="20"/>
                <w:color w:val="auto"/>
              </w:rPr>
            </w:pPr>
            <w:r>
              <w:rPr>
                <w:rFonts w:ascii="Times New Roman" w:cs="Times New Roman" w:eastAsia="Times New Roman" w:hAnsi="Times New Roman"/>
                <w:sz w:val="11"/>
                <w:szCs w:val="11"/>
                <w:b w:val="1"/>
                <w:bCs w:val="1"/>
                <w:color w:val="auto"/>
              </w:rPr>
              <w:t>2024</w:t>
            </w:r>
          </w:p>
        </w:tc>
        <w:tc>
          <w:tcPr>
            <w:tcW w:w="620" w:type="dxa"/>
            <w:vAlign w:val="bottom"/>
            <w:tcBorders>
              <w:top w:val="single" w:sz="8" w:color="auto"/>
              <w:bottom w:val="single" w:sz="8" w:color="auto"/>
            </w:tcBorders>
          </w:tcPr>
          <w:p>
            <w:pPr>
              <w:spacing w:after="0"/>
              <w:rPr>
                <w:sz w:val="14"/>
                <w:szCs w:val="14"/>
                <w:color w:val="auto"/>
              </w:rPr>
            </w:pPr>
          </w:p>
        </w:tc>
        <w:tc>
          <w:tcPr>
            <w:tcW w:w="640" w:type="dxa"/>
            <w:vAlign w:val="bottom"/>
            <w:tcBorders>
              <w:top w:val="single" w:sz="8" w:color="auto"/>
              <w:bottom w:val="single" w:sz="8" w:color="auto"/>
            </w:tcBorders>
          </w:tcPr>
          <w:p>
            <w:pPr>
              <w:spacing w:after="0"/>
              <w:rPr>
                <w:sz w:val="14"/>
                <w:szCs w:val="14"/>
                <w:color w:val="auto"/>
              </w:rPr>
            </w:pPr>
          </w:p>
        </w:tc>
        <w:tc>
          <w:tcPr>
            <w:tcW w:w="1080" w:type="dxa"/>
            <w:vAlign w:val="bottom"/>
            <w:tcBorders>
              <w:top w:val="single" w:sz="8" w:color="auto"/>
              <w:bottom w:val="single" w:sz="8" w:color="auto"/>
            </w:tcBorders>
          </w:tcPr>
          <w:p>
            <w:pPr>
              <w:jc w:val="right"/>
              <w:ind w:right="654"/>
              <w:spacing w:after="0"/>
              <w:rPr>
                <w:sz w:val="20"/>
                <w:szCs w:val="20"/>
                <w:color w:val="auto"/>
              </w:rPr>
            </w:pPr>
            <w:r>
              <w:rPr>
                <w:rFonts w:ascii="Times New Roman" w:cs="Times New Roman" w:eastAsia="Times New Roman" w:hAnsi="Times New Roman"/>
                <w:sz w:val="11"/>
                <w:szCs w:val="11"/>
                <w:b w:val="1"/>
                <w:bCs w:val="1"/>
                <w:color w:val="auto"/>
              </w:rPr>
              <w:t>2023</w:t>
            </w:r>
          </w:p>
        </w:tc>
      </w:tr>
      <w:tr>
        <w:trPr>
          <w:trHeight w:val="161"/>
        </w:trPr>
        <w:tc>
          <w:tcPr>
            <w:tcW w:w="7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60" w:type="dxa"/>
            <w:vAlign w:val="bottom"/>
            <w:gridSpan w:val="2"/>
          </w:tcPr>
          <w:p>
            <w:pPr>
              <w:jc w:val="right"/>
              <w:ind w:right="89"/>
              <w:spacing w:after="0"/>
              <w:rPr>
                <w:sz w:val="20"/>
                <w:szCs w:val="20"/>
                <w:color w:val="auto"/>
              </w:rPr>
            </w:pPr>
            <w:r>
              <w:rPr>
                <w:rFonts w:ascii="Times New Roman" w:cs="Times New Roman" w:eastAsia="Times New Roman" w:hAnsi="Times New Roman"/>
                <w:sz w:val="11"/>
                <w:szCs w:val="11"/>
                <w:b w:val="1"/>
                <w:bCs w:val="1"/>
                <w:color w:val="auto"/>
              </w:rPr>
              <w:t>(Dollars in millions)</w:t>
            </w:r>
          </w:p>
        </w:tc>
        <w:tc>
          <w:tcPr>
            <w:tcW w:w="1080" w:type="dxa"/>
            <w:vAlign w:val="bottom"/>
          </w:tcPr>
          <w:p>
            <w:pPr>
              <w:spacing w:after="0"/>
              <w:rPr>
                <w:sz w:val="13"/>
                <w:szCs w:val="13"/>
                <w:color w:val="auto"/>
              </w:rPr>
            </w:pPr>
          </w:p>
        </w:tc>
      </w:tr>
      <w:tr>
        <w:trPr>
          <w:trHeight w:val="212"/>
        </w:trPr>
        <w:tc>
          <w:tcPr>
            <w:tcW w:w="7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Tax expense</w:t>
            </w:r>
          </w:p>
        </w:tc>
        <w:tc>
          <w:tcPr>
            <w:tcW w:w="1100" w:type="dxa"/>
            <w:vAlign w:val="bottom"/>
            <w:shd w:val="clear" w:color="auto" w:fill="CFF0FC"/>
          </w:tcPr>
          <w:p>
            <w:pPr>
              <w:jc w:val="right"/>
              <w:ind w:right="956"/>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shd w:val="clear" w:color="auto" w:fill="CFF0FC"/>
          </w:tcPr>
          <w:p>
            <w:pPr>
              <w:jc w:val="right"/>
              <w:ind w:right="154"/>
              <w:spacing w:after="0"/>
              <w:rPr>
                <w:sz w:val="20"/>
                <w:szCs w:val="20"/>
                <w:color w:val="auto"/>
              </w:rPr>
            </w:pPr>
            <w:r>
              <w:rPr>
                <w:rFonts w:ascii="Times New Roman" w:cs="Times New Roman" w:eastAsia="Times New Roman" w:hAnsi="Times New Roman"/>
                <w:sz w:val="14"/>
                <w:szCs w:val="14"/>
                <w:color w:val="auto"/>
              </w:rPr>
              <w:t>15</w:t>
            </w:r>
          </w:p>
        </w:tc>
        <w:tc>
          <w:tcPr>
            <w:tcW w:w="640" w:type="dxa"/>
            <w:vAlign w:val="bottom"/>
            <w:shd w:val="clear" w:color="auto" w:fill="CFF0FC"/>
          </w:tcPr>
          <w:p>
            <w:pPr>
              <w:jc w:val="right"/>
              <w:ind w:right="429"/>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shd w:val="clear" w:color="auto" w:fill="CFF0FC"/>
          </w:tcPr>
          <w:p>
            <w:pPr>
              <w:jc w:val="right"/>
              <w:ind w:right="94"/>
              <w:spacing w:after="0"/>
              <w:rPr>
                <w:sz w:val="20"/>
                <w:szCs w:val="20"/>
                <w:color w:val="auto"/>
              </w:rPr>
            </w:pPr>
            <w:r>
              <w:rPr>
                <w:rFonts w:ascii="Times New Roman" w:cs="Times New Roman" w:eastAsia="Times New Roman" w:hAnsi="Times New Roman"/>
                <w:sz w:val="14"/>
                <w:szCs w:val="14"/>
                <w:color w:val="auto"/>
              </w:rPr>
              <w:t>27</w:t>
            </w:r>
          </w:p>
        </w:tc>
      </w:tr>
      <w:tr>
        <w:trPr>
          <w:trHeight w:val="191"/>
        </w:trPr>
        <w:tc>
          <w:tcPr>
            <w:tcW w:w="7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Effective tax rate</w:t>
            </w:r>
          </w:p>
        </w:tc>
        <w:tc>
          <w:tcPr>
            <w:tcW w:w="110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18.5 %</w:t>
            </w:r>
          </w:p>
        </w:tc>
        <w:tc>
          <w:tcPr>
            <w:tcW w:w="6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25.0 %</w:t>
            </w:r>
          </w:p>
        </w:tc>
      </w:tr>
    </w:tbl>
    <w:p>
      <w:pPr>
        <w:spacing w:after="0" w:line="295" w:lineRule="exact"/>
        <w:rPr>
          <w:sz w:val="20"/>
          <w:szCs w:val="20"/>
          <w:color w:val="auto"/>
        </w:rPr>
      </w:pPr>
    </w:p>
    <w:p>
      <w:pPr>
        <w:ind w:firstLine="319"/>
        <w:spacing w:after="0" w:line="289" w:lineRule="auto"/>
        <w:rPr>
          <w:sz w:val="20"/>
          <w:szCs w:val="20"/>
          <w:color w:val="auto"/>
        </w:rPr>
      </w:pPr>
      <w:r>
        <w:rPr>
          <w:rFonts w:ascii="Times New Roman" w:cs="Times New Roman" w:eastAsia="Times New Roman" w:hAnsi="Times New Roman"/>
          <w:sz w:val="14"/>
          <w:szCs w:val="14"/>
          <w:color w:val="231F20"/>
        </w:rPr>
        <w:t xml:space="preserve">The effective tax rates for the </w:t>
      </w:r>
      <w:r>
        <w:rPr>
          <w:rFonts w:ascii="Times New Roman" w:cs="Times New Roman" w:eastAsia="Times New Roman" w:hAnsi="Times New Roman"/>
          <w:sz w:val="14"/>
          <w:szCs w:val="14"/>
          <w:color w:val="000000"/>
        </w:rPr>
        <w:t>three months ended March 31, 2024</w:t>
      </w:r>
      <w:r>
        <w:rPr>
          <w:rFonts w:ascii="Times New Roman" w:cs="Times New Roman" w:eastAsia="Times New Roman" w:hAnsi="Times New Roman"/>
          <w:sz w:val="14"/>
          <w:szCs w:val="14"/>
          <w:color w:val="231F20"/>
        </w:rPr>
        <w:t xml:space="preserve"> and 2023 were 18.5% and 25.0%, respectively. The change in the effective tax rate for the three months ended March 31, 2024 compared to the prior period is primarily related to reversal of tax reserves and lower U.S. taxes on international operations, partially offset by increased withholding taxes.</w:t>
      </w:r>
    </w:p>
    <w:p>
      <w:pPr>
        <w:spacing w:after="0" w:line="145" w:lineRule="exact"/>
        <w:rPr>
          <w:sz w:val="20"/>
          <w:szCs w:val="20"/>
          <w:color w:val="auto"/>
        </w:rPr>
      </w:pPr>
    </w:p>
    <w:p>
      <w:pPr>
        <w:jc w:val="both"/>
        <w:ind w:firstLine="319"/>
        <w:spacing w:after="0" w:line="261" w:lineRule="auto"/>
        <w:rPr>
          <w:sz w:val="20"/>
          <w:szCs w:val="20"/>
          <w:color w:val="auto"/>
        </w:rPr>
      </w:pPr>
      <w:r>
        <w:rPr>
          <w:rFonts w:ascii="Times New Roman" w:cs="Times New Roman" w:eastAsia="Times New Roman" w:hAnsi="Times New Roman"/>
          <w:sz w:val="14"/>
          <w:szCs w:val="14"/>
          <w:color w:val="231F20"/>
        </w:rPr>
        <w:t>In January 2019, the Organization for Economic Co-operation and Development (“OECD”) announced further work in continuation of its Base Erosion and Profit Shifting project, focusing on two “pillars.” Pillar One provides a framework for the reallocation of certain residual profits of multinational enterprises to market jurisdictions where goods or services are used or consumed. Pillar Two consists of two interrelated rules referred to as Global Anti-Base Erosion (“GloBE”) Rules, which operate to impose a minimum tax rate of 15% calculated on a jurisdictional basis. On December 20, 2021, the OECD published GloBE model rules and released multiple rounds of commentary on those rules over the subsequent months. More than 135 OECD member countries have agreed to the key parameters of the model rules, which allow those OECD member countries to begin implementing the GloBE rules in a manner consistent with the agreement reached. The rules were adopted by a number of countries in 2023, with an effective date for fiscal years beginning after December 31, 2023.</w:t>
      </w:r>
    </w:p>
    <w:p>
      <w:pPr>
        <w:spacing w:after="0" w:line="164" w:lineRule="exact"/>
        <w:rPr>
          <w:sz w:val="20"/>
          <w:szCs w:val="20"/>
          <w:color w:val="auto"/>
        </w:rPr>
      </w:pPr>
    </w:p>
    <w:p>
      <w:pPr>
        <w:ind w:firstLine="307"/>
        <w:spacing w:after="0" w:line="289" w:lineRule="auto"/>
        <w:rPr>
          <w:sz w:val="20"/>
          <w:szCs w:val="20"/>
          <w:color w:val="auto"/>
        </w:rPr>
      </w:pPr>
      <w:r>
        <w:rPr>
          <w:rFonts w:ascii="Times New Roman" w:cs="Times New Roman" w:eastAsia="Times New Roman" w:hAnsi="Times New Roman"/>
          <w:sz w:val="14"/>
          <w:szCs w:val="14"/>
          <w:color w:val="231F20"/>
        </w:rPr>
        <w:t>We do not expect that Pillar One will have an impact on our operations or effective tax rate. Based on currently enacted legislation, we do not expect Pillar Two to have a material impact to our 2024 effective tax rate. However, further enactment of legislation by countries in which we do business could have an impact on our 2024 effective tax rate.</w:t>
      </w:r>
    </w:p>
    <w:p>
      <w:pPr>
        <w:spacing w:after="0" w:line="145" w:lineRule="exact"/>
        <w:rPr>
          <w:sz w:val="20"/>
          <w:szCs w:val="20"/>
          <w:color w:val="auto"/>
        </w:rPr>
      </w:pPr>
    </w:p>
    <w:p>
      <w:pPr>
        <w:jc w:val="both"/>
        <w:ind w:firstLine="319"/>
        <w:spacing w:after="0" w:line="289" w:lineRule="auto"/>
        <w:rPr>
          <w:sz w:val="20"/>
          <w:szCs w:val="20"/>
          <w:color w:val="auto"/>
        </w:rPr>
      </w:pPr>
      <w:r>
        <w:rPr>
          <w:rFonts w:ascii="Times New Roman" w:cs="Times New Roman" w:eastAsia="Times New Roman" w:hAnsi="Times New Roman"/>
          <w:sz w:val="14"/>
          <w:szCs w:val="14"/>
          <w:color w:val="231F20"/>
        </w:rPr>
        <w:t>The effective tax rate can vary from quarter to quarter due to changes in the Company’s global mix of earnings, the resolution of income tax audits, changes in tax laws (including updated guidance on U.S. tax reform), deductions related to employee share-based payments, internal restructurings, and pension mark-to-market adjustments.</w:t>
      </w:r>
    </w:p>
    <w:p>
      <w:pPr>
        <w:spacing w:after="0" w:line="241"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171450</wp:posOffset>
            </wp:positionV>
            <wp:extent cx="7186930"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98" w:right="31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4"/>
          <w:szCs w:val="14"/>
          <w:b w:val="1"/>
          <w:bCs w:val="1"/>
          <w:i w:val="1"/>
          <w:iCs w:val="1"/>
          <w:color w:val="auto"/>
        </w:rPr>
        <w:t>Net Income</w:t>
      </w:r>
    </w:p>
    <w:p>
      <w:pPr>
        <w:spacing w:after="0" w:line="62" w:lineRule="exact"/>
        <w:rPr>
          <w:sz w:val="20"/>
          <w:szCs w:val="20"/>
          <w:color w:val="auto"/>
        </w:rPr>
      </w:pPr>
    </w:p>
    <w:p>
      <w:pPr>
        <w:jc w:val="center"/>
        <w:ind w:left="7620"/>
        <w:spacing w:after="0"/>
        <w:rPr>
          <w:sz w:val="20"/>
          <w:szCs w:val="20"/>
          <w:color w:val="auto"/>
        </w:rPr>
      </w:pPr>
      <w:r>
        <w:rPr>
          <w:rFonts w:ascii="Times New Roman" w:cs="Times New Roman" w:eastAsia="Times New Roman" w:hAnsi="Times New Roman"/>
          <w:sz w:val="11"/>
          <w:szCs w:val="11"/>
          <w:b w:val="1"/>
          <w:bCs w:val="1"/>
          <w:color w:val="auto"/>
        </w:rPr>
        <w:t>Three Months Ended</w:t>
      </w:r>
    </w:p>
    <w:p>
      <w:pPr>
        <w:spacing w:after="0" w:line="23" w:lineRule="exact"/>
        <w:rPr>
          <w:sz w:val="20"/>
          <w:szCs w:val="20"/>
          <w:color w:val="auto"/>
        </w:rPr>
      </w:pPr>
    </w:p>
    <w:p>
      <w:pPr>
        <w:jc w:val="center"/>
        <w:ind w:left="7620"/>
        <w:spacing w:after="0"/>
        <w:rPr>
          <w:sz w:val="20"/>
          <w:szCs w:val="20"/>
          <w:color w:val="auto"/>
        </w:rPr>
      </w:pPr>
      <w:r>
        <w:rPr>
          <w:rFonts w:ascii="Times New Roman" w:cs="Times New Roman" w:eastAsia="Times New Roman" w:hAnsi="Times New Roman"/>
          <w:sz w:val="11"/>
          <w:szCs w:val="11"/>
          <w:b w:val="1"/>
          <w:bCs w:val="1"/>
          <w:color w:val="auto"/>
        </w:rPr>
        <w:t>March 31,</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740" w:type="dxa"/>
            <w:vAlign w:val="bottom"/>
          </w:tcPr>
          <w:p>
            <w:pPr>
              <w:spacing w:after="0"/>
              <w:rPr>
                <w:sz w:val="14"/>
                <w:szCs w:val="14"/>
                <w:color w:val="auto"/>
              </w:rPr>
            </w:pPr>
          </w:p>
        </w:tc>
        <w:tc>
          <w:tcPr>
            <w:tcW w:w="1100" w:type="dxa"/>
            <w:vAlign w:val="bottom"/>
            <w:tcBorders>
              <w:top w:val="single" w:sz="8" w:color="auto"/>
              <w:bottom w:val="single" w:sz="8" w:color="auto"/>
            </w:tcBorders>
          </w:tcPr>
          <w:p>
            <w:pPr>
              <w:jc w:val="right"/>
              <w:ind w:right="96"/>
              <w:spacing w:after="0"/>
              <w:rPr>
                <w:sz w:val="20"/>
                <w:szCs w:val="20"/>
                <w:color w:val="auto"/>
              </w:rPr>
            </w:pPr>
            <w:r>
              <w:rPr>
                <w:rFonts w:ascii="Times New Roman" w:cs="Times New Roman" w:eastAsia="Times New Roman" w:hAnsi="Times New Roman"/>
                <w:sz w:val="11"/>
                <w:szCs w:val="11"/>
                <w:b w:val="1"/>
                <w:bCs w:val="1"/>
                <w:color w:val="auto"/>
              </w:rPr>
              <w:t>2024</w:t>
            </w:r>
          </w:p>
        </w:tc>
        <w:tc>
          <w:tcPr>
            <w:tcW w:w="620" w:type="dxa"/>
            <w:vAlign w:val="bottom"/>
            <w:tcBorders>
              <w:top w:val="single" w:sz="8" w:color="auto"/>
              <w:bottom w:val="single" w:sz="8" w:color="auto"/>
            </w:tcBorders>
          </w:tcPr>
          <w:p>
            <w:pPr>
              <w:spacing w:after="0"/>
              <w:rPr>
                <w:sz w:val="14"/>
                <w:szCs w:val="14"/>
                <w:color w:val="auto"/>
              </w:rPr>
            </w:pPr>
          </w:p>
        </w:tc>
        <w:tc>
          <w:tcPr>
            <w:tcW w:w="620" w:type="dxa"/>
            <w:vAlign w:val="bottom"/>
            <w:tcBorders>
              <w:top w:val="single" w:sz="8" w:color="auto"/>
              <w:bottom w:val="single" w:sz="8" w:color="auto"/>
            </w:tcBorders>
          </w:tcPr>
          <w:p>
            <w:pPr>
              <w:spacing w:after="0"/>
              <w:rPr>
                <w:sz w:val="14"/>
                <w:szCs w:val="14"/>
                <w:color w:val="auto"/>
              </w:rPr>
            </w:pPr>
          </w:p>
        </w:tc>
        <w:tc>
          <w:tcPr>
            <w:tcW w:w="1100" w:type="dxa"/>
            <w:vAlign w:val="bottom"/>
            <w:tcBorders>
              <w:top w:val="single" w:sz="8" w:color="auto"/>
              <w:bottom w:val="single" w:sz="8" w:color="auto"/>
            </w:tcBorders>
          </w:tcPr>
          <w:p>
            <w:pPr>
              <w:jc w:val="right"/>
              <w:ind w:right="674"/>
              <w:spacing w:after="0"/>
              <w:rPr>
                <w:sz w:val="20"/>
                <w:szCs w:val="20"/>
                <w:color w:val="auto"/>
              </w:rPr>
            </w:pPr>
            <w:r>
              <w:rPr>
                <w:rFonts w:ascii="Times New Roman" w:cs="Times New Roman" w:eastAsia="Times New Roman" w:hAnsi="Times New Roman"/>
                <w:sz w:val="11"/>
                <w:szCs w:val="11"/>
                <w:b w:val="1"/>
                <w:bCs w:val="1"/>
                <w:color w:val="auto"/>
              </w:rPr>
              <w:t>2023</w:t>
            </w:r>
          </w:p>
        </w:tc>
      </w:tr>
      <w:tr>
        <w:trPr>
          <w:trHeight w:val="161"/>
        </w:trPr>
        <w:tc>
          <w:tcPr>
            <w:tcW w:w="77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40" w:type="dxa"/>
            <w:vAlign w:val="bottom"/>
            <w:gridSpan w:val="2"/>
          </w:tcPr>
          <w:p>
            <w:pPr>
              <w:jc w:val="right"/>
              <w:ind w:right="69"/>
              <w:spacing w:after="0"/>
              <w:rPr>
                <w:sz w:val="20"/>
                <w:szCs w:val="20"/>
                <w:color w:val="auto"/>
              </w:rPr>
            </w:pPr>
            <w:r>
              <w:rPr>
                <w:rFonts w:ascii="Times New Roman" w:cs="Times New Roman" w:eastAsia="Times New Roman" w:hAnsi="Times New Roman"/>
                <w:sz w:val="11"/>
                <w:szCs w:val="11"/>
                <w:b w:val="1"/>
                <w:bCs w:val="1"/>
                <w:color w:val="auto"/>
              </w:rPr>
              <w:t>(Dollars in millions)</w:t>
            </w:r>
          </w:p>
        </w:tc>
        <w:tc>
          <w:tcPr>
            <w:tcW w:w="1100" w:type="dxa"/>
            <w:vAlign w:val="bottom"/>
          </w:tcPr>
          <w:p>
            <w:pPr>
              <w:spacing w:after="0"/>
              <w:rPr>
                <w:sz w:val="13"/>
                <w:szCs w:val="13"/>
                <w:color w:val="auto"/>
              </w:rPr>
            </w:pPr>
          </w:p>
        </w:tc>
      </w:tr>
      <w:tr>
        <w:trPr>
          <w:trHeight w:val="212"/>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1100" w:type="dxa"/>
            <w:vAlign w:val="bottom"/>
            <w:shd w:val="clear" w:color="auto" w:fill="CFF0FC"/>
          </w:tcPr>
          <w:p>
            <w:pPr>
              <w:jc w:val="right"/>
              <w:ind w:right="956"/>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shd w:val="clear" w:color="auto" w:fill="CFF0FC"/>
          </w:tcPr>
          <w:p>
            <w:pPr>
              <w:jc w:val="right"/>
              <w:ind w:right="154"/>
              <w:spacing w:after="0"/>
              <w:rPr>
                <w:sz w:val="20"/>
                <w:szCs w:val="20"/>
                <w:color w:val="auto"/>
              </w:rPr>
            </w:pPr>
            <w:r>
              <w:rPr>
                <w:rFonts w:ascii="Times New Roman" w:cs="Times New Roman" w:eastAsia="Times New Roman" w:hAnsi="Times New Roman"/>
                <w:sz w:val="14"/>
                <w:szCs w:val="14"/>
                <w:color w:val="auto"/>
              </w:rPr>
              <w:t>66</w:t>
            </w:r>
          </w:p>
        </w:tc>
        <w:tc>
          <w:tcPr>
            <w:tcW w:w="620" w:type="dxa"/>
            <w:vAlign w:val="bottom"/>
            <w:shd w:val="clear" w:color="auto" w:fill="CFF0FC"/>
          </w:tcPr>
          <w:p>
            <w:pPr>
              <w:jc w:val="right"/>
              <w:ind w:right="429"/>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shd w:val="clear" w:color="auto" w:fill="CFF0FC"/>
          </w:tcPr>
          <w:p>
            <w:pPr>
              <w:jc w:val="right"/>
              <w:ind w:right="114"/>
              <w:spacing w:after="0"/>
              <w:rPr>
                <w:sz w:val="20"/>
                <w:szCs w:val="20"/>
                <w:color w:val="auto"/>
              </w:rPr>
            </w:pPr>
            <w:r>
              <w:rPr>
                <w:rFonts w:ascii="Times New Roman" w:cs="Times New Roman" w:eastAsia="Times New Roman" w:hAnsi="Times New Roman"/>
                <w:sz w:val="14"/>
                <w:szCs w:val="14"/>
                <w:color w:val="auto"/>
              </w:rPr>
              <w:t>81</w:t>
            </w:r>
          </w:p>
        </w:tc>
      </w:tr>
      <w:tr>
        <w:trPr>
          <w:trHeight w:val="191"/>
        </w:trPr>
        <w:tc>
          <w:tcPr>
            <w:tcW w:w="7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 margin</w:t>
            </w:r>
          </w:p>
        </w:tc>
        <w:tc>
          <w:tcPr>
            <w:tcW w:w="110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7.2 %</w:t>
            </w:r>
          </w:p>
        </w:tc>
        <w:tc>
          <w:tcPr>
            <w:tcW w:w="6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8.4 %</w:t>
            </w:r>
          </w:p>
        </w:tc>
      </w:tr>
    </w:tbl>
    <w:p>
      <w:pPr>
        <w:spacing w:after="0" w:line="210" w:lineRule="exact"/>
        <w:rPr>
          <w:sz w:val="20"/>
          <w:szCs w:val="20"/>
          <w:color w:val="auto"/>
        </w:rPr>
      </w:pPr>
    </w:p>
    <w:p>
      <w:pPr>
        <w:jc w:val="both"/>
        <w:ind w:firstLine="319"/>
        <w:spacing w:after="0" w:line="289" w:lineRule="auto"/>
        <w:rPr>
          <w:sz w:val="20"/>
          <w:szCs w:val="20"/>
          <w:color w:val="auto"/>
        </w:rPr>
      </w:pPr>
      <w:r>
        <w:rPr>
          <w:rFonts w:ascii="Times New Roman" w:cs="Times New Roman" w:eastAsia="Times New Roman" w:hAnsi="Times New Roman"/>
          <w:sz w:val="14"/>
          <w:szCs w:val="14"/>
          <w:color w:val="auto"/>
        </w:rPr>
        <w:t>Net income for the three months ended March 31, 2024 decreased by $15 million compared with the prior year, primarily due to $17 million of decreased gross profit, $8 million of higher SG&amp;A expenses and $4 million of higher interest expense, partially offset by $12 million of lower tax expense, as discussed above.</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Non-GAAP Measures</w:t>
      </w:r>
    </w:p>
    <w:p>
      <w:pPr>
        <w:spacing w:after="0" w:line="150" w:lineRule="exact"/>
        <w:rPr>
          <w:sz w:val="20"/>
          <w:szCs w:val="20"/>
          <w:color w:val="auto"/>
        </w:rPr>
      </w:pPr>
    </w:p>
    <w:p>
      <w:pPr>
        <w:jc w:val="both"/>
        <w:ind w:firstLine="307"/>
        <w:spacing w:after="0" w:line="262" w:lineRule="auto"/>
        <w:rPr>
          <w:sz w:val="20"/>
          <w:szCs w:val="20"/>
          <w:color w:val="auto"/>
        </w:rPr>
      </w:pPr>
      <w:r>
        <w:rPr>
          <w:rFonts w:ascii="Times New Roman" w:cs="Times New Roman" w:eastAsia="Times New Roman" w:hAnsi="Times New Roman"/>
          <w:sz w:val="14"/>
          <w:szCs w:val="14"/>
          <w:color w:val="auto"/>
        </w:rPr>
        <w:t>It is management’s intent to provide non-GAAP financial information to supplement the understanding of our business operations and performance, and it should be considered by the reader in addition to, but not instead of, the financial statements prepared in accordance with GAAP. Each non-GAAP financial measure is presented along with the most directly comparable GAAP measure so as not to imply that more emphasis should be placed on the non-GAAP measure. The non-GAAP financial information presented may be determined or calculated differently by other companies and may not be comparable to other similarly titled measures used by other companies. Additionally, the non-GAAP financial measures have limitations as analytical tools and should not be considered in isolation or as a substitute for an analysis of the Company’s operating results as reported under GAAP.</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EBITDA and Adjusted EBITDA</w:t>
      </w:r>
    </w:p>
    <w:p>
      <w:pPr>
        <w:spacing w:after="0" w:line="162" w:lineRule="exact"/>
        <w:rPr>
          <w:sz w:val="20"/>
          <w:szCs w:val="20"/>
          <w:color w:val="auto"/>
        </w:rPr>
      </w:pPr>
    </w:p>
    <w:p>
      <w:pPr>
        <w:jc w:val="both"/>
        <w:ind w:firstLine="319"/>
        <w:spacing w:after="0" w:line="265" w:lineRule="auto"/>
        <w:rPr>
          <w:sz w:val="20"/>
          <w:szCs w:val="20"/>
          <w:color w:val="auto"/>
        </w:rPr>
      </w:pPr>
      <w:r>
        <w:rPr>
          <w:rFonts w:ascii="Times New Roman" w:cs="Times New Roman" w:eastAsia="Times New Roman" w:hAnsi="Times New Roman"/>
          <w:sz w:val="14"/>
          <w:szCs w:val="14"/>
          <w:color w:val="auto"/>
        </w:rPr>
        <w:t>We evaluate performance on the basis of EBITDA and Adjusted EBITDA. We define “EBITDA” as our net income calculated in accordance with U.S. GAAP, plus the sum of interest expense net of interest income, tax expense and depreciation. We define “Adjusted EBITDA” as EBITDA, plus the sum of stock compensation expense, repositioning costs, discounting costs on factoring, other non-operating income, capital structure transformation expenses, net reorganization items and loss on extinguishment of debt (if any). We believe that EBITDA and Adjusted EBITDA are important indicators of operating performance and provide useful information for investors because:</w:t>
      </w:r>
    </w:p>
    <w:p>
      <w:pPr>
        <w:spacing w:after="0" w:line="109" w:lineRule="exact"/>
        <w:rPr>
          <w:sz w:val="20"/>
          <w:szCs w:val="20"/>
          <w:color w:val="auto"/>
        </w:rPr>
      </w:pPr>
    </w:p>
    <w:p>
      <w:pPr>
        <w:ind w:left="520" w:hanging="259"/>
        <w:spacing w:after="0" w:line="289" w:lineRule="auto"/>
        <w:tabs>
          <w:tab w:leader="none" w:pos="516"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EBITDA and Adjusted EBITDA exclude the effects of income taxes, as well as the effects of financing and investing activities by eliminating the effects of interest and depreciation expenses and therefore more closely measure our operational performance; and</w:t>
      </w:r>
    </w:p>
    <w:p>
      <w:pPr>
        <w:spacing w:after="0" w:line="91" w:lineRule="exact"/>
        <w:rPr>
          <w:rFonts w:ascii="Times New Roman" w:cs="Times New Roman" w:eastAsia="Times New Roman" w:hAnsi="Times New Roman"/>
          <w:sz w:val="14"/>
          <w:szCs w:val="14"/>
          <w:color w:val="auto"/>
        </w:rPr>
      </w:pPr>
    </w:p>
    <w:p>
      <w:pPr>
        <w:ind w:left="520" w:hanging="259"/>
        <w:spacing w:after="0" w:line="289" w:lineRule="auto"/>
        <w:tabs>
          <w:tab w:leader="none" w:pos="516"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certain adjustment items, while periodically affecting our results, may vary significantly from period to period and have disproportionate effect in a given period, which affects the comparability of our results.</w:t>
      </w:r>
    </w:p>
    <w:p>
      <w:pPr>
        <w:spacing w:after="0" w:line="10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In addition, our management may use Adjusted EBITDA in setting performance incentive targets to align performance measurement with operational performance.</w:t>
      </w:r>
    </w:p>
    <w:p>
      <w:pPr>
        <w:spacing w:after="0" w:line="14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following table reconciles Net income under GAAP to EBITDA and Adjusted EBITDA:</w:t>
      </w:r>
    </w:p>
    <w:p>
      <w:pPr>
        <w:spacing w:after="0" w:line="297"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171450</wp:posOffset>
            </wp:positionV>
            <wp:extent cx="7186930"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98" w:right="319" w:bottom="1440" w:gutter="0" w:footer="0" w:header="0"/>
        </w:sectPr>
      </w:pPr>
    </w:p>
    <w:bookmarkStart w:id="27" w:name="page28"/>
    <w:bookmarkEnd w:id="27"/>
    <w:p>
      <w:pPr>
        <w:jc w:val="center"/>
        <w:ind w:left="8640"/>
        <w:spacing w:after="0"/>
        <w:rPr>
          <w:sz w:val="20"/>
          <w:szCs w:val="20"/>
          <w:color w:val="auto"/>
        </w:rPr>
      </w:pPr>
      <w:r>
        <w:rPr>
          <w:rFonts w:ascii="Times New Roman" w:cs="Times New Roman" w:eastAsia="Times New Roman" w:hAnsi="Times New Roman"/>
          <w:sz w:val="11"/>
          <w:szCs w:val="11"/>
          <w:b w:val="1"/>
          <w:bCs w:val="1"/>
          <w:color w:val="auto"/>
        </w:rPr>
        <w:t>Three Months Ended</w:t>
      </w:r>
    </w:p>
    <w:p>
      <w:pPr>
        <w:spacing w:after="0" w:line="23" w:lineRule="exact"/>
        <w:rPr>
          <w:sz w:val="20"/>
          <w:szCs w:val="20"/>
          <w:color w:val="auto"/>
        </w:rPr>
      </w:pPr>
    </w:p>
    <w:p>
      <w:pPr>
        <w:jc w:val="center"/>
        <w:ind w:left="8640"/>
        <w:spacing w:after="0"/>
        <w:rPr>
          <w:sz w:val="20"/>
          <w:szCs w:val="20"/>
          <w:color w:val="auto"/>
        </w:rPr>
      </w:pPr>
      <w:r>
        <w:rPr>
          <w:rFonts w:ascii="Times New Roman" w:cs="Times New Roman" w:eastAsia="Times New Roman" w:hAnsi="Times New Roman"/>
          <w:sz w:val="11"/>
          <w:szCs w:val="11"/>
          <w:b w:val="1"/>
          <w:bCs w:val="1"/>
          <w:color w:val="auto"/>
        </w:rPr>
        <w:t>March 31,</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660" w:type="dxa"/>
            <w:vAlign w:val="bottom"/>
          </w:tcPr>
          <w:p>
            <w:pPr>
              <w:spacing w:after="0"/>
              <w:rPr>
                <w:sz w:val="14"/>
                <w:szCs w:val="14"/>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2024</w:t>
            </w:r>
          </w:p>
        </w:tc>
        <w:tc>
          <w:tcPr>
            <w:tcW w:w="480" w:type="dxa"/>
            <w:vAlign w:val="bottom"/>
            <w:tcBorders>
              <w:top w:val="single" w:sz="8" w:color="auto"/>
              <w:bottom w:val="single" w:sz="8" w:color="auto"/>
            </w:tcBorders>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480" w:type="dxa"/>
            <w:vAlign w:val="bottom"/>
            <w:tcBorders>
              <w:top w:val="single" w:sz="8" w:color="auto"/>
              <w:bottom w:val="single" w:sz="8" w:color="auto"/>
            </w:tcBorders>
          </w:tcPr>
          <w:p>
            <w:pPr>
              <w:spacing w:after="0"/>
              <w:rPr>
                <w:sz w:val="14"/>
                <w:szCs w:val="14"/>
                <w:color w:val="auto"/>
              </w:rPr>
            </w:pPr>
          </w:p>
        </w:tc>
        <w:tc>
          <w:tcPr>
            <w:tcW w:w="78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1"/>
                <w:szCs w:val="11"/>
                <w:b w:val="1"/>
                <w:bCs w:val="1"/>
                <w:color w:val="auto"/>
              </w:rPr>
              <w:t>2023</w:t>
            </w:r>
          </w:p>
        </w:tc>
      </w:tr>
      <w:tr>
        <w:trPr>
          <w:trHeight w:val="161"/>
        </w:trPr>
        <w:tc>
          <w:tcPr>
            <w:tcW w:w="86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11"/>
                <w:szCs w:val="11"/>
                <w:b w:val="1"/>
                <w:bCs w:val="1"/>
                <w:color w:val="auto"/>
              </w:rPr>
              <w:t>(Dollars in millions)</w:t>
            </w:r>
          </w:p>
        </w:tc>
        <w:tc>
          <w:tcPr>
            <w:tcW w:w="780" w:type="dxa"/>
            <w:vAlign w:val="bottom"/>
          </w:tcPr>
          <w:p>
            <w:pPr>
              <w:spacing w:after="0"/>
              <w:rPr>
                <w:sz w:val="13"/>
                <w:szCs w:val="13"/>
                <w:color w:val="auto"/>
              </w:rPr>
            </w:pPr>
          </w:p>
        </w:tc>
      </w:tr>
      <w:tr>
        <w:trPr>
          <w:trHeight w:val="212"/>
        </w:trPr>
        <w:tc>
          <w:tcPr>
            <w:tcW w:w="8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800" w:type="dxa"/>
            <w:vAlign w:val="bottom"/>
            <w:shd w:val="clear" w:color="auto" w:fill="CCEEFF"/>
          </w:tcPr>
          <w:p>
            <w:pPr>
              <w:jc w:val="right"/>
              <w:ind w:right="654"/>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329"/>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w:t>
            </w:r>
          </w:p>
        </w:tc>
      </w:tr>
      <w:tr>
        <w:trPr>
          <w:trHeight w:val="202"/>
        </w:trPr>
        <w:tc>
          <w:tcPr>
            <w:tcW w:w="8660" w:type="dxa"/>
            <w:vAlign w:val="bottom"/>
          </w:tcPr>
          <w:p>
            <w:pPr>
              <w:ind w:left="180"/>
              <w:spacing w:after="0" w:line="202" w:lineRule="exact"/>
              <w:rPr>
                <w:sz w:val="20"/>
                <w:szCs w:val="20"/>
                <w:color w:val="auto"/>
              </w:rPr>
            </w:pPr>
            <w:r>
              <w:rPr>
                <w:rFonts w:ascii="Times New Roman" w:cs="Times New Roman" w:eastAsia="Times New Roman" w:hAnsi="Times New Roman"/>
                <w:sz w:val="14"/>
                <w:szCs w:val="14"/>
                <w:color w:val="auto"/>
              </w:rPr>
              <w:t xml:space="preserve">Interest expense, net of interest income </w:t>
            </w:r>
            <w:r>
              <w:rPr>
                <w:rFonts w:ascii="Times New Roman" w:cs="Times New Roman" w:eastAsia="Times New Roman" w:hAnsi="Times New Roman"/>
                <w:sz w:val="18"/>
                <w:szCs w:val="18"/>
                <w:color w:val="auto"/>
                <w:vertAlign w:val="superscript"/>
              </w:rPr>
              <w:t>(1)</w:t>
            </w:r>
          </w:p>
        </w:tc>
        <w:tc>
          <w:tcPr>
            <w:tcW w:w="80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w:t>
            </w:r>
          </w:p>
        </w:tc>
      </w:tr>
      <w:tr>
        <w:trPr>
          <w:trHeight w:val="202"/>
        </w:trPr>
        <w:tc>
          <w:tcPr>
            <w:tcW w:w="8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Tax expense</w:t>
            </w:r>
          </w:p>
        </w:tc>
        <w:tc>
          <w:tcPr>
            <w:tcW w:w="80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w:t>
            </w:r>
          </w:p>
        </w:tc>
      </w:tr>
      <w:tr>
        <w:trPr>
          <w:trHeight w:val="197"/>
        </w:trPr>
        <w:tc>
          <w:tcPr>
            <w:tcW w:w="866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4"/>
                <w:szCs w:val="14"/>
                <w:color w:val="auto"/>
              </w:rPr>
              <w:t>Depreciation</w:t>
            </w:r>
          </w:p>
        </w:tc>
        <w:tc>
          <w:tcPr>
            <w:tcW w:w="80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80" w:type="dxa"/>
            <w:vAlign w:val="bottom"/>
            <w:tcBorders>
              <w:bottom w:val="single" w:sz="8" w:color="CCEEFF"/>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w:t>
            </w:r>
          </w:p>
        </w:tc>
      </w:tr>
      <w:tr>
        <w:trPr>
          <w:trHeight w:val="199"/>
        </w:trPr>
        <w:tc>
          <w:tcPr>
            <w:tcW w:w="8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EBITDA</w:t>
            </w:r>
          </w:p>
        </w:tc>
        <w:tc>
          <w:tcPr>
            <w:tcW w:w="80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w:t>
            </w: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156</w:t>
            </w:r>
          </w:p>
        </w:tc>
      </w:tr>
      <w:tr>
        <w:trPr>
          <w:trHeight w:val="213"/>
        </w:trPr>
        <w:tc>
          <w:tcPr>
            <w:tcW w:w="8660" w:type="dxa"/>
            <w:vAlign w:val="bottom"/>
          </w:tcPr>
          <w:p>
            <w:pPr>
              <w:ind w:left="180"/>
              <w:spacing w:after="0" w:line="213" w:lineRule="exact"/>
              <w:rPr>
                <w:sz w:val="20"/>
                <w:szCs w:val="20"/>
                <w:color w:val="auto"/>
              </w:rPr>
            </w:pPr>
            <w:r>
              <w:rPr>
                <w:rFonts w:ascii="Times New Roman" w:cs="Times New Roman" w:eastAsia="Times New Roman" w:hAnsi="Times New Roman"/>
                <w:sz w:val="14"/>
                <w:szCs w:val="14"/>
                <w:color w:val="auto"/>
              </w:rPr>
              <w:t xml:space="preserve">Stock compensation expense </w:t>
            </w:r>
            <w:r>
              <w:rPr>
                <w:rFonts w:ascii="Times New Roman" w:cs="Times New Roman" w:eastAsia="Times New Roman" w:hAnsi="Times New Roman"/>
                <w:sz w:val="22"/>
                <w:szCs w:val="22"/>
                <w:color w:val="auto"/>
                <w:vertAlign w:val="superscript"/>
              </w:rPr>
              <w:t>(2)</w:t>
            </w:r>
          </w:p>
        </w:tc>
        <w:tc>
          <w:tcPr>
            <w:tcW w:w="8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r>
      <w:tr>
        <w:trPr>
          <w:trHeight w:val="213"/>
        </w:trPr>
        <w:tc>
          <w:tcPr>
            <w:tcW w:w="8660" w:type="dxa"/>
            <w:vAlign w:val="bottom"/>
            <w:shd w:val="clear" w:color="auto" w:fill="CCEEFF"/>
          </w:tcPr>
          <w:p>
            <w:pPr>
              <w:ind w:left="180"/>
              <w:spacing w:after="0" w:line="213" w:lineRule="exact"/>
              <w:rPr>
                <w:sz w:val="20"/>
                <w:szCs w:val="20"/>
                <w:color w:val="auto"/>
              </w:rPr>
            </w:pPr>
            <w:r>
              <w:rPr>
                <w:rFonts w:ascii="Times New Roman" w:cs="Times New Roman" w:eastAsia="Times New Roman" w:hAnsi="Times New Roman"/>
                <w:sz w:val="14"/>
                <w:szCs w:val="14"/>
                <w:color w:val="auto"/>
              </w:rPr>
              <w:t xml:space="preserve">Repositioning costs </w:t>
            </w:r>
            <w:r>
              <w:rPr>
                <w:rFonts w:ascii="Times New Roman" w:cs="Times New Roman" w:eastAsia="Times New Roman" w:hAnsi="Times New Roman"/>
                <w:sz w:val="22"/>
                <w:szCs w:val="22"/>
                <w:color w:val="auto"/>
                <w:vertAlign w:val="superscript"/>
              </w:rPr>
              <w:t>(3)</w:t>
            </w:r>
          </w:p>
        </w:tc>
        <w:tc>
          <w:tcPr>
            <w:tcW w:w="8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r>
      <w:tr>
        <w:trPr>
          <w:trHeight w:val="207"/>
        </w:trPr>
        <w:tc>
          <w:tcPr>
            <w:tcW w:w="86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Discounting costs on factoring</w:t>
            </w:r>
          </w:p>
        </w:tc>
        <w:tc>
          <w:tcPr>
            <w:tcW w:w="8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r>
      <w:tr>
        <w:trPr>
          <w:trHeight w:val="219"/>
        </w:trPr>
        <w:tc>
          <w:tcPr>
            <w:tcW w:w="8660" w:type="dxa"/>
            <w:vAlign w:val="bottom"/>
            <w:shd w:val="clear" w:color="auto" w:fill="CCEEFF"/>
          </w:tcPr>
          <w:p>
            <w:pPr>
              <w:ind w:left="180"/>
              <w:spacing w:after="0" w:line="219" w:lineRule="exact"/>
              <w:rPr>
                <w:sz w:val="20"/>
                <w:szCs w:val="20"/>
                <w:color w:val="auto"/>
              </w:rPr>
            </w:pPr>
            <w:r>
              <w:rPr>
                <w:rFonts w:ascii="Times New Roman" w:cs="Times New Roman" w:eastAsia="Times New Roman" w:hAnsi="Times New Roman"/>
                <w:sz w:val="14"/>
                <w:szCs w:val="14"/>
                <w:color w:val="auto"/>
              </w:rPr>
              <w:t xml:space="preserve">Other non-operating income </w:t>
            </w:r>
            <w:r>
              <w:rPr>
                <w:rFonts w:ascii="Times New Roman" w:cs="Times New Roman" w:eastAsia="Times New Roman" w:hAnsi="Times New Roman"/>
                <w:sz w:val="22"/>
                <w:szCs w:val="22"/>
                <w:color w:val="auto"/>
                <w:vertAlign w:val="superscript"/>
              </w:rPr>
              <w:t>(4)</w:t>
            </w:r>
          </w:p>
        </w:tc>
        <w:tc>
          <w:tcPr>
            <w:tcW w:w="80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r>
      <w:tr>
        <w:trPr>
          <w:trHeight w:val="213"/>
        </w:trPr>
        <w:tc>
          <w:tcPr>
            <w:tcW w:w="8660" w:type="dxa"/>
            <w:vAlign w:val="bottom"/>
          </w:tcPr>
          <w:p>
            <w:pPr>
              <w:ind w:left="180"/>
              <w:spacing w:after="0" w:line="213" w:lineRule="exact"/>
              <w:rPr>
                <w:sz w:val="20"/>
                <w:szCs w:val="20"/>
                <w:color w:val="auto"/>
              </w:rPr>
            </w:pPr>
            <w:r>
              <w:rPr>
                <w:rFonts w:ascii="Times New Roman" w:cs="Times New Roman" w:eastAsia="Times New Roman" w:hAnsi="Times New Roman"/>
                <w:sz w:val="14"/>
                <w:szCs w:val="14"/>
                <w:color w:val="auto"/>
              </w:rPr>
              <w:t xml:space="preserve">Capital structure transformation expenses </w:t>
            </w:r>
            <w:r>
              <w:rPr>
                <w:rFonts w:ascii="Times New Roman" w:cs="Times New Roman" w:eastAsia="Times New Roman" w:hAnsi="Times New Roman"/>
                <w:sz w:val="22"/>
                <w:szCs w:val="22"/>
                <w:color w:val="auto"/>
                <w:vertAlign w:val="superscript"/>
              </w:rPr>
              <w:t>(5)</w:t>
            </w:r>
          </w:p>
        </w:tc>
        <w:tc>
          <w:tcPr>
            <w:tcW w:w="800" w:type="dxa"/>
            <w:vAlign w:val="bottom"/>
          </w:tcPr>
          <w:p>
            <w:pPr>
              <w:spacing w:after="0"/>
              <w:rPr>
                <w:sz w:val="18"/>
                <w:szCs w:val="18"/>
                <w:color w:val="auto"/>
              </w:rPr>
            </w:pPr>
          </w:p>
        </w:tc>
        <w:tc>
          <w:tcPr>
            <w:tcW w:w="5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r>
      <w:tr>
        <w:trPr>
          <w:trHeight w:val="212"/>
        </w:trPr>
        <w:tc>
          <w:tcPr>
            <w:tcW w:w="86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Adjusted EBITDA</w:t>
            </w:r>
          </w:p>
        </w:tc>
        <w:tc>
          <w:tcPr>
            <w:tcW w:w="800" w:type="dxa"/>
            <w:vAlign w:val="bottom"/>
            <w:tcBorders>
              <w:top w:val="single" w:sz="8" w:color="auto"/>
              <w:bottom w:val="single" w:sz="8" w:color="auto"/>
            </w:tcBorders>
            <w:shd w:val="clear" w:color="auto" w:fill="CCEEFF"/>
          </w:tcPr>
          <w:p>
            <w:pPr>
              <w:jc w:val="right"/>
              <w:ind w:right="654"/>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151</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jc w:val="right"/>
              <w:ind w:right="329"/>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168</w:t>
            </w:r>
          </w:p>
        </w:tc>
      </w:tr>
      <w:tr>
        <w:trPr>
          <w:trHeight w:val="20"/>
        </w:trPr>
        <w:tc>
          <w:tcPr>
            <w:tcW w:w="866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520" w:hanging="259"/>
        <w:spacing w:after="0"/>
        <w:tabs>
          <w:tab w:leader="none" w:pos="52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Reflects interest income of $2 million and $0 million for the three months ended March 31, 2024 and 2023, respectively.</w:t>
      </w:r>
    </w:p>
    <w:p>
      <w:pPr>
        <w:spacing w:after="0" w:line="158" w:lineRule="exact"/>
        <w:rPr>
          <w:rFonts w:ascii="Times New Roman" w:cs="Times New Roman" w:eastAsia="Times New Roman" w:hAnsi="Times New Roman"/>
          <w:sz w:val="14"/>
          <w:szCs w:val="14"/>
          <w:color w:val="auto"/>
        </w:rPr>
      </w:pPr>
    </w:p>
    <w:p>
      <w:pPr>
        <w:ind w:left="520" w:hanging="259"/>
        <w:spacing w:after="0"/>
        <w:tabs>
          <w:tab w:leader="none" w:pos="52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Stock compensation expense includes only non-cash expenses.</w:t>
      </w:r>
    </w:p>
    <w:p>
      <w:pPr>
        <w:spacing w:after="0" w:line="147" w:lineRule="exact"/>
        <w:rPr>
          <w:rFonts w:ascii="Times New Roman" w:cs="Times New Roman" w:eastAsia="Times New Roman" w:hAnsi="Times New Roman"/>
          <w:sz w:val="14"/>
          <w:szCs w:val="14"/>
          <w:color w:val="auto"/>
        </w:rPr>
      </w:pPr>
    </w:p>
    <w:p>
      <w:pPr>
        <w:ind w:left="520" w:hanging="259"/>
        <w:spacing w:after="0"/>
        <w:tabs>
          <w:tab w:leader="none" w:pos="52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Repositioning costs includes severance costs related to restructuring projects to improve future productivity.</w:t>
      </w:r>
    </w:p>
    <w:p>
      <w:pPr>
        <w:spacing w:after="0" w:line="147" w:lineRule="exact"/>
        <w:rPr>
          <w:rFonts w:ascii="Times New Roman" w:cs="Times New Roman" w:eastAsia="Times New Roman" w:hAnsi="Times New Roman"/>
          <w:sz w:val="14"/>
          <w:szCs w:val="14"/>
          <w:color w:val="auto"/>
        </w:rPr>
      </w:pPr>
    </w:p>
    <w:p>
      <w:pPr>
        <w:ind w:left="520" w:hanging="259"/>
        <w:spacing w:after="0"/>
        <w:tabs>
          <w:tab w:leader="none" w:pos="52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Reflects the non-service component of net periodic pension income.</w:t>
      </w:r>
    </w:p>
    <w:p>
      <w:pPr>
        <w:spacing w:after="0" w:line="158" w:lineRule="exact"/>
        <w:rPr>
          <w:rFonts w:ascii="Times New Roman" w:cs="Times New Roman" w:eastAsia="Times New Roman" w:hAnsi="Times New Roman"/>
          <w:sz w:val="14"/>
          <w:szCs w:val="14"/>
          <w:color w:val="auto"/>
        </w:rPr>
      </w:pPr>
    </w:p>
    <w:p>
      <w:pPr>
        <w:ind w:left="520" w:hanging="259"/>
        <w:spacing w:after="0" w:line="289" w:lineRule="auto"/>
        <w:tabs>
          <w:tab w:leader="none" w:pos="515"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Reflects the third-party incremental costs that were directly attributable to the transformation of the Company's capital structure through the partial repurchase and subsequent conversion of the remaining outstanding Series A Preferred Stock into a single class of common stock in June 2023.</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Adjusted EBITDA for the Three Months Ended March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139700</wp:posOffset>
            </wp:positionV>
            <wp:extent cx="4463415" cy="13252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4463415" cy="13252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231F20"/>
        </w:rPr>
        <w:t xml:space="preserve">For the </w:t>
      </w:r>
      <w:r>
        <w:rPr>
          <w:rFonts w:ascii="Times New Roman" w:cs="Times New Roman" w:eastAsia="Times New Roman" w:hAnsi="Times New Roman"/>
          <w:sz w:val="14"/>
          <w:szCs w:val="14"/>
          <w:color w:val="000000"/>
        </w:rPr>
        <w:t>three months ended March 31, 2024</w:t>
      </w:r>
      <w:r>
        <w:rPr>
          <w:rFonts w:ascii="Times New Roman" w:cs="Times New Roman" w:eastAsia="Times New Roman" w:hAnsi="Times New Roman"/>
          <w:sz w:val="14"/>
          <w:szCs w:val="14"/>
          <w:color w:val="231F20"/>
        </w:rPr>
        <w:t xml:space="preserve">, net income decreased by $15 million versus the prior year as discussed above within </w:t>
      </w:r>
      <w:r>
        <w:rPr>
          <w:rFonts w:ascii="Times New Roman" w:cs="Times New Roman" w:eastAsia="Times New Roman" w:hAnsi="Times New Roman"/>
          <w:sz w:val="14"/>
          <w:szCs w:val="14"/>
          <w:i w:val="1"/>
          <w:iCs w:val="1"/>
          <w:color w:val="231F20"/>
        </w:rPr>
        <w:t>Results of Operations for</w:t>
      </w:r>
      <w:r>
        <w:rPr>
          <w:rFonts w:ascii="Times New Roman" w:cs="Times New Roman" w:eastAsia="Times New Roman" w:hAnsi="Times New Roman"/>
          <w:sz w:val="14"/>
          <w:szCs w:val="14"/>
          <w:color w:val="231F20"/>
        </w:rPr>
        <w:t xml:space="preserve"> </w:t>
      </w:r>
      <w:r>
        <w:rPr>
          <w:rFonts w:ascii="Times New Roman" w:cs="Times New Roman" w:eastAsia="Times New Roman" w:hAnsi="Times New Roman"/>
          <w:sz w:val="14"/>
          <w:szCs w:val="14"/>
          <w:i w:val="1"/>
          <w:iCs w:val="1"/>
          <w:color w:val="000000"/>
        </w:rPr>
        <w:t>Three Months Ended March 31,</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2024</w:t>
      </w:r>
      <w:r>
        <w:rPr>
          <w:rFonts w:ascii="Times New Roman" w:cs="Times New Roman" w:eastAsia="Times New Roman" w:hAnsi="Times New Roman"/>
          <w:sz w:val="14"/>
          <w:szCs w:val="14"/>
          <w:color w:val="231F20"/>
        </w:rPr>
        <w:t>.</w:t>
      </w:r>
    </w:p>
    <w:p>
      <w:pPr>
        <w:spacing w:after="0" w:line="134" w:lineRule="exact"/>
        <w:rPr>
          <w:sz w:val="20"/>
          <w:szCs w:val="20"/>
          <w:color w:val="auto"/>
        </w:rPr>
      </w:pPr>
    </w:p>
    <w:p>
      <w:pPr>
        <w:jc w:val="both"/>
        <w:ind w:firstLine="307"/>
        <w:spacing w:after="0" w:line="271" w:lineRule="auto"/>
        <w:rPr>
          <w:sz w:val="20"/>
          <w:szCs w:val="20"/>
          <w:color w:val="auto"/>
        </w:rPr>
      </w:pPr>
      <w:r>
        <w:rPr>
          <w:rFonts w:ascii="Times New Roman" w:cs="Times New Roman" w:eastAsia="Times New Roman" w:hAnsi="Times New Roman"/>
          <w:sz w:val="14"/>
          <w:szCs w:val="14"/>
          <w:color w:val="231F20"/>
        </w:rPr>
        <w:t>Adjusted EBITDA decreased by $17 million compared to the prior year, mainly due to lower volumes across product lines, unfavorable product mix, pricing net of inflation pass-through, as well as unfavorable foreign exchange impacts. These decreases were partially offset by strong operational performance through productivity, net of labor inflation and repositioning costs, and commodity, transportation and energy deflation.</w:t>
      </w:r>
    </w:p>
    <w:p>
      <w:pPr>
        <w:spacing w:after="0" w:line="115" w:lineRule="exact"/>
        <w:rPr>
          <w:sz w:val="20"/>
          <w:szCs w:val="20"/>
          <w:color w:val="auto"/>
        </w:rPr>
      </w:pPr>
    </w:p>
    <w:p>
      <w:pPr>
        <w:jc w:val="both"/>
        <w:ind w:firstLine="307"/>
        <w:spacing w:after="0" w:line="289" w:lineRule="auto"/>
        <w:rPr>
          <w:sz w:val="20"/>
          <w:szCs w:val="20"/>
          <w:color w:val="auto"/>
        </w:rPr>
      </w:pPr>
      <w:r>
        <w:rPr>
          <w:rFonts w:ascii="Times New Roman" w:cs="Times New Roman" w:eastAsia="Times New Roman" w:hAnsi="Times New Roman"/>
          <w:sz w:val="14"/>
          <w:szCs w:val="14"/>
          <w:color w:val="231F20"/>
        </w:rPr>
        <w:t xml:space="preserve">During the three months ended March 31, 2024, we saw demand softness for gasoline, diesel and commercial vehicle applications, partially offset by favorable demand in aftermarket for replacement parts in North America, China and Brazil. </w:t>
      </w:r>
      <w:r>
        <w:rPr>
          <w:rFonts w:ascii="Times New Roman" w:cs="Times New Roman" w:eastAsia="Times New Roman" w:hAnsi="Times New Roman"/>
          <w:sz w:val="14"/>
          <w:szCs w:val="14"/>
          <w:color w:val="000000"/>
        </w:rPr>
        <w:t>Net sales also decreased due to pricing decreases, net of inflation pass-through, driven by commodity deflation.</w:t>
      </w:r>
    </w:p>
    <w:p>
      <w:pPr>
        <w:spacing w:after="0" w:line="230"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178435</wp:posOffset>
            </wp:positionV>
            <wp:extent cx="7186930"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51" w:right="319" w:bottom="1440" w:gutter="0" w:footer="0" w:header="0"/>
        </w:sectPr>
      </w:pPr>
    </w:p>
    <w:bookmarkStart w:id="28" w:name="page29"/>
    <w:bookmarkEnd w:id="28"/>
    <w:p>
      <w:pPr>
        <w:ind w:left="320"/>
        <w:spacing w:after="0"/>
        <w:rPr>
          <w:sz w:val="20"/>
          <w:szCs w:val="20"/>
          <w:color w:val="auto"/>
        </w:rPr>
      </w:pPr>
      <w:r>
        <w:rPr>
          <w:rFonts w:ascii="Times New Roman" w:cs="Times New Roman" w:eastAsia="Times New Roman" w:hAnsi="Times New Roman"/>
          <w:sz w:val="14"/>
          <w:szCs w:val="14"/>
          <w:color w:val="231F20"/>
        </w:rPr>
        <w:t>The increased productivity from our ability to flex our variable cost structure was partially offset by year-over-year labor inflation.</w:t>
      </w:r>
    </w:p>
    <w:p>
      <w:pPr>
        <w:spacing w:after="0" w:line="15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231F20"/>
        </w:rPr>
        <w:t>R&amp;D expenses increased $2 million which reflects our continued investment in new technologies, increased hiring to accelerate growth in the zero emission technologies.</w:t>
      </w:r>
    </w:p>
    <w:p>
      <w:pPr>
        <w:spacing w:after="0" w:line="201" w:lineRule="exact"/>
        <w:rPr>
          <w:sz w:val="20"/>
          <w:szCs w:val="20"/>
          <w:color w:val="auto"/>
        </w:rPr>
      </w:pPr>
    </w:p>
    <w:p>
      <w:pPr>
        <w:jc w:val="both"/>
        <w:ind w:firstLine="307"/>
        <w:spacing w:after="0" w:line="273" w:lineRule="auto"/>
        <w:rPr>
          <w:sz w:val="20"/>
          <w:szCs w:val="20"/>
          <w:color w:val="auto"/>
        </w:rPr>
      </w:pPr>
      <w:r>
        <w:rPr>
          <w:rFonts w:ascii="Times New Roman" w:cs="Times New Roman" w:eastAsia="Times New Roman" w:hAnsi="Times New Roman"/>
          <w:sz w:val="14"/>
          <w:szCs w:val="14"/>
          <w:color w:val="231F20"/>
        </w:rPr>
        <w:t>Losses in foreign currency from translational, transactional and hedging effects in the three months ended March 31, 2024, primarily driven by a lower Chinese yuan-to-US dollar exchange rates and partially offset by higher Euro-to-US dollar exchange rates versus the prior year period, also accounted for a $7 million decrease in Adjusted EBITDA.</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Liquidity and Capital Resources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Overview</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128"/>
        </w:trPr>
        <w:tc>
          <w:tcPr>
            <w:tcW w:w="8000" w:type="dxa"/>
            <w:vAlign w:val="bottom"/>
          </w:tcPr>
          <w:p>
            <w:pPr>
              <w:spacing w:after="0"/>
              <w:rPr>
                <w:sz w:val="11"/>
                <w:szCs w:val="11"/>
                <w:color w:val="auto"/>
              </w:rPr>
            </w:pPr>
          </w:p>
        </w:tc>
        <w:tc>
          <w:tcPr>
            <w:tcW w:w="1100" w:type="dxa"/>
            <w:vAlign w:val="bottom"/>
          </w:tcPr>
          <w:p>
            <w:pPr>
              <w:jc w:val="center"/>
              <w:ind w:left="419"/>
              <w:spacing w:after="0"/>
              <w:rPr>
                <w:sz w:val="20"/>
                <w:szCs w:val="20"/>
                <w:color w:val="auto"/>
              </w:rPr>
            </w:pPr>
            <w:r>
              <w:rPr>
                <w:rFonts w:ascii="Times New Roman" w:cs="Times New Roman" w:eastAsia="Times New Roman" w:hAnsi="Times New Roman"/>
                <w:sz w:val="11"/>
                <w:szCs w:val="11"/>
                <w:b w:val="1"/>
                <w:bCs w:val="1"/>
                <w:color w:val="auto"/>
              </w:rPr>
              <w:t>March 31,</w:t>
            </w: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tcPr>
          <w:p>
            <w:pPr>
              <w:jc w:val="right"/>
              <w:ind w:right="392"/>
              <w:spacing w:after="0"/>
              <w:rPr>
                <w:sz w:val="20"/>
                <w:szCs w:val="20"/>
                <w:color w:val="auto"/>
              </w:rPr>
            </w:pPr>
            <w:r>
              <w:rPr>
                <w:rFonts w:ascii="Times New Roman" w:cs="Times New Roman" w:eastAsia="Times New Roman" w:hAnsi="Times New Roman"/>
                <w:sz w:val="11"/>
                <w:szCs w:val="11"/>
                <w:b w:val="1"/>
                <w:bCs w:val="1"/>
                <w:color w:val="auto"/>
              </w:rPr>
              <w:t>December 31,</w:t>
            </w:r>
          </w:p>
        </w:tc>
      </w:tr>
      <w:tr>
        <w:trPr>
          <w:trHeight w:val="149"/>
        </w:trPr>
        <w:tc>
          <w:tcPr>
            <w:tcW w:w="8000" w:type="dxa"/>
            <w:vAlign w:val="bottom"/>
          </w:tcPr>
          <w:p>
            <w:pPr>
              <w:spacing w:after="0"/>
              <w:rPr>
                <w:sz w:val="12"/>
                <w:szCs w:val="12"/>
                <w:color w:val="auto"/>
              </w:rPr>
            </w:pPr>
          </w:p>
        </w:tc>
        <w:tc>
          <w:tcPr>
            <w:tcW w:w="1100" w:type="dxa"/>
            <w:vAlign w:val="bottom"/>
          </w:tcPr>
          <w:p>
            <w:pPr>
              <w:jc w:val="right"/>
              <w:ind w:right="139"/>
              <w:spacing w:after="0"/>
              <w:rPr>
                <w:sz w:val="20"/>
                <w:szCs w:val="20"/>
                <w:color w:val="auto"/>
              </w:rPr>
            </w:pPr>
            <w:r>
              <w:rPr>
                <w:rFonts w:ascii="Times New Roman" w:cs="Times New Roman" w:eastAsia="Times New Roman" w:hAnsi="Times New Roman"/>
                <w:sz w:val="11"/>
                <w:szCs w:val="11"/>
                <w:b w:val="1"/>
                <w:bCs w:val="1"/>
                <w:color w:val="auto"/>
              </w:rPr>
              <w:t>2024</w:t>
            </w: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140" w:type="dxa"/>
            <w:vAlign w:val="bottom"/>
          </w:tcPr>
          <w:p>
            <w:pPr>
              <w:jc w:val="right"/>
              <w:ind w:right="612"/>
              <w:spacing w:after="0"/>
              <w:rPr>
                <w:sz w:val="20"/>
                <w:szCs w:val="20"/>
                <w:color w:val="auto"/>
              </w:rPr>
            </w:pPr>
            <w:r>
              <w:rPr>
                <w:rFonts w:ascii="Times New Roman" w:cs="Times New Roman" w:eastAsia="Times New Roman" w:hAnsi="Times New Roman"/>
                <w:sz w:val="11"/>
                <w:szCs w:val="11"/>
                <w:b w:val="1"/>
                <w:bCs w:val="1"/>
                <w:color w:val="auto"/>
              </w:rPr>
              <w:t>2023</w:t>
            </w:r>
          </w:p>
        </w:tc>
      </w:tr>
      <w:tr>
        <w:trPr>
          <w:trHeight w:val="30"/>
        </w:trPr>
        <w:tc>
          <w:tcPr>
            <w:tcW w:w="800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3"/>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51"/>
        </w:trPr>
        <w:tc>
          <w:tcPr>
            <w:tcW w:w="80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20" w:type="dxa"/>
            <w:vAlign w:val="bottom"/>
            <w:gridSpan w:val="3"/>
          </w:tcPr>
          <w:p>
            <w:pPr>
              <w:jc w:val="right"/>
              <w:spacing w:after="0"/>
              <w:rPr>
                <w:sz w:val="20"/>
                <w:szCs w:val="20"/>
                <w:color w:val="auto"/>
              </w:rPr>
            </w:pPr>
            <w:r>
              <w:rPr>
                <w:rFonts w:ascii="Times New Roman" w:cs="Times New Roman" w:eastAsia="Times New Roman" w:hAnsi="Times New Roman"/>
                <w:sz w:val="11"/>
                <w:szCs w:val="11"/>
                <w:b w:val="1"/>
                <w:bCs w:val="1"/>
                <w:color w:val="auto"/>
              </w:rPr>
              <w:t>(Dollars in millions)</w:t>
            </w:r>
          </w:p>
        </w:tc>
        <w:tc>
          <w:tcPr>
            <w:tcW w:w="1140" w:type="dxa"/>
            <w:vAlign w:val="bottom"/>
          </w:tcPr>
          <w:p>
            <w:pPr>
              <w:spacing w:after="0"/>
              <w:rPr>
                <w:sz w:val="13"/>
                <w:szCs w:val="13"/>
                <w:color w:val="auto"/>
              </w:rPr>
            </w:pPr>
          </w:p>
        </w:tc>
      </w:tr>
      <w:tr>
        <w:trPr>
          <w:trHeight w:val="212"/>
        </w:trPr>
        <w:tc>
          <w:tcPr>
            <w:tcW w:w="80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1100" w:type="dxa"/>
            <w:vAlign w:val="bottom"/>
            <w:shd w:val="clear" w:color="auto" w:fill="CCEEFF"/>
          </w:tcPr>
          <w:p>
            <w:pPr>
              <w:jc w:val="right"/>
              <w:ind w:right="959"/>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196</w:t>
            </w:r>
          </w:p>
        </w:tc>
        <w:tc>
          <w:tcPr>
            <w:tcW w:w="100" w:type="dxa"/>
            <w:vAlign w:val="bottom"/>
            <w:shd w:val="clear" w:color="auto" w:fill="CFF0FC"/>
          </w:tcPr>
          <w:p>
            <w:pPr>
              <w:spacing w:after="0"/>
              <w:rPr>
                <w:sz w:val="18"/>
                <w:szCs w:val="18"/>
                <w:color w:val="auto"/>
              </w:rPr>
            </w:pPr>
          </w:p>
        </w:tc>
        <w:tc>
          <w:tcPr>
            <w:tcW w:w="440" w:type="dxa"/>
            <w:vAlign w:val="bottom"/>
            <w:shd w:val="clear" w:color="auto" w:fill="CCEEFF"/>
          </w:tcPr>
          <w:p>
            <w:pPr>
              <w:jc w:val="right"/>
              <w:ind w:right="28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259</w:t>
            </w:r>
          </w:p>
        </w:tc>
      </w:tr>
      <w:tr>
        <w:trPr>
          <w:trHeight w:val="181"/>
        </w:trPr>
        <w:tc>
          <w:tcPr>
            <w:tcW w:w="8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Restricted cash</w:t>
            </w:r>
          </w:p>
        </w:tc>
        <w:tc>
          <w:tcPr>
            <w:tcW w:w="110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r>
      <w:tr>
        <w:trPr>
          <w:trHeight w:val="181"/>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Revolving Facility - available borrowing capacity</w:t>
            </w:r>
          </w:p>
        </w:tc>
        <w:tc>
          <w:tcPr>
            <w:tcW w:w="110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570</w:t>
            </w: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570</w:t>
            </w:r>
          </w:p>
        </w:tc>
      </w:tr>
      <w:tr>
        <w:trPr>
          <w:trHeight w:val="181"/>
        </w:trPr>
        <w:tc>
          <w:tcPr>
            <w:tcW w:w="8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Revolving Facility - borrowings or letters of credit outstanding</w:t>
            </w:r>
          </w:p>
        </w:tc>
        <w:tc>
          <w:tcPr>
            <w:tcW w:w="110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2"/>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Term Loan Facilities - principal outstanding</w:t>
            </w:r>
          </w:p>
        </w:tc>
        <w:tc>
          <w:tcPr>
            <w:tcW w:w="110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1,682</w:t>
            </w: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1,696</w:t>
            </w:r>
          </w:p>
        </w:tc>
      </w:tr>
      <w:tr>
        <w:trPr>
          <w:trHeight w:val="181"/>
        </w:trPr>
        <w:tc>
          <w:tcPr>
            <w:tcW w:w="8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Bilateral letter of credit facility - available capacity</w:t>
            </w:r>
          </w:p>
        </w:tc>
        <w:tc>
          <w:tcPr>
            <w:tcW w:w="110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r>
      <w:tr>
        <w:trPr>
          <w:trHeight w:val="181"/>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Bilateral letter of credit facility - utilized capacity</w:t>
            </w:r>
          </w:p>
        </w:tc>
        <w:tc>
          <w:tcPr>
            <w:tcW w:w="110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r>
    </w:tbl>
    <w:p>
      <w:pPr>
        <w:spacing w:after="0" w:line="198" w:lineRule="exact"/>
        <w:rPr>
          <w:sz w:val="20"/>
          <w:szCs w:val="20"/>
          <w:color w:val="auto"/>
        </w:rPr>
      </w:pPr>
    </w:p>
    <w:p>
      <w:pPr>
        <w:jc w:val="both"/>
        <w:ind w:firstLine="307"/>
        <w:spacing w:after="0" w:line="289" w:lineRule="auto"/>
        <w:rPr>
          <w:sz w:val="20"/>
          <w:szCs w:val="20"/>
          <w:color w:val="auto"/>
        </w:rPr>
      </w:pPr>
      <w:r>
        <w:rPr>
          <w:rFonts w:ascii="Times New Roman" w:cs="Times New Roman" w:eastAsia="Times New Roman" w:hAnsi="Times New Roman"/>
          <w:sz w:val="14"/>
          <w:szCs w:val="14"/>
          <w:color w:val="auto"/>
        </w:rPr>
        <w:t>During the three months ended March 31, 2024, we repaid $2 million on our 2021 Dollar Term Facility. On April 10, 2024, we made an early debt repayment of $100 million on our 2023 Dollar Term Facility.</w:t>
      </w:r>
    </w:p>
    <w:p>
      <w:pPr>
        <w:spacing w:after="0" w:line="92" w:lineRule="exact"/>
        <w:rPr>
          <w:sz w:val="20"/>
          <w:szCs w:val="20"/>
          <w:color w:val="auto"/>
        </w:rPr>
      </w:pPr>
    </w:p>
    <w:p>
      <w:pPr>
        <w:jc w:val="both"/>
        <w:ind w:firstLine="319"/>
        <w:spacing w:after="0" w:line="265" w:lineRule="auto"/>
        <w:rPr>
          <w:sz w:val="20"/>
          <w:szCs w:val="20"/>
          <w:color w:val="auto"/>
        </w:rPr>
      </w:pPr>
      <w:r>
        <w:rPr>
          <w:rFonts w:ascii="Times New Roman" w:cs="Times New Roman" w:eastAsia="Times New Roman" w:hAnsi="Times New Roman"/>
          <w:sz w:val="14"/>
          <w:szCs w:val="14"/>
          <w:color w:val="auto"/>
        </w:rPr>
        <w:t>We employ several means to manage our liquidity, and our sources of financing include cash flows from operations, cash and cash equivalents, our Term Loan Facilities, and Revolving Facility. We expect to continue investing in our facilities as we expand our manufacturing capacity for new product launches and invest in new technologies and strategic growth opportunities, in particular in the electrification of drivetrains. We believe the combination of expected cash flows, the term loan borrowings, and the Revolving Facility being committed until 2028, will provide us with adequate liquidity to support the Company's operations.</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Share Repurchase Program</w:t>
      </w:r>
    </w:p>
    <w:p>
      <w:pPr>
        <w:spacing w:after="0" w:line="152" w:lineRule="exact"/>
        <w:rPr>
          <w:sz w:val="20"/>
          <w:szCs w:val="20"/>
          <w:color w:val="auto"/>
        </w:rPr>
      </w:pPr>
    </w:p>
    <w:p>
      <w:pPr>
        <w:jc w:val="both"/>
        <w:ind w:firstLine="307"/>
        <w:spacing w:after="0" w:line="262" w:lineRule="auto"/>
        <w:rPr>
          <w:sz w:val="20"/>
          <w:szCs w:val="20"/>
          <w:color w:val="auto"/>
        </w:rPr>
      </w:pPr>
      <w:r>
        <w:rPr>
          <w:rFonts w:ascii="Times New Roman" w:cs="Times New Roman" w:eastAsia="Times New Roman" w:hAnsi="Times New Roman"/>
          <w:sz w:val="14"/>
          <w:szCs w:val="14"/>
          <w:color w:val="auto"/>
        </w:rPr>
        <w:t xml:space="preserve">On February 13, 2024, the Board of Directors authorized a $350 million share repurchase program valid until December 31, 2024, providing for the purchase of shares of Common Stock. As of March 31, 2024, the Company had repurchased $109 million of Common Stock, with $241 million remaining under the share repurchase program. The Company may repurchase shares from time to time under the program through various methods, including in open market transactions, block trades, privately negotiated transactions, and otherwise. The timing, as well as the number and value of shares repurchased under the program, will depend on a variety of factors. The Company is not obligated to purchase any shares under the repurchase program, and the program may be suspended, modified, or discontinued at any time without prior notice. For more information, see Item 2. </w:t>
      </w:r>
      <w:r>
        <w:rPr>
          <w:rFonts w:ascii="Times New Roman" w:cs="Times New Roman" w:eastAsia="Times New Roman" w:hAnsi="Times New Roman"/>
          <w:sz w:val="14"/>
          <w:szCs w:val="14"/>
          <w:i w:val="1"/>
          <w:iCs w:val="1"/>
          <w:color w:val="auto"/>
        </w:rPr>
        <w:t>Unregistered Sales of Equity Securities and Use of Proceeds</w:t>
      </w:r>
      <w:r>
        <w:rPr>
          <w:rFonts w:ascii="Times New Roman" w:cs="Times New Roman" w:eastAsia="Times New Roman" w:hAnsi="Times New Roman"/>
          <w:sz w:val="14"/>
          <w:szCs w:val="14"/>
          <w:color w:val="auto"/>
        </w:rPr>
        <w:t>.</w:t>
      </w:r>
    </w:p>
    <w:p>
      <w:pPr>
        <w:spacing w:after="0" w:line="261"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171450</wp:posOffset>
            </wp:positionV>
            <wp:extent cx="7186930"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02" w:right="31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4"/>
          <w:szCs w:val="14"/>
          <w:b w:val="1"/>
          <w:bCs w:val="1"/>
          <w:i w:val="1"/>
          <w:iCs w:val="1"/>
          <w:color w:val="auto"/>
        </w:rPr>
        <w:t>Cash Flow Summary for the Three Months Ended March 31, 2024</w:t>
      </w:r>
    </w:p>
    <w:p>
      <w:pPr>
        <w:spacing w:after="0" w:line="105" w:lineRule="exact"/>
        <w:rPr>
          <w:sz w:val="20"/>
          <w:szCs w:val="20"/>
          <w:color w:val="auto"/>
        </w:rPr>
      </w:pPr>
    </w:p>
    <w:p>
      <w:pPr>
        <w:jc w:val="center"/>
        <w:ind w:left="7960"/>
        <w:spacing w:after="0"/>
        <w:rPr>
          <w:sz w:val="20"/>
          <w:szCs w:val="20"/>
          <w:color w:val="auto"/>
        </w:rPr>
      </w:pPr>
      <w:r>
        <w:rPr>
          <w:rFonts w:ascii="Times New Roman" w:cs="Times New Roman" w:eastAsia="Times New Roman" w:hAnsi="Times New Roman"/>
          <w:sz w:val="11"/>
          <w:szCs w:val="11"/>
          <w:b w:val="1"/>
          <w:bCs w:val="1"/>
          <w:color w:val="auto"/>
        </w:rPr>
        <w:t>Three Months Ended</w:t>
      </w:r>
    </w:p>
    <w:p>
      <w:pPr>
        <w:spacing w:after="0" w:line="23" w:lineRule="exact"/>
        <w:rPr>
          <w:sz w:val="20"/>
          <w:szCs w:val="20"/>
          <w:color w:val="auto"/>
        </w:rPr>
      </w:pPr>
    </w:p>
    <w:p>
      <w:pPr>
        <w:jc w:val="center"/>
        <w:ind w:left="7960"/>
        <w:spacing w:after="0"/>
        <w:rPr>
          <w:sz w:val="20"/>
          <w:szCs w:val="20"/>
          <w:color w:val="auto"/>
        </w:rPr>
      </w:pPr>
      <w:r>
        <w:rPr>
          <w:rFonts w:ascii="Times New Roman" w:cs="Times New Roman" w:eastAsia="Times New Roman" w:hAnsi="Times New Roman"/>
          <w:sz w:val="11"/>
          <w:szCs w:val="11"/>
          <w:b w:val="1"/>
          <w:bCs w:val="1"/>
          <w:color w:val="auto"/>
        </w:rPr>
        <w:t>March 31,</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000" w:type="dxa"/>
            <w:vAlign w:val="bottom"/>
          </w:tcPr>
          <w:p>
            <w:pPr>
              <w:spacing w:after="0"/>
              <w:rPr>
                <w:sz w:val="14"/>
                <w:szCs w:val="14"/>
                <w:color w:val="auto"/>
              </w:rPr>
            </w:pPr>
          </w:p>
        </w:tc>
        <w:tc>
          <w:tcPr>
            <w:tcW w:w="1020" w:type="dxa"/>
            <w:vAlign w:val="bottom"/>
            <w:tcBorders>
              <w:top w:val="single" w:sz="8" w:color="auto"/>
              <w:bottom w:val="single" w:sz="8" w:color="auto"/>
            </w:tcBorders>
          </w:tcPr>
          <w:p>
            <w:pPr>
              <w:jc w:val="right"/>
              <w:ind w:right="54"/>
              <w:spacing w:after="0"/>
              <w:rPr>
                <w:sz w:val="20"/>
                <w:szCs w:val="20"/>
                <w:color w:val="auto"/>
              </w:rPr>
            </w:pPr>
            <w:r>
              <w:rPr>
                <w:rFonts w:ascii="Times New Roman" w:cs="Times New Roman" w:eastAsia="Times New Roman" w:hAnsi="Times New Roman"/>
                <w:sz w:val="11"/>
                <w:szCs w:val="11"/>
                <w:b w:val="1"/>
                <w:bCs w:val="1"/>
                <w:color w:val="auto"/>
              </w:rPr>
              <w:t>2024</w:t>
            </w:r>
          </w:p>
        </w:tc>
        <w:tc>
          <w:tcPr>
            <w:tcW w:w="560" w:type="dxa"/>
            <w:vAlign w:val="bottom"/>
            <w:tcBorders>
              <w:top w:val="single" w:sz="8" w:color="auto"/>
              <w:bottom w:val="single" w:sz="8" w:color="auto"/>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560" w:type="dxa"/>
            <w:vAlign w:val="bottom"/>
            <w:tcBorders>
              <w:top w:val="single" w:sz="8" w:color="auto"/>
              <w:bottom w:val="single" w:sz="8" w:color="auto"/>
            </w:tcBorders>
          </w:tcPr>
          <w:p>
            <w:pPr>
              <w:spacing w:after="0"/>
              <w:rPr>
                <w:sz w:val="14"/>
                <w:szCs w:val="14"/>
                <w:color w:val="auto"/>
              </w:rPr>
            </w:pPr>
          </w:p>
        </w:tc>
        <w:tc>
          <w:tcPr>
            <w:tcW w:w="1020" w:type="dxa"/>
            <w:vAlign w:val="bottom"/>
            <w:tcBorders>
              <w:top w:val="single" w:sz="8" w:color="auto"/>
              <w:bottom w:val="single" w:sz="8" w:color="auto"/>
            </w:tcBorders>
          </w:tcPr>
          <w:p>
            <w:pPr>
              <w:jc w:val="right"/>
              <w:ind w:right="611"/>
              <w:spacing w:after="0"/>
              <w:rPr>
                <w:sz w:val="20"/>
                <w:szCs w:val="20"/>
                <w:color w:val="auto"/>
              </w:rPr>
            </w:pPr>
            <w:r>
              <w:rPr>
                <w:rFonts w:ascii="Times New Roman" w:cs="Times New Roman" w:eastAsia="Times New Roman" w:hAnsi="Times New Roman"/>
                <w:sz w:val="11"/>
                <w:szCs w:val="11"/>
                <w:b w:val="1"/>
                <w:bCs w:val="1"/>
                <w:color w:val="auto"/>
              </w:rPr>
              <w:t>2023</w:t>
            </w:r>
          </w:p>
        </w:tc>
      </w:tr>
      <w:tr>
        <w:trPr>
          <w:trHeight w:val="161"/>
        </w:trPr>
        <w:tc>
          <w:tcPr>
            <w:tcW w:w="80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20" w:type="dxa"/>
            <w:vAlign w:val="bottom"/>
            <w:gridSpan w:val="3"/>
          </w:tcPr>
          <w:p>
            <w:pPr>
              <w:jc w:val="right"/>
              <w:ind w:right="49"/>
              <w:spacing w:after="0"/>
              <w:rPr>
                <w:sz w:val="20"/>
                <w:szCs w:val="20"/>
                <w:color w:val="auto"/>
              </w:rPr>
            </w:pPr>
            <w:r>
              <w:rPr>
                <w:rFonts w:ascii="Times New Roman" w:cs="Times New Roman" w:eastAsia="Times New Roman" w:hAnsi="Times New Roman"/>
                <w:sz w:val="11"/>
                <w:szCs w:val="11"/>
                <w:b w:val="1"/>
                <w:bCs w:val="1"/>
                <w:color w:val="auto"/>
              </w:rPr>
              <w:t>(Dollars in millions)</w:t>
            </w:r>
          </w:p>
        </w:tc>
        <w:tc>
          <w:tcPr>
            <w:tcW w:w="1020" w:type="dxa"/>
            <w:vAlign w:val="bottom"/>
          </w:tcPr>
          <w:p>
            <w:pPr>
              <w:spacing w:after="0"/>
              <w:rPr>
                <w:sz w:val="13"/>
                <w:szCs w:val="13"/>
                <w:color w:val="auto"/>
              </w:rPr>
            </w:pPr>
          </w:p>
        </w:tc>
      </w:tr>
      <w:tr>
        <w:trPr>
          <w:trHeight w:val="212"/>
        </w:trPr>
        <w:tc>
          <w:tcPr>
            <w:tcW w:w="80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Cash provided by (used for):</w:t>
            </w:r>
          </w:p>
        </w:tc>
        <w:tc>
          <w:tcPr>
            <w:tcW w:w="102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r>
      <w:tr>
        <w:trPr>
          <w:trHeight w:val="197"/>
        </w:trPr>
        <w:tc>
          <w:tcPr>
            <w:tcW w:w="80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Operating activities</w:t>
            </w:r>
          </w:p>
        </w:tc>
        <w:tc>
          <w:tcPr>
            <w:tcW w:w="1020" w:type="dxa"/>
            <w:vAlign w:val="bottom"/>
          </w:tcPr>
          <w:p>
            <w:pPr>
              <w:jc w:val="right"/>
              <w:ind w:right="874"/>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w:t>
            </w:r>
          </w:p>
        </w:tc>
        <w:tc>
          <w:tcPr>
            <w:tcW w:w="100" w:type="dxa"/>
            <w:vAlign w:val="bottom"/>
          </w:tcPr>
          <w:p>
            <w:pPr>
              <w:spacing w:after="0"/>
              <w:rPr>
                <w:sz w:val="17"/>
                <w:szCs w:val="17"/>
                <w:color w:val="auto"/>
              </w:rPr>
            </w:pPr>
          </w:p>
        </w:tc>
        <w:tc>
          <w:tcPr>
            <w:tcW w:w="560" w:type="dxa"/>
            <w:vAlign w:val="bottom"/>
          </w:tcPr>
          <w:p>
            <w:pPr>
              <w:jc w:val="right"/>
              <w:ind w:right="40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w:t>
            </w:r>
          </w:p>
        </w:tc>
      </w:tr>
      <w:tr>
        <w:trPr>
          <w:trHeight w:val="208"/>
        </w:trPr>
        <w:tc>
          <w:tcPr>
            <w:tcW w:w="80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4"/>
                <w:szCs w:val="14"/>
                <w:color w:val="auto"/>
              </w:rPr>
              <w:t>Investing activities</w:t>
            </w:r>
          </w:p>
        </w:tc>
        <w:tc>
          <w:tcPr>
            <w:tcW w:w="102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10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w:t>
            </w:r>
          </w:p>
        </w:tc>
      </w:tr>
      <w:tr>
        <w:trPr>
          <w:trHeight w:val="197"/>
        </w:trPr>
        <w:tc>
          <w:tcPr>
            <w:tcW w:w="80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Financing activities</w:t>
            </w:r>
          </w:p>
        </w:tc>
        <w:tc>
          <w:tcPr>
            <w:tcW w:w="102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(112)</w:t>
            </w: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w:t>
            </w:r>
          </w:p>
        </w:tc>
      </w:tr>
      <w:tr>
        <w:trPr>
          <w:trHeight w:val="208"/>
        </w:trPr>
        <w:tc>
          <w:tcPr>
            <w:tcW w:w="80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4"/>
                <w:szCs w:val="14"/>
                <w:color w:val="auto"/>
              </w:rPr>
              <w:t>Effect of exchange rate changes on cash and restricted cash</w:t>
            </w:r>
          </w:p>
        </w:tc>
        <w:tc>
          <w:tcPr>
            <w:tcW w:w="1020" w:type="dxa"/>
            <w:vAlign w:val="bottom"/>
            <w:tcBorders>
              <w:bottom w:val="single" w:sz="8" w:color="auto"/>
            </w:tcBorders>
            <w:shd w:val="clear" w:color="auto" w:fill="CFF0FC"/>
          </w:tcPr>
          <w:p>
            <w:pPr>
              <w:spacing w:after="0"/>
              <w:rPr>
                <w:sz w:val="18"/>
                <w:szCs w:val="18"/>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100" w:type="dxa"/>
            <w:vAlign w:val="bottom"/>
            <w:shd w:val="clear" w:color="auto" w:fill="CFF0FC"/>
          </w:tcPr>
          <w:p>
            <w:pPr>
              <w:spacing w:after="0"/>
              <w:rPr>
                <w:sz w:val="18"/>
                <w:szCs w:val="18"/>
                <w:color w:val="auto"/>
              </w:rPr>
            </w:pPr>
          </w:p>
        </w:tc>
        <w:tc>
          <w:tcPr>
            <w:tcW w:w="56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w:t>
            </w:r>
          </w:p>
        </w:tc>
      </w:tr>
      <w:tr>
        <w:trPr>
          <w:trHeight w:val="187"/>
        </w:trPr>
        <w:tc>
          <w:tcPr>
            <w:tcW w:w="8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(decrease) increase in cash, cash equivalents and restricted cash</w:t>
            </w:r>
          </w:p>
        </w:tc>
        <w:tc>
          <w:tcPr>
            <w:tcW w:w="1020" w:type="dxa"/>
            <w:vAlign w:val="bottom"/>
            <w:tcBorders>
              <w:bottom w:val="single" w:sz="8" w:color="auto"/>
            </w:tcBorders>
          </w:tcPr>
          <w:p>
            <w:pPr>
              <w:jc w:val="right"/>
              <w:ind w:right="874"/>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(63)</w:t>
            </w:r>
          </w:p>
        </w:tc>
        <w:tc>
          <w:tcPr>
            <w:tcW w:w="100" w:type="dxa"/>
            <w:vAlign w:val="bottom"/>
          </w:tcPr>
          <w:p>
            <w:pPr>
              <w:spacing w:after="0"/>
              <w:rPr>
                <w:sz w:val="16"/>
                <w:szCs w:val="16"/>
                <w:color w:val="auto"/>
              </w:rPr>
            </w:pPr>
          </w:p>
        </w:tc>
        <w:tc>
          <w:tcPr>
            <w:tcW w:w="560" w:type="dxa"/>
            <w:vAlign w:val="bottom"/>
            <w:tcBorders>
              <w:bottom w:val="single" w:sz="8" w:color="auto"/>
            </w:tcBorders>
          </w:tcPr>
          <w:p>
            <w:pPr>
              <w:jc w:val="right"/>
              <w:ind w:right="40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44</w:t>
            </w:r>
          </w:p>
        </w:tc>
      </w:tr>
      <w:tr>
        <w:trPr>
          <w:trHeight w:val="20"/>
        </w:trPr>
        <w:tc>
          <w:tcPr>
            <w:tcW w:w="80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firstLine="307"/>
        <w:spacing w:after="0" w:line="271" w:lineRule="auto"/>
        <w:rPr>
          <w:sz w:val="20"/>
          <w:szCs w:val="20"/>
          <w:color w:val="auto"/>
        </w:rPr>
      </w:pPr>
      <w:r>
        <w:rPr>
          <w:rFonts w:ascii="Times New Roman" w:cs="Times New Roman" w:eastAsia="Times New Roman" w:hAnsi="Times New Roman"/>
          <w:sz w:val="14"/>
          <w:szCs w:val="14"/>
          <w:color w:val="auto"/>
        </w:rPr>
        <w:t>Cash provided by operating activities decreased by $8 million for the three months ended March 31, 2024 versus the prior year. The decrease was primarily driven by a decrease of $31 million in net income, excluding the effects of non-cash items, as well as $11 million of unfavorable impacts from changes in other assets and liabilities. These decreases were partially offset by $34 million of favorable impacts from working capital changes.</w:t>
      </w:r>
    </w:p>
    <w:p>
      <w:pPr>
        <w:spacing w:after="0" w:line="115" w:lineRule="exact"/>
        <w:rPr>
          <w:sz w:val="20"/>
          <w:szCs w:val="20"/>
          <w:color w:val="auto"/>
        </w:rPr>
      </w:pPr>
    </w:p>
    <w:p>
      <w:pPr>
        <w:jc w:val="both"/>
        <w:ind w:firstLine="307"/>
        <w:spacing w:after="0" w:line="271" w:lineRule="auto"/>
        <w:rPr>
          <w:sz w:val="20"/>
          <w:szCs w:val="20"/>
          <w:color w:val="auto"/>
        </w:rPr>
      </w:pPr>
      <w:r>
        <w:rPr>
          <w:rFonts w:ascii="Times New Roman" w:cs="Times New Roman" w:eastAsia="Times New Roman" w:hAnsi="Times New Roman"/>
          <w:sz w:val="14"/>
          <w:szCs w:val="14"/>
          <w:color w:val="auto"/>
        </w:rPr>
        <w:t>Cash used for investing activities increased by $20 million for the three months ended March 31, 2024 versus the prior year, mainly due to $24 million of increased expenditures for property, plant and equipment driven by the timing of the capital expenditures. This was partially offset by $4 million of proceeds received in the current year on our cross currency swap contracts which have been designated as net investment hedges of our Euro-denominated operations.</w:t>
      </w:r>
    </w:p>
    <w:p>
      <w:pPr>
        <w:spacing w:after="0" w:line="104" w:lineRule="exact"/>
        <w:rPr>
          <w:sz w:val="20"/>
          <w:szCs w:val="20"/>
          <w:color w:val="auto"/>
        </w:rPr>
      </w:pPr>
    </w:p>
    <w:p>
      <w:pPr>
        <w:jc w:val="both"/>
        <w:ind w:firstLine="307"/>
        <w:spacing w:after="0" w:line="271" w:lineRule="auto"/>
        <w:rPr>
          <w:sz w:val="20"/>
          <w:szCs w:val="20"/>
          <w:color w:val="auto"/>
        </w:rPr>
      </w:pPr>
      <w:r>
        <w:rPr>
          <w:rFonts w:ascii="Times New Roman" w:cs="Times New Roman" w:eastAsia="Times New Roman" w:hAnsi="Times New Roman"/>
          <w:sz w:val="14"/>
          <w:szCs w:val="14"/>
          <w:color w:val="auto"/>
        </w:rPr>
        <w:t>Cash used for financing activities increased by $68 million for the three months ended March 31, 2024 compared with the prior year. The increased use of cash for financing activities was primarily driven by $107 million of cash paid for share repurchases in 2024, partially offset by $42 million of payments made in the prior year related to dividends declared on our Series A Preferred Stock.</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Off-Balance Sheet Arrangements</w:t>
      </w:r>
    </w:p>
    <w:p>
      <w:pPr>
        <w:spacing w:after="0" w:line="160" w:lineRule="exact"/>
        <w:rPr>
          <w:sz w:val="20"/>
          <w:szCs w:val="20"/>
          <w:color w:val="auto"/>
        </w:rPr>
      </w:pPr>
    </w:p>
    <w:p>
      <w:pPr>
        <w:jc w:val="both"/>
        <w:ind w:firstLine="307"/>
        <w:spacing w:after="0" w:line="289" w:lineRule="auto"/>
        <w:rPr>
          <w:sz w:val="20"/>
          <w:szCs w:val="20"/>
          <w:color w:val="auto"/>
        </w:rPr>
      </w:pPr>
      <w:r>
        <w:rPr>
          <w:rFonts w:ascii="Times New Roman" w:cs="Times New Roman" w:eastAsia="Times New Roman" w:hAnsi="Times New Roman"/>
          <w:sz w:val="14"/>
          <w:szCs w:val="14"/>
          <w:color w:val="auto"/>
        </w:rPr>
        <w:t>We do not engage in any off-balance sheet financial arrangements that have or are reasonably likely to have a material current or future effect on our financial condition, changes in financial condition, revenues or expenses, results of operations, liquidity, capital expenditures, or capital resources.</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Critical Accounting Policies</w:t>
      </w:r>
    </w:p>
    <w:p>
      <w:pPr>
        <w:spacing w:after="0" w:line="150" w:lineRule="exact"/>
        <w:rPr>
          <w:sz w:val="20"/>
          <w:szCs w:val="20"/>
          <w:color w:val="auto"/>
        </w:rPr>
      </w:pPr>
    </w:p>
    <w:p>
      <w:pPr>
        <w:jc w:val="both"/>
        <w:ind w:firstLine="307"/>
        <w:spacing w:after="0" w:line="277" w:lineRule="auto"/>
        <w:rPr>
          <w:sz w:val="20"/>
          <w:szCs w:val="20"/>
          <w:color w:val="auto"/>
        </w:rPr>
      </w:pPr>
      <w:r>
        <w:rPr>
          <w:rFonts w:ascii="Times New Roman" w:cs="Times New Roman" w:eastAsia="Times New Roman" w:hAnsi="Times New Roman"/>
          <w:sz w:val="14"/>
          <w:szCs w:val="14"/>
          <w:color w:val="auto"/>
        </w:rPr>
        <w:t>The preparation of our Consolidated Interim Financial Statements in accordance with generally accepted accounting principles is based on the selection and application of accounting policies that require us to make significant estimates and assumptions about the effects of matters that are inherently uncertain. Actual results could differ from our estimates and assumptions, and any such</w:t>
      </w:r>
    </w:p>
    <w:p>
      <w:pPr>
        <w:spacing w:after="0" w:line="1"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4"/>
          <w:szCs w:val="14"/>
          <w:color w:val="auto"/>
        </w:rPr>
        <w:t>differences could be material to our financial statements. Our critical accounting policies are summarized in the “Management’s Discussion and Analysis of Financial Condition and Results of Operations” section of our 2023 Form 10-K.</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Recent Accounting Pronouncements</w:t>
      </w:r>
    </w:p>
    <w:p>
      <w:pPr>
        <w:spacing w:after="0" w:line="15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 xml:space="preserve">See Note 2, </w:t>
      </w:r>
      <w:r>
        <w:rPr>
          <w:rFonts w:ascii="Times New Roman" w:cs="Times New Roman" w:eastAsia="Times New Roman" w:hAnsi="Times New Roman"/>
          <w:sz w:val="14"/>
          <w:szCs w:val="14"/>
          <w:i w:val="1"/>
          <w:iCs w:val="1"/>
          <w:color w:val="auto"/>
        </w:rPr>
        <w:t>Summary of Significant Accounting Policies</w:t>
      </w:r>
      <w:r>
        <w:rPr>
          <w:rFonts w:ascii="Times New Roman" w:cs="Times New Roman" w:eastAsia="Times New Roman" w:hAnsi="Times New Roman"/>
          <w:sz w:val="14"/>
          <w:szCs w:val="14"/>
          <w:color w:val="auto"/>
        </w:rPr>
        <w:t xml:space="preserve"> of the Notes to the Consolidated Interim Financial Statements for further discussion of recent accounting pronouncements.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Special Note Regarding Forward-Looking Statements</w:t>
      </w:r>
    </w:p>
    <w:p>
      <w:pPr>
        <w:spacing w:after="0" w:line="150" w:lineRule="exact"/>
        <w:rPr>
          <w:sz w:val="20"/>
          <w:szCs w:val="20"/>
          <w:color w:val="auto"/>
        </w:rPr>
      </w:pPr>
    </w:p>
    <w:p>
      <w:pPr>
        <w:jc w:val="both"/>
        <w:ind w:firstLine="307"/>
        <w:spacing w:after="0" w:line="265" w:lineRule="auto"/>
        <w:rPr>
          <w:sz w:val="20"/>
          <w:szCs w:val="20"/>
          <w:color w:val="auto"/>
        </w:rPr>
      </w:pPr>
      <w:r>
        <w:rPr>
          <w:rFonts w:ascii="Times New Roman" w:cs="Times New Roman" w:eastAsia="Times New Roman" w:hAnsi="Times New Roman"/>
          <w:sz w:val="14"/>
          <w:szCs w:val="14"/>
          <w:color w:val="auto"/>
        </w:rPr>
        <w:t>This Quarterly Report on Form 10-Q contains forward-looking statements. We intend such forward-looking statements to be covered by the safe harbor provisions for forward-looking statements contained in Section 27A of the Securities Act of 1933, as amended (the “Securities Act”) and Section 21E of the Securities Exchange Act of 1934, as amended (the “Exchange Act”). All statements other than statements of historical fact contained in this Quarterly Report on Form 10-Q, including without limitation statements regarding the following, are forward-looking statements: statements regarding our future results of operations and financial position, expectations regarding the growth of the turbocharger and</w:t>
      </w:r>
    </w:p>
    <w:p>
      <w:pPr>
        <w:spacing w:after="0" w:line="258"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171450</wp:posOffset>
            </wp:positionV>
            <wp:extent cx="7186930"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98" w:right="319" w:bottom="1440" w:gutter="0" w:footer="0" w:header="0"/>
        </w:sectPr>
      </w:pPr>
    </w:p>
    <w:bookmarkStart w:id="30" w:name="page31"/>
    <w:bookmarkEnd w:id="30"/>
    <w:p>
      <w:pPr>
        <w:jc w:val="both"/>
        <w:spacing w:after="0" w:line="258" w:lineRule="auto"/>
        <w:rPr>
          <w:sz w:val="20"/>
          <w:szCs w:val="20"/>
          <w:color w:val="auto"/>
        </w:rPr>
      </w:pPr>
      <w:r>
        <w:rPr>
          <w:rFonts w:ascii="Times New Roman" w:cs="Times New Roman" w:eastAsia="Times New Roman" w:hAnsi="Times New Roman"/>
          <w:sz w:val="14"/>
          <w:szCs w:val="14"/>
          <w:color w:val="auto"/>
        </w:rPr>
        <w:t>electric vehicle markets and other industry trends, the sufficiency of our liquidity and capital resources, anticipated impacts of changes in legislation and government policy relating to taxation or otherwise, anticipated sources and uses of cash, anticipated investments in our business, our business strategy, pending litigation, anticipated interest expense, and the plans and objectives of management for future operations and capital expenditures are forward-looking statements. These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 In some cases, you can identify forward-looking statements by terms such as “may,” “will,” “should,” “expect,” “plan,” “anticipate,” “could,” “intend,” “target,” “project,” “contemplate,” “believe,” “estimate,” “predict,” “potential,” or “continue” or the negative of these terms or other similar expressions. The forward-looking statements in this Quarterly Report on Form 10-Q are only predictions. We have based these forward-looking statements largely on our current expectations and projections about future events and financial trends that we believe may affect our business, financial condition and results of operations. These forward-looking statements speak only as of the date of this Quarterly Report on Form 10-Q and are subject to a number of important factors that could cause actual results to differ materially from those in the forward-looking statements, including:</w:t>
      </w:r>
    </w:p>
    <w:p>
      <w:pPr>
        <w:spacing w:after="0" w:line="146" w:lineRule="exact"/>
        <w:rPr>
          <w:sz w:val="20"/>
          <w:szCs w:val="20"/>
          <w:color w:val="auto"/>
        </w:rPr>
      </w:pPr>
    </w:p>
    <w:p>
      <w:pPr>
        <w:ind w:left="640" w:hanging="251"/>
        <w:spacing w:after="0"/>
        <w:tabs>
          <w:tab w:leader="none" w:pos="64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4"/>
          <w:szCs w:val="14"/>
          <w:color w:val="auto"/>
        </w:rPr>
        <w:t>increases in the costs and availability of raw materials, components, energy and transportation and our ability to offset inflation;</w:t>
      </w:r>
    </w:p>
    <w:p>
      <w:pPr>
        <w:spacing w:after="0" w:line="124" w:lineRule="exact"/>
        <w:rPr>
          <w:rFonts w:ascii="Times New Roman" w:cs="Times New Roman" w:eastAsia="Times New Roman" w:hAnsi="Times New Roman"/>
          <w:sz w:val="17"/>
          <w:szCs w:val="17"/>
          <w:color w:val="auto"/>
        </w:rPr>
      </w:pPr>
    </w:p>
    <w:p>
      <w:pPr>
        <w:ind w:left="640" w:hanging="251"/>
        <w:spacing w:after="0" w:line="289" w:lineRule="auto"/>
        <w:tabs>
          <w:tab w:leader="none" w:pos="636"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sales to major customers as well as a network of independent dealers to manage the distribution of our products, and we could be adversely impacted by the loss of any of our such major customers or dealers, changes in their requirements for our products or changes in their financial condition.</w:t>
      </w:r>
    </w:p>
    <w:p>
      <w:pPr>
        <w:spacing w:after="0" w:line="102" w:lineRule="exact"/>
        <w:rPr>
          <w:rFonts w:ascii="Times New Roman" w:cs="Times New Roman" w:eastAsia="Times New Roman" w:hAnsi="Times New Roman"/>
          <w:sz w:val="14"/>
          <w:szCs w:val="14"/>
          <w:color w:val="auto"/>
        </w:rPr>
      </w:pPr>
    </w:p>
    <w:p>
      <w:pPr>
        <w:ind w:left="640" w:hanging="251"/>
        <w:spacing w:after="0"/>
        <w:tabs>
          <w:tab w:leader="none" w:pos="64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negotiating positions of our customers and our ability to negotiate favorable pricing terms;</w:t>
      </w:r>
    </w:p>
    <w:p>
      <w:pPr>
        <w:spacing w:after="0" w:line="147" w:lineRule="exact"/>
        <w:rPr>
          <w:rFonts w:ascii="Times New Roman" w:cs="Times New Roman" w:eastAsia="Times New Roman" w:hAnsi="Times New Roman"/>
          <w:sz w:val="14"/>
          <w:szCs w:val="14"/>
          <w:color w:val="auto"/>
        </w:rPr>
      </w:pPr>
    </w:p>
    <w:p>
      <w:pPr>
        <w:ind w:left="640" w:hanging="251"/>
        <w:spacing w:after="0" w:line="289" w:lineRule="auto"/>
        <w:tabs>
          <w:tab w:leader="none" w:pos="636"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risks associated with changes in the automotive industry and our inability, or a perception that we are unable, to respond appropriately to such changes, our financial condition and results of operations could be adversely impacted;</w:t>
      </w:r>
    </w:p>
    <w:p>
      <w:pPr>
        <w:spacing w:after="0" w:line="91" w:lineRule="exact"/>
        <w:rPr>
          <w:rFonts w:ascii="Times New Roman" w:cs="Times New Roman" w:eastAsia="Times New Roman" w:hAnsi="Times New Roman"/>
          <w:sz w:val="14"/>
          <w:szCs w:val="14"/>
          <w:color w:val="auto"/>
        </w:rPr>
      </w:pPr>
    </w:p>
    <w:p>
      <w:pPr>
        <w:ind w:left="640" w:hanging="251"/>
        <w:spacing w:after="0"/>
        <w:tabs>
          <w:tab w:leader="none" w:pos="64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risks associated with any program launch difficulties and inaccuracies in estimates of volumes of awarded business;</w:t>
      </w:r>
    </w:p>
    <w:p>
      <w:pPr>
        <w:spacing w:after="0" w:line="147" w:lineRule="exact"/>
        <w:rPr>
          <w:rFonts w:ascii="Times New Roman" w:cs="Times New Roman" w:eastAsia="Times New Roman" w:hAnsi="Times New Roman"/>
          <w:sz w:val="14"/>
          <w:szCs w:val="14"/>
          <w:color w:val="auto"/>
        </w:rPr>
      </w:pPr>
    </w:p>
    <w:p>
      <w:pPr>
        <w:ind w:left="640" w:hanging="251"/>
        <w:spacing w:after="0"/>
        <w:tabs>
          <w:tab w:leader="none" w:pos="64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the automotive industry and economic or competitive conditions;</w:t>
      </w:r>
    </w:p>
    <w:p>
      <w:pPr>
        <w:spacing w:after="0" w:line="158" w:lineRule="exact"/>
        <w:rPr>
          <w:rFonts w:ascii="Times New Roman" w:cs="Times New Roman" w:eastAsia="Times New Roman" w:hAnsi="Times New Roman"/>
          <w:sz w:val="14"/>
          <w:szCs w:val="14"/>
          <w:color w:val="auto"/>
        </w:rPr>
      </w:pPr>
    </w:p>
    <w:p>
      <w:pPr>
        <w:ind w:left="640" w:hanging="251"/>
        <w:spacing w:after="0"/>
        <w:tabs>
          <w:tab w:leader="none" w:pos="64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risks related to economic, political, regulatory and foreign exchange;</w:t>
      </w:r>
    </w:p>
    <w:p>
      <w:pPr>
        <w:spacing w:after="0" w:line="147" w:lineRule="exact"/>
        <w:rPr>
          <w:rFonts w:ascii="Times New Roman" w:cs="Times New Roman" w:eastAsia="Times New Roman" w:hAnsi="Times New Roman"/>
          <w:sz w:val="14"/>
          <w:szCs w:val="14"/>
          <w:color w:val="auto"/>
        </w:rPr>
      </w:pPr>
    </w:p>
    <w:p>
      <w:pPr>
        <w:ind w:left="640" w:hanging="251"/>
        <w:spacing w:after="0"/>
        <w:tabs>
          <w:tab w:leader="none" w:pos="64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geopolitical conditions, catastrophic events and pandemics;</w:t>
      </w:r>
    </w:p>
    <w:p>
      <w:pPr>
        <w:spacing w:after="0" w:line="147" w:lineRule="exact"/>
        <w:rPr>
          <w:rFonts w:ascii="Times New Roman" w:cs="Times New Roman" w:eastAsia="Times New Roman" w:hAnsi="Times New Roman"/>
          <w:sz w:val="14"/>
          <w:szCs w:val="14"/>
          <w:color w:val="auto"/>
        </w:rPr>
      </w:pPr>
    </w:p>
    <w:p>
      <w:pPr>
        <w:ind w:left="640" w:hanging="251"/>
        <w:spacing w:after="0"/>
        <w:tabs>
          <w:tab w:leader="none" w:pos="64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risks related to international operations and our investment in foreign markets;</w:t>
      </w:r>
    </w:p>
    <w:p>
      <w:pPr>
        <w:spacing w:after="0" w:line="190" w:lineRule="exact"/>
        <w:rPr>
          <w:rFonts w:ascii="Times New Roman" w:cs="Times New Roman" w:eastAsia="Times New Roman" w:hAnsi="Times New Roman"/>
          <w:sz w:val="14"/>
          <w:szCs w:val="14"/>
          <w:color w:val="auto"/>
        </w:rPr>
      </w:pPr>
    </w:p>
    <w:p>
      <w:pPr>
        <w:jc w:val="both"/>
        <w:ind w:left="640" w:hanging="251"/>
        <w:spacing w:after="0" w:line="245" w:lineRule="auto"/>
        <w:tabs>
          <w:tab w:leader="none" w:pos="636" w:val="left"/>
        </w:tabs>
        <w:numPr>
          <w:ilvl w:val="0"/>
          <w:numId w:val="9"/>
        </w:numPr>
        <w:rPr>
          <w:rFonts w:ascii="Arial" w:cs="Arial" w:eastAsia="Arial" w:hAnsi="Arial"/>
          <w:sz w:val="17"/>
          <w:szCs w:val="17"/>
          <w:color w:val="231F20"/>
        </w:rPr>
      </w:pPr>
      <w:r>
        <w:rPr>
          <w:rFonts w:ascii="Times New Roman" w:cs="Times New Roman" w:eastAsia="Times New Roman" w:hAnsi="Times New Roman"/>
          <w:sz w:val="14"/>
          <w:szCs w:val="14"/>
          <w:color w:val="auto"/>
        </w:rPr>
        <w:t>risks of increased scrutiny from customers, investors, regulators and others regarding sustainability/ESG practices, as well as the climate-related risks we may face, each of which could expose us to liabilities, including reputational harm, impact demand for our products, lead to increased costs and have other adverse effects on our business, supply chain and results of operations;</w:t>
      </w:r>
    </w:p>
    <w:p>
      <w:pPr>
        <w:spacing w:after="0" w:line="121" w:lineRule="exact"/>
        <w:rPr>
          <w:rFonts w:ascii="Arial" w:cs="Arial" w:eastAsia="Arial" w:hAnsi="Arial"/>
          <w:sz w:val="17"/>
          <w:szCs w:val="17"/>
          <w:color w:val="231F20"/>
        </w:rPr>
      </w:pPr>
    </w:p>
    <w:p>
      <w:pPr>
        <w:ind w:left="640" w:hanging="251"/>
        <w:spacing w:after="0"/>
        <w:tabs>
          <w:tab w:leader="none" w:pos="64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risks associated with joint venture partnerships and joint development projects;</w:t>
      </w:r>
    </w:p>
    <w:p>
      <w:pPr>
        <w:spacing w:after="0" w:line="158" w:lineRule="exact"/>
        <w:rPr>
          <w:rFonts w:ascii="Times New Roman" w:cs="Times New Roman" w:eastAsia="Times New Roman" w:hAnsi="Times New Roman"/>
          <w:sz w:val="14"/>
          <w:szCs w:val="14"/>
          <w:color w:val="auto"/>
        </w:rPr>
      </w:pPr>
    </w:p>
    <w:p>
      <w:pPr>
        <w:ind w:left="640" w:hanging="251"/>
        <w:spacing w:after="0" w:line="289" w:lineRule="auto"/>
        <w:tabs>
          <w:tab w:leader="none" w:pos="636"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failure to protect our intellectual property or allegations that we have infringed the intellectual property of others, and our ability to license necessary intellectual property from third parties;</w:t>
      </w:r>
    </w:p>
    <w:p>
      <w:pPr>
        <w:spacing w:after="0" w:line="91" w:lineRule="exact"/>
        <w:rPr>
          <w:rFonts w:ascii="Times New Roman" w:cs="Times New Roman" w:eastAsia="Times New Roman" w:hAnsi="Times New Roman"/>
          <w:sz w:val="14"/>
          <w:szCs w:val="14"/>
          <w:color w:val="auto"/>
        </w:rPr>
      </w:pPr>
    </w:p>
    <w:p>
      <w:pPr>
        <w:ind w:left="640" w:hanging="251"/>
        <w:spacing w:after="0"/>
        <w:tabs>
          <w:tab w:leader="none" w:pos="64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work stoppages, other disruptions or the need to relocate any of our facilities;</w:t>
      </w:r>
    </w:p>
    <w:p>
      <w:pPr>
        <w:spacing w:after="0" w:line="147" w:lineRule="exact"/>
        <w:rPr>
          <w:rFonts w:ascii="Times New Roman" w:cs="Times New Roman" w:eastAsia="Times New Roman" w:hAnsi="Times New Roman"/>
          <w:sz w:val="14"/>
          <w:szCs w:val="14"/>
          <w:color w:val="auto"/>
        </w:rPr>
      </w:pPr>
    </w:p>
    <w:p>
      <w:pPr>
        <w:ind w:left="640" w:hanging="251"/>
        <w:spacing w:after="0"/>
        <w:tabs>
          <w:tab w:leader="none" w:pos="64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inability to recruit and retain qualified personnel;</w:t>
      </w:r>
    </w:p>
    <w:p>
      <w:pPr>
        <w:spacing w:after="0" w:line="158" w:lineRule="exact"/>
        <w:rPr>
          <w:rFonts w:ascii="Times New Roman" w:cs="Times New Roman" w:eastAsia="Times New Roman" w:hAnsi="Times New Roman"/>
          <w:sz w:val="14"/>
          <w:szCs w:val="14"/>
          <w:color w:val="auto"/>
        </w:rPr>
      </w:pPr>
    </w:p>
    <w:p>
      <w:pPr>
        <w:ind w:left="640" w:hanging="251"/>
        <w:spacing w:after="0"/>
        <w:tabs>
          <w:tab w:leader="none" w:pos="64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failure to increase productivity or successfully execute repositioning projects or manage our workforce;</w:t>
      </w:r>
    </w:p>
    <w:p>
      <w:pPr>
        <w:spacing w:after="0" w:line="168" w:lineRule="exact"/>
        <w:rPr>
          <w:rFonts w:ascii="Times New Roman" w:cs="Times New Roman" w:eastAsia="Times New Roman" w:hAnsi="Times New Roman"/>
          <w:sz w:val="14"/>
          <w:szCs w:val="14"/>
          <w:color w:val="auto"/>
        </w:rPr>
      </w:pPr>
    </w:p>
    <w:p>
      <w:pPr>
        <w:ind w:left="640" w:hanging="251"/>
        <w:spacing w:after="0"/>
        <w:tabs>
          <w:tab w:leader="none" w:pos="64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4"/>
          <w:szCs w:val="14"/>
          <w:color w:val="auto"/>
        </w:rPr>
        <w:t>potential material losses and costs as a result of any warranty claims and product liability actions brought against us;</w:t>
      </w:r>
    </w:p>
    <w:p>
      <w:pPr>
        <w:spacing w:after="0" w:line="273"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171450</wp:posOffset>
            </wp:positionV>
            <wp:extent cx="7186930"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02" w:right="319" w:bottom="1440" w:gutter="0" w:footer="0" w:header="0"/>
        </w:sectPr>
      </w:pPr>
    </w:p>
    <w:bookmarkStart w:id="31" w:name="page32"/>
    <w:bookmarkEnd w:id="31"/>
    <w:p>
      <w:pPr>
        <w:ind w:left="640" w:hanging="251"/>
        <w:spacing w:after="0"/>
        <w:tabs>
          <w:tab w:leader="none" w:pos="64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commencement of any lawsuits, investigations and disputes arising out of our current and historical businesses, and the consequences thereof;</w:t>
      </w:r>
    </w:p>
    <w:p>
      <w:pPr>
        <w:spacing w:after="0" w:line="158" w:lineRule="exact"/>
        <w:rPr>
          <w:rFonts w:ascii="Times New Roman" w:cs="Times New Roman" w:eastAsia="Times New Roman" w:hAnsi="Times New Roman"/>
          <w:sz w:val="14"/>
          <w:szCs w:val="14"/>
          <w:color w:val="auto"/>
        </w:rPr>
      </w:pPr>
    </w:p>
    <w:p>
      <w:pPr>
        <w:ind w:left="640" w:hanging="251"/>
        <w:spacing w:after="0"/>
        <w:tabs>
          <w:tab w:leader="none" w:pos="64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potential material environmental liabilities and hazards;</w:t>
      </w:r>
    </w:p>
    <w:p>
      <w:pPr>
        <w:spacing w:after="0" w:line="147" w:lineRule="exact"/>
        <w:rPr>
          <w:rFonts w:ascii="Times New Roman" w:cs="Times New Roman" w:eastAsia="Times New Roman" w:hAnsi="Times New Roman"/>
          <w:sz w:val="14"/>
          <w:szCs w:val="14"/>
          <w:color w:val="auto"/>
        </w:rPr>
      </w:pPr>
    </w:p>
    <w:p>
      <w:pPr>
        <w:ind w:left="640" w:hanging="251"/>
        <w:spacing w:after="0"/>
        <w:tabs>
          <w:tab w:leader="none" w:pos="64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risks of changes in the effective tax rates;</w:t>
      </w:r>
    </w:p>
    <w:p>
      <w:pPr>
        <w:spacing w:after="0" w:line="168" w:lineRule="exact"/>
        <w:rPr>
          <w:rFonts w:ascii="Times New Roman" w:cs="Times New Roman" w:eastAsia="Times New Roman" w:hAnsi="Times New Roman"/>
          <w:sz w:val="14"/>
          <w:szCs w:val="14"/>
          <w:color w:val="auto"/>
        </w:rPr>
      </w:pPr>
    </w:p>
    <w:p>
      <w:pPr>
        <w:ind w:left="640" w:hanging="251"/>
        <w:spacing w:after="0"/>
        <w:tabs>
          <w:tab w:leader="none" w:pos="64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4"/>
          <w:szCs w:val="14"/>
          <w:color w:val="auto"/>
        </w:rPr>
        <w:t>the effects of any deterioration on industry, economic or financial conditions on our ability to access the capital markets on favorable terms;</w:t>
      </w:r>
    </w:p>
    <w:p>
      <w:pPr>
        <w:spacing w:after="0" w:line="155" w:lineRule="exact"/>
        <w:rPr>
          <w:rFonts w:ascii="Times New Roman" w:cs="Times New Roman" w:eastAsia="Times New Roman" w:hAnsi="Times New Roman"/>
          <w:sz w:val="17"/>
          <w:szCs w:val="17"/>
          <w:color w:val="auto"/>
        </w:rPr>
      </w:pPr>
    </w:p>
    <w:p>
      <w:pPr>
        <w:ind w:left="640" w:hanging="251"/>
        <w:spacing w:after="0"/>
        <w:tabs>
          <w:tab w:leader="none" w:pos="64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4"/>
          <w:szCs w:val="14"/>
          <w:color w:val="auto"/>
        </w:rPr>
        <w:t>quality control and creditworthiness of the suppliers on which we rely;</w:t>
      </w:r>
    </w:p>
    <w:p>
      <w:pPr>
        <w:spacing w:after="0" w:line="124" w:lineRule="exact"/>
        <w:rPr>
          <w:rFonts w:ascii="Times New Roman" w:cs="Times New Roman" w:eastAsia="Times New Roman" w:hAnsi="Times New Roman"/>
          <w:sz w:val="17"/>
          <w:szCs w:val="17"/>
          <w:color w:val="auto"/>
        </w:rPr>
      </w:pPr>
    </w:p>
    <w:p>
      <w:pPr>
        <w:ind w:left="640" w:hanging="251"/>
        <w:spacing w:after="0" w:line="289" w:lineRule="auto"/>
        <w:tabs>
          <w:tab w:leader="none" w:pos="636"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risks for system or service failures, including cyber or other security incidents, each of which could disrupt business operations, result in loss of critical and confidential information and adversely impact our reputation and results of operations; and</w:t>
      </w:r>
    </w:p>
    <w:p>
      <w:pPr>
        <w:spacing w:after="0" w:line="102" w:lineRule="exact"/>
        <w:rPr>
          <w:rFonts w:ascii="Times New Roman" w:cs="Times New Roman" w:eastAsia="Times New Roman" w:hAnsi="Times New Roman"/>
          <w:sz w:val="14"/>
          <w:szCs w:val="14"/>
          <w:color w:val="auto"/>
        </w:rPr>
      </w:pPr>
    </w:p>
    <w:p>
      <w:pPr>
        <w:ind w:left="640" w:hanging="251"/>
        <w:spacing w:after="0"/>
        <w:tabs>
          <w:tab w:leader="none" w:pos="64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other factors described under the caption “Risk Factors” in our 2023 Form 10-K, as updated in this Quarterly Report on Form 10-Q, and our other filings with the SEC.</w:t>
      </w:r>
    </w:p>
    <w:p>
      <w:pPr>
        <w:spacing w:after="0" w:line="148" w:lineRule="exact"/>
        <w:rPr>
          <w:sz w:val="20"/>
          <w:szCs w:val="20"/>
          <w:color w:val="auto"/>
        </w:rPr>
      </w:pPr>
    </w:p>
    <w:p>
      <w:pPr>
        <w:jc w:val="both"/>
        <w:ind w:firstLine="307"/>
        <w:spacing w:after="0" w:line="271" w:lineRule="auto"/>
        <w:rPr>
          <w:sz w:val="20"/>
          <w:szCs w:val="20"/>
          <w:color w:val="auto"/>
        </w:rPr>
      </w:pPr>
      <w:r>
        <w:rPr>
          <w:rFonts w:ascii="Times New Roman" w:cs="Times New Roman" w:eastAsia="Times New Roman" w:hAnsi="Times New Roman"/>
          <w:sz w:val="14"/>
          <w:szCs w:val="14"/>
          <w:color w:val="auto"/>
        </w:rPr>
        <w:t>You should read this Quarterly Report on Form 10-Q and the documents that we reference herein completely and with the understanding that our actual future results may be materially different from what we expect. We qualify all of our forward-looking statements by these cautionary statements. Except as required by applicable law, we do not plan to publicly update or revise any forward-looking statements contained herein, whether as a result of any new information, future events, changed circumstances or otherwise.</w:t>
      </w: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3. Quantitative and Qualitative Disclosures About Market Risk</w:t>
      </w:r>
    </w:p>
    <w:p>
      <w:pPr>
        <w:spacing w:after="0" w:line="150" w:lineRule="exact"/>
        <w:rPr>
          <w:sz w:val="20"/>
          <w:szCs w:val="20"/>
          <w:color w:val="auto"/>
        </w:rPr>
      </w:pPr>
    </w:p>
    <w:p>
      <w:pPr>
        <w:jc w:val="both"/>
        <w:ind w:firstLine="511"/>
        <w:spacing w:after="0" w:line="265" w:lineRule="auto"/>
        <w:rPr>
          <w:sz w:val="20"/>
          <w:szCs w:val="20"/>
          <w:color w:val="auto"/>
        </w:rPr>
      </w:pPr>
      <w:r>
        <w:rPr>
          <w:rFonts w:ascii="Times New Roman" w:cs="Times New Roman" w:eastAsia="Times New Roman" w:hAnsi="Times New Roman"/>
          <w:sz w:val="14"/>
          <w:szCs w:val="14"/>
          <w:color w:val="auto"/>
        </w:rPr>
        <w:t>As of March 31, 2024, the net fair value of all financial instruments with exposure to currency risk was a $60 million asset. The potential loss or gain in fair value for such financial instruments from a hypothetical 10% adverse or favorable change in quoted currency exchange rates would be $152 million and $(161) million, respectively, at March 31, 2024 exchange rates. The model assumes a parallel shift in currency exchange rates; however, currency exchange rates rarely move in the same direction. The assumption that currency exchange rates change in a parallel fashion may overstate the impact of changing currency exchange rates on assets and liabilities denominated in currencies other than the U.S. dollar.</w:t>
      </w:r>
    </w:p>
    <w:p>
      <w:pPr>
        <w:spacing w:after="0" w:line="120" w:lineRule="exact"/>
        <w:rPr>
          <w:sz w:val="20"/>
          <w:szCs w:val="20"/>
          <w:color w:val="auto"/>
        </w:rPr>
      </w:pPr>
    </w:p>
    <w:p>
      <w:pPr>
        <w:jc w:val="both"/>
        <w:ind w:firstLine="511"/>
        <w:spacing w:after="0" w:line="289" w:lineRule="auto"/>
        <w:rPr>
          <w:sz w:val="20"/>
          <w:szCs w:val="20"/>
          <w:color w:val="auto"/>
        </w:rPr>
      </w:pPr>
      <w:r>
        <w:rPr>
          <w:rFonts w:ascii="Times New Roman" w:cs="Times New Roman" w:eastAsia="Times New Roman" w:hAnsi="Times New Roman"/>
          <w:sz w:val="14"/>
          <w:szCs w:val="14"/>
          <w:color w:val="auto"/>
        </w:rPr>
        <w:t xml:space="preserve">There have been no other material changes to the Company’s quantitative and qualitative disclosures about interest rate or commodity price risks as disclosed in Part II, Item 7A, </w:t>
      </w:r>
      <w:r>
        <w:rPr>
          <w:rFonts w:ascii="Times New Roman" w:cs="Times New Roman" w:eastAsia="Times New Roman" w:hAnsi="Times New Roman"/>
          <w:sz w:val="14"/>
          <w:szCs w:val="14"/>
          <w:i w:val="1"/>
          <w:iCs w:val="1"/>
          <w:color w:val="auto"/>
        </w:rPr>
        <w:t>Quantitative and Qualitative Disclosures About Market Risks</w:t>
      </w:r>
      <w:r>
        <w:rPr>
          <w:rFonts w:ascii="Times New Roman" w:cs="Times New Roman" w:eastAsia="Times New Roman" w:hAnsi="Times New Roman"/>
          <w:sz w:val="14"/>
          <w:szCs w:val="14"/>
          <w:color w:val="auto"/>
        </w:rPr>
        <w:t>, in our 2023 Form 10-K.</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4. Controls and Procedures</w:t>
      </w:r>
    </w:p>
    <w:p>
      <w:pPr>
        <w:spacing w:after="0" w:line="150" w:lineRule="exact"/>
        <w:rPr>
          <w:sz w:val="20"/>
          <w:szCs w:val="20"/>
          <w:color w:val="auto"/>
        </w:rPr>
      </w:pPr>
    </w:p>
    <w:p>
      <w:pPr>
        <w:jc w:val="both"/>
        <w:ind w:firstLine="307"/>
        <w:spacing w:after="0" w:line="271" w:lineRule="auto"/>
        <w:rPr>
          <w:sz w:val="20"/>
          <w:szCs w:val="20"/>
          <w:color w:val="auto"/>
        </w:rPr>
      </w:pPr>
      <w:r>
        <w:rPr>
          <w:rFonts w:ascii="Times New Roman" w:cs="Times New Roman" w:eastAsia="Times New Roman" w:hAnsi="Times New Roman"/>
          <w:sz w:val="14"/>
          <w:szCs w:val="14"/>
          <w:color w:val="auto"/>
        </w:rPr>
        <w:t>In designing and evaluating our disclosure controls and procedures,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judgment in evaluating the benefits of possible controls and procedures relative to their costs.</w:t>
      </w:r>
    </w:p>
    <w:p>
      <w:pPr>
        <w:spacing w:after="0" w:line="115" w:lineRule="exact"/>
        <w:rPr>
          <w:sz w:val="20"/>
          <w:szCs w:val="20"/>
          <w:color w:val="auto"/>
        </w:rPr>
      </w:pPr>
    </w:p>
    <w:p>
      <w:pPr>
        <w:jc w:val="both"/>
        <w:ind w:firstLine="307"/>
        <w:spacing w:after="0" w:line="271" w:lineRule="auto"/>
        <w:rPr>
          <w:sz w:val="20"/>
          <w:szCs w:val="20"/>
          <w:color w:val="auto"/>
        </w:rPr>
      </w:pPr>
      <w:r>
        <w:rPr>
          <w:rFonts w:ascii="Times New Roman" w:cs="Times New Roman" w:eastAsia="Times New Roman" w:hAnsi="Times New Roman"/>
          <w:sz w:val="14"/>
          <w:szCs w:val="14"/>
          <w:color w:val="auto"/>
        </w:rPr>
        <w:t>Our management, with the participation of our Chief Executive Officer and Chief Financial Officer, conducted an evaluation of our disclosure controls and procedures, as such term is defined under Rule 13a-15(e) promulgated under the Exchange Act. Based on management’s evaluation, our Chief Executive Officer and Chief Financial Officer concluded that our disclosure controls and procedures were effective at the reasonable assurance level as of March 31, 2024.</w:t>
      </w:r>
    </w:p>
    <w:p>
      <w:pPr>
        <w:spacing w:after="0" w:line="104" w:lineRule="exact"/>
        <w:rPr>
          <w:sz w:val="20"/>
          <w:szCs w:val="20"/>
          <w:color w:val="auto"/>
        </w:rPr>
      </w:pPr>
    </w:p>
    <w:p>
      <w:pPr>
        <w:ind w:firstLine="307"/>
        <w:spacing w:after="0" w:line="289" w:lineRule="auto"/>
        <w:rPr>
          <w:sz w:val="20"/>
          <w:szCs w:val="20"/>
          <w:color w:val="auto"/>
        </w:rPr>
      </w:pPr>
      <w:r>
        <w:rPr>
          <w:rFonts w:ascii="Times New Roman" w:cs="Times New Roman" w:eastAsia="Times New Roman" w:hAnsi="Times New Roman"/>
          <w:sz w:val="14"/>
          <w:szCs w:val="14"/>
          <w:color w:val="auto"/>
        </w:rPr>
        <w:t>There were no changes in our internal control over financial reporting (as defined in Rules 13a-15(f) and 15d-15(f) under the Exchange Act) that occurred during the quarter ended March 31, 2024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171450</wp:posOffset>
            </wp:positionV>
            <wp:extent cx="7186930"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02" w:right="319" w:bottom="1440" w:gutter="0" w:footer="0" w:header="0"/>
        </w:sectPr>
      </w:pPr>
    </w:p>
    <w:bookmarkStart w:id="32" w:name="page33"/>
    <w:bookmarkEnd w:id="32"/>
    <w:p>
      <w:pPr>
        <w:jc w:val="center"/>
        <w:ind w:right="-319"/>
        <w:spacing w:after="0"/>
        <w:rPr>
          <w:sz w:val="20"/>
          <w:szCs w:val="20"/>
          <w:color w:val="auto"/>
        </w:rPr>
      </w:pPr>
      <w:r>
        <w:rPr>
          <w:rFonts w:ascii="Times New Roman" w:cs="Times New Roman" w:eastAsia="Times New Roman" w:hAnsi="Times New Roman"/>
          <w:sz w:val="14"/>
          <w:szCs w:val="14"/>
          <w:b w:val="1"/>
          <w:bCs w:val="1"/>
          <w:color w:val="auto"/>
        </w:rPr>
        <w:t>PART II—OTHER INFORMATION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 Legal Proceedings</w:t>
      </w:r>
    </w:p>
    <w:p>
      <w:pPr>
        <w:spacing w:after="0" w:line="150" w:lineRule="exact"/>
        <w:rPr>
          <w:sz w:val="20"/>
          <w:szCs w:val="20"/>
          <w:color w:val="auto"/>
        </w:rPr>
      </w:pPr>
    </w:p>
    <w:p>
      <w:pPr>
        <w:jc w:val="both"/>
        <w:ind w:firstLine="307"/>
        <w:spacing w:after="0" w:line="262" w:lineRule="auto"/>
        <w:rPr>
          <w:sz w:val="20"/>
          <w:szCs w:val="20"/>
          <w:color w:val="auto"/>
        </w:rPr>
      </w:pPr>
      <w:r>
        <w:rPr>
          <w:rFonts w:ascii="Times New Roman" w:cs="Times New Roman" w:eastAsia="Times New Roman" w:hAnsi="Times New Roman"/>
          <w:sz w:val="14"/>
          <w:szCs w:val="14"/>
          <w:color w:val="auto"/>
        </w:rPr>
        <w:t>We are involved in various lawsuits, claims and proceedings incident to the operation of our businesses, including those pertaining to product liability, product safety, environmental, safety and health, intellectual property, employment, commercial and contractual matters and various other matters. Although the outcome of any such lawsuit, claim or proceeding cannot be predicted with certainty and some may be disposed of unfavorably to us, we do not currently believe that such lawsuits, claims or proceedings will have a material adverse effect on our financial position, results of operations or cash flows. We accrue for potential liabilities in a manner consistent with accounting principles generally accepted in the United States. Accordingly, we accrue for a liability when it is probable that a liability has been incurred and the amount of the liability is reasonably estimable.</w:t>
      </w:r>
    </w:p>
    <w:p>
      <w:pPr>
        <w:spacing w:after="0" w:line="110" w:lineRule="exact"/>
        <w:rPr>
          <w:sz w:val="20"/>
          <w:szCs w:val="20"/>
          <w:color w:val="auto"/>
        </w:rPr>
      </w:pPr>
    </w:p>
    <w:p>
      <w:pPr>
        <w:jc w:val="both"/>
        <w:ind w:firstLine="307"/>
        <w:spacing w:after="0" w:line="292" w:lineRule="auto"/>
        <w:rPr>
          <w:sz w:val="20"/>
          <w:szCs w:val="20"/>
          <w:color w:val="auto"/>
        </w:rPr>
      </w:pPr>
      <w:r>
        <w:rPr>
          <w:rFonts w:ascii="Times New Roman" w:cs="Times New Roman" w:eastAsia="Times New Roman" w:hAnsi="Times New Roman"/>
          <w:sz w:val="14"/>
          <w:szCs w:val="14"/>
          <w:color w:val="auto"/>
        </w:rPr>
        <w:t xml:space="preserve">For additional information regarding our legal proceedings, see the discussion under Note 20, </w:t>
      </w:r>
      <w:r>
        <w:rPr>
          <w:rFonts w:ascii="Times New Roman" w:cs="Times New Roman" w:eastAsia="Times New Roman" w:hAnsi="Times New Roman"/>
          <w:sz w:val="14"/>
          <w:szCs w:val="14"/>
          <w:i w:val="1"/>
          <w:iCs w:val="1"/>
          <w:color w:val="auto"/>
        </w:rPr>
        <w:t>Commitments and Contingencies</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color w:val="231F20"/>
        </w:rPr>
        <w:t>of the Notes to the Consolidated Interim Financial Statements,</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color w:val="231F20"/>
        </w:rPr>
        <w:t>which is incorporated by reference into this Part II, Item 1.</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1A. Risk Factors</w:t>
      </w:r>
    </w:p>
    <w:p>
      <w:pPr>
        <w:spacing w:after="0" w:line="150" w:lineRule="exact"/>
        <w:rPr>
          <w:sz w:val="20"/>
          <w:szCs w:val="20"/>
          <w:color w:val="auto"/>
        </w:rPr>
      </w:pPr>
    </w:p>
    <w:p>
      <w:pPr>
        <w:jc w:val="both"/>
        <w:ind w:firstLine="307"/>
        <w:spacing w:after="0" w:line="271" w:lineRule="auto"/>
        <w:rPr>
          <w:sz w:val="20"/>
          <w:szCs w:val="20"/>
          <w:color w:val="auto"/>
        </w:rPr>
      </w:pPr>
      <w:r>
        <w:rPr>
          <w:rFonts w:ascii="Times New Roman" w:cs="Times New Roman" w:eastAsia="Times New Roman" w:hAnsi="Times New Roman"/>
          <w:sz w:val="14"/>
          <w:szCs w:val="14"/>
          <w:color w:val="auto"/>
        </w:rPr>
        <w:t>There have been no material changes to the risks described under "Risk Factors” in our 2023 Form 10-K. In addition to the other information set forth in this Quarterly Report on Form 10-Q, you should carefully consider the factors discussed under “Risk Factors” in our 2023 Form 10-K. These factors could materially adversely affect our business, financial condition, or results of operations, and could cause our actual results to differ materially from our historical results or the results contemplated by any forward-looking statements contained in this report.</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2. Unregistered Sales of Equity Securities and Use of Proceeds</w:t>
      </w:r>
    </w:p>
    <w:p>
      <w:pPr>
        <w:spacing w:after="0" w:line="160" w:lineRule="exact"/>
        <w:rPr>
          <w:sz w:val="20"/>
          <w:szCs w:val="20"/>
          <w:color w:val="auto"/>
        </w:rPr>
      </w:pPr>
    </w:p>
    <w:p>
      <w:pPr>
        <w:jc w:val="both"/>
        <w:ind w:firstLine="307"/>
        <w:spacing w:after="0" w:line="262" w:lineRule="auto"/>
        <w:rPr>
          <w:sz w:val="20"/>
          <w:szCs w:val="20"/>
          <w:color w:val="auto"/>
        </w:rPr>
      </w:pPr>
      <w:r>
        <w:rPr>
          <w:rFonts w:ascii="Times New Roman" w:cs="Times New Roman" w:eastAsia="Times New Roman" w:hAnsi="Times New Roman"/>
          <w:sz w:val="14"/>
          <w:szCs w:val="14"/>
          <w:color w:val="auto"/>
        </w:rPr>
        <w:t>On February 13, 2024, the Board of Directors authorized a $350 million share repurchase program valid until December 31, 2024, providing for the purchase of shares of Common Stock. The Company may repurchase shares from time to time under the program through various methods, including in open market transactions, block trades, privately negotiated transactions, and otherwise. The timing, as well as the number and value of shares repurchased under the program, will depend on a variety of factors. The Company is not obligated to purchase any shares under the repurchase program, and the program may be suspended, modified, or discontinued at any time without prior notice. The following table summarizes our share repurchase activity for the three months ended March 31, 2024 and additional information regarding our share repurchase program:</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30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rPr>
              <w:t>Total Number of</w:t>
            </w:r>
          </w:p>
        </w:tc>
        <w:tc>
          <w:tcPr>
            <w:tcW w:w="1020" w:type="dxa"/>
            <w:vAlign w:val="bottom"/>
            <w:gridSpan w:val="2"/>
          </w:tcPr>
          <w:p>
            <w:pPr>
              <w:jc w:val="center"/>
              <w:spacing w:after="0"/>
              <w:rPr>
                <w:sz w:val="20"/>
                <w:szCs w:val="20"/>
                <w:color w:val="auto"/>
              </w:rPr>
            </w:pPr>
            <w:r>
              <w:rPr>
                <w:rFonts w:ascii="Times New Roman" w:cs="Times New Roman" w:eastAsia="Times New Roman" w:hAnsi="Times New Roman"/>
                <w:sz w:val="11"/>
                <w:szCs w:val="11"/>
                <w:b w:val="1"/>
                <w:bCs w:val="1"/>
                <w:color w:val="auto"/>
              </w:rPr>
              <w:t>Approximate Dollar</w:t>
            </w:r>
          </w:p>
        </w:tc>
        <w:tc>
          <w:tcPr>
            <w:tcW w:w="0" w:type="dxa"/>
            <w:vAlign w:val="bottom"/>
          </w:tcPr>
          <w:p>
            <w:pPr>
              <w:spacing w:after="0"/>
              <w:rPr>
                <w:sz w:val="1"/>
                <w:szCs w:val="1"/>
                <w:color w:val="auto"/>
              </w:rPr>
            </w:pPr>
          </w:p>
        </w:tc>
      </w:tr>
      <w:tr>
        <w:trPr>
          <w:trHeight w:val="117"/>
        </w:trPr>
        <w:tc>
          <w:tcPr>
            <w:tcW w:w="30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gridSpan w:val="2"/>
            <w:vMerge w:val="continue"/>
          </w:tcPr>
          <w:p>
            <w:pPr>
              <w:spacing w:after="0"/>
              <w:rPr>
                <w:sz w:val="10"/>
                <w:szCs w:val="10"/>
                <w:color w:val="auto"/>
              </w:rPr>
            </w:pPr>
          </w:p>
        </w:tc>
        <w:tc>
          <w:tcPr>
            <w:tcW w:w="1020" w:type="dxa"/>
            <w:vAlign w:val="bottom"/>
            <w:gridSpan w:val="2"/>
          </w:tcPr>
          <w:p>
            <w:pPr>
              <w:jc w:val="center"/>
              <w:spacing w:after="0" w:line="118" w:lineRule="exact"/>
              <w:rPr>
                <w:sz w:val="20"/>
                <w:szCs w:val="20"/>
                <w:color w:val="auto"/>
              </w:rPr>
            </w:pPr>
            <w:r>
              <w:rPr>
                <w:rFonts w:ascii="Times New Roman" w:cs="Times New Roman" w:eastAsia="Times New Roman" w:hAnsi="Times New Roman"/>
                <w:sz w:val="11"/>
                <w:szCs w:val="11"/>
                <w:b w:val="1"/>
                <w:bCs w:val="1"/>
                <w:color w:val="auto"/>
              </w:rPr>
              <w:t>Value of Shares that</w:t>
            </w:r>
          </w:p>
        </w:tc>
        <w:tc>
          <w:tcPr>
            <w:tcW w:w="0" w:type="dxa"/>
            <w:vAlign w:val="bottom"/>
          </w:tcPr>
          <w:p>
            <w:pPr>
              <w:spacing w:after="0"/>
              <w:rPr>
                <w:sz w:val="1"/>
                <w:szCs w:val="1"/>
                <w:color w:val="auto"/>
              </w:rPr>
            </w:pPr>
          </w:p>
        </w:tc>
      </w:tr>
      <w:tr>
        <w:trPr>
          <w:trHeight w:val="108"/>
        </w:trPr>
        <w:tc>
          <w:tcPr>
            <w:tcW w:w="3020" w:type="dxa"/>
            <w:vAlign w:val="bottom"/>
          </w:tcPr>
          <w:p>
            <w:pPr>
              <w:spacing w:after="0"/>
              <w:rPr>
                <w:sz w:val="9"/>
                <w:szCs w:val="9"/>
                <w:color w:val="auto"/>
              </w:rPr>
            </w:pPr>
          </w:p>
        </w:tc>
        <w:tc>
          <w:tcPr>
            <w:tcW w:w="10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rPr>
              <w:t>Total Number of</w:t>
            </w:r>
          </w:p>
        </w:tc>
        <w:tc>
          <w:tcPr>
            <w:tcW w:w="2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40" w:type="dxa"/>
            <w:vAlign w:val="bottom"/>
            <w:gridSpan w:val="2"/>
          </w:tcPr>
          <w:p>
            <w:pPr>
              <w:jc w:val="center"/>
              <w:ind w:right="100"/>
              <w:spacing w:after="0" w:line="109" w:lineRule="exact"/>
              <w:rPr>
                <w:sz w:val="20"/>
                <w:szCs w:val="20"/>
                <w:color w:val="auto"/>
              </w:rPr>
            </w:pPr>
            <w:r>
              <w:rPr>
                <w:rFonts w:ascii="Times New Roman" w:cs="Times New Roman" w:eastAsia="Times New Roman" w:hAnsi="Times New Roman"/>
                <w:sz w:val="11"/>
                <w:szCs w:val="11"/>
                <w:b w:val="1"/>
                <w:bCs w:val="1"/>
                <w:color w:val="auto"/>
              </w:rPr>
              <w:t>Shares Purchased</w:t>
            </w:r>
          </w:p>
        </w:tc>
        <w:tc>
          <w:tcPr>
            <w:tcW w:w="160" w:type="dxa"/>
            <w:vAlign w:val="bottom"/>
          </w:tcPr>
          <w:p>
            <w:pPr>
              <w:spacing w:after="0"/>
              <w:rPr>
                <w:sz w:val="9"/>
                <w:szCs w:val="9"/>
                <w:color w:val="auto"/>
              </w:rPr>
            </w:pPr>
          </w:p>
        </w:tc>
        <w:tc>
          <w:tcPr>
            <w:tcW w:w="860" w:type="dxa"/>
            <w:vAlign w:val="bottom"/>
          </w:tcPr>
          <w:p>
            <w:pPr>
              <w:jc w:val="center"/>
              <w:ind w:right="115"/>
              <w:spacing w:after="0" w:line="109" w:lineRule="exact"/>
              <w:rPr>
                <w:sz w:val="20"/>
                <w:szCs w:val="20"/>
                <w:color w:val="auto"/>
              </w:rPr>
            </w:pPr>
            <w:r>
              <w:rPr>
                <w:rFonts w:ascii="Times New Roman" w:cs="Times New Roman" w:eastAsia="Times New Roman" w:hAnsi="Times New Roman"/>
                <w:sz w:val="11"/>
                <w:szCs w:val="11"/>
                <w:b w:val="1"/>
                <w:bCs w:val="1"/>
                <w:color w:val="auto"/>
              </w:rPr>
              <w:t>May Yet Be</w:t>
            </w:r>
          </w:p>
        </w:tc>
        <w:tc>
          <w:tcPr>
            <w:tcW w:w="0" w:type="dxa"/>
            <w:vAlign w:val="bottom"/>
          </w:tcPr>
          <w:p>
            <w:pPr>
              <w:spacing w:after="0"/>
              <w:rPr>
                <w:sz w:val="1"/>
                <w:szCs w:val="1"/>
                <w:color w:val="auto"/>
              </w:rPr>
            </w:pPr>
          </w:p>
        </w:tc>
      </w:tr>
      <w:tr>
        <w:trPr>
          <w:trHeight w:val="115"/>
        </w:trPr>
        <w:tc>
          <w:tcPr>
            <w:tcW w:w="3020" w:type="dxa"/>
            <w:vAlign w:val="bottom"/>
          </w:tcPr>
          <w:p>
            <w:pPr>
              <w:spacing w:after="0"/>
              <w:rPr>
                <w:sz w:val="10"/>
                <w:szCs w:val="10"/>
                <w:color w:val="auto"/>
              </w:rPr>
            </w:pPr>
          </w:p>
        </w:tc>
        <w:tc>
          <w:tcPr>
            <w:tcW w:w="1060" w:type="dxa"/>
            <w:vAlign w:val="bottom"/>
            <w:gridSpan w:val="2"/>
            <w:vMerge w:val="continue"/>
          </w:tcPr>
          <w:p>
            <w:pPr>
              <w:spacing w:after="0"/>
              <w:rPr>
                <w:sz w:val="10"/>
                <w:szCs w:val="10"/>
                <w:color w:val="auto"/>
              </w:rPr>
            </w:pPr>
          </w:p>
        </w:tc>
        <w:tc>
          <w:tcPr>
            <w:tcW w:w="900" w:type="dxa"/>
            <w:vAlign w:val="bottom"/>
            <w:gridSpan w:val="3"/>
            <w:vMerge w:val="restart"/>
          </w:tcPr>
          <w:p>
            <w:pPr>
              <w:ind w:left="40"/>
              <w:spacing w:after="0"/>
              <w:rPr>
                <w:sz w:val="20"/>
                <w:szCs w:val="20"/>
                <w:color w:val="auto"/>
              </w:rPr>
            </w:pPr>
            <w:r>
              <w:rPr>
                <w:rFonts w:ascii="Times New Roman" w:cs="Times New Roman" w:eastAsia="Times New Roman" w:hAnsi="Times New Roman"/>
                <w:sz w:val="11"/>
                <w:szCs w:val="11"/>
                <w:b w:val="1"/>
                <w:bCs w:val="1"/>
                <w:color w:val="auto"/>
              </w:rPr>
              <w:t>Average Price</w:t>
            </w:r>
          </w:p>
        </w:tc>
        <w:tc>
          <w:tcPr>
            <w:tcW w:w="1040" w:type="dxa"/>
            <w:vAlign w:val="bottom"/>
            <w:gridSpan w:val="2"/>
          </w:tcPr>
          <w:p>
            <w:pPr>
              <w:jc w:val="center"/>
              <w:ind w:right="100"/>
              <w:spacing w:after="0" w:line="115" w:lineRule="exact"/>
              <w:rPr>
                <w:sz w:val="20"/>
                <w:szCs w:val="20"/>
                <w:color w:val="auto"/>
              </w:rPr>
            </w:pPr>
            <w:r>
              <w:rPr>
                <w:rFonts w:ascii="Times New Roman" w:cs="Times New Roman" w:eastAsia="Times New Roman" w:hAnsi="Times New Roman"/>
                <w:sz w:val="11"/>
                <w:szCs w:val="11"/>
                <w:b w:val="1"/>
                <w:bCs w:val="1"/>
                <w:color w:val="auto"/>
              </w:rPr>
              <w:t>as Part of Publicly</w:t>
            </w:r>
          </w:p>
        </w:tc>
        <w:tc>
          <w:tcPr>
            <w:tcW w:w="1020" w:type="dxa"/>
            <w:vAlign w:val="bottom"/>
            <w:gridSpan w:val="2"/>
          </w:tcPr>
          <w:p>
            <w:pPr>
              <w:jc w:val="center"/>
              <w:spacing w:after="0" w:line="115" w:lineRule="exact"/>
              <w:rPr>
                <w:sz w:val="20"/>
                <w:szCs w:val="20"/>
                <w:color w:val="auto"/>
              </w:rPr>
            </w:pPr>
            <w:r>
              <w:rPr>
                <w:rFonts w:ascii="Times New Roman" w:cs="Times New Roman" w:eastAsia="Times New Roman" w:hAnsi="Times New Roman"/>
                <w:sz w:val="11"/>
                <w:szCs w:val="11"/>
                <w:b w:val="1"/>
                <w:bCs w:val="1"/>
                <w:color w:val="auto"/>
              </w:rPr>
              <w:t>Purchased Under</w:t>
            </w:r>
          </w:p>
        </w:tc>
        <w:tc>
          <w:tcPr>
            <w:tcW w:w="0" w:type="dxa"/>
            <w:vAlign w:val="bottom"/>
          </w:tcPr>
          <w:p>
            <w:pPr>
              <w:spacing w:after="0"/>
              <w:rPr>
                <w:sz w:val="1"/>
                <w:szCs w:val="1"/>
                <w:color w:val="auto"/>
              </w:rPr>
            </w:pPr>
          </w:p>
        </w:tc>
      </w:tr>
      <w:tr>
        <w:trPr>
          <w:trHeight w:val="117"/>
        </w:trPr>
        <w:tc>
          <w:tcPr>
            <w:tcW w:w="3020" w:type="dxa"/>
            <w:vAlign w:val="bottom"/>
            <w:vMerge w:val="restart"/>
          </w:tcPr>
          <w:p>
            <w:pPr>
              <w:ind w:left="1280"/>
              <w:spacing w:after="0"/>
              <w:rPr>
                <w:sz w:val="20"/>
                <w:szCs w:val="20"/>
                <w:color w:val="auto"/>
              </w:rPr>
            </w:pPr>
            <w:r>
              <w:rPr>
                <w:rFonts w:ascii="Times New Roman" w:cs="Times New Roman" w:eastAsia="Times New Roman" w:hAnsi="Times New Roman"/>
                <w:sz w:val="11"/>
                <w:szCs w:val="11"/>
                <w:b w:val="1"/>
                <w:bCs w:val="1"/>
                <w:color w:val="auto"/>
              </w:rPr>
              <w:t>Period</w:t>
            </w:r>
          </w:p>
        </w:tc>
        <w:tc>
          <w:tcPr>
            <w:tcW w:w="1060" w:type="dxa"/>
            <w:vAlign w:val="bottom"/>
            <w:gridSpan w:val="2"/>
          </w:tcPr>
          <w:p>
            <w:pPr>
              <w:jc w:val="center"/>
              <w:ind w:right="100"/>
              <w:spacing w:after="0" w:line="118" w:lineRule="exact"/>
              <w:rPr>
                <w:sz w:val="20"/>
                <w:szCs w:val="20"/>
                <w:color w:val="auto"/>
              </w:rPr>
            </w:pPr>
            <w:r>
              <w:rPr>
                <w:rFonts w:ascii="Times New Roman" w:cs="Times New Roman" w:eastAsia="Times New Roman" w:hAnsi="Times New Roman"/>
                <w:sz w:val="11"/>
                <w:szCs w:val="11"/>
                <w:b w:val="1"/>
                <w:bCs w:val="1"/>
                <w:color w:val="auto"/>
              </w:rPr>
              <w:t>Common Shares</w:t>
            </w:r>
          </w:p>
        </w:tc>
        <w:tc>
          <w:tcPr>
            <w:tcW w:w="900" w:type="dxa"/>
            <w:vAlign w:val="bottom"/>
            <w:gridSpan w:val="3"/>
            <w:vMerge w:val="continue"/>
          </w:tcPr>
          <w:p>
            <w:pPr>
              <w:spacing w:after="0"/>
              <w:rPr>
                <w:sz w:val="10"/>
                <w:szCs w:val="10"/>
                <w:color w:val="auto"/>
              </w:rPr>
            </w:pPr>
          </w:p>
        </w:tc>
        <w:tc>
          <w:tcPr>
            <w:tcW w:w="1040" w:type="dxa"/>
            <w:vAlign w:val="bottom"/>
            <w:gridSpan w:val="2"/>
          </w:tcPr>
          <w:p>
            <w:pPr>
              <w:jc w:val="center"/>
              <w:ind w:right="80"/>
              <w:spacing w:after="0" w:line="118" w:lineRule="exact"/>
              <w:rPr>
                <w:sz w:val="20"/>
                <w:szCs w:val="20"/>
                <w:color w:val="auto"/>
              </w:rPr>
            </w:pPr>
            <w:r>
              <w:rPr>
                <w:rFonts w:ascii="Times New Roman" w:cs="Times New Roman" w:eastAsia="Times New Roman" w:hAnsi="Times New Roman"/>
                <w:sz w:val="11"/>
                <w:szCs w:val="11"/>
                <w:b w:val="1"/>
                <w:bCs w:val="1"/>
                <w:color w:val="auto"/>
              </w:rPr>
              <w:t>Announced Plan</w:t>
            </w:r>
          </w:p>
        </w:tc>
        <w:tc>
          <w:tcPr>
            <w:tcW w:w="160" w:type="dxa"/>
            <w:vAlign w:val="bottom"/>
          </w:tcPr>
          <w:p>
            <w:pPr>
              <w:spacing w:after="0"/>
              <w:rPr>
                <w:sz w:val="10"/>
                <w:szCs w:val="10"/>
                <w:color w:val="auto"/>
              </w:rPr>
            </w:pPr>
          </w:p>
        </w:tc>
        <w:tc>
          <w:tcPr>
            <w:tcW w:w="860" w:type="dxa"/>
            <w:vAlign w:val="bottom"/>
          </w:tcPr>
          <w:p>
            <w:pPr>
              <w:jc w:val="center"/>
              <w:ind w:right="95"/>
              <w:spacing w:after="0" w:line="118" w:lineRule="exact"/>
              <w:rPr>
                <w:sz w:val="20"/>
                <w:szCs w:val="20"/>
                <w:color w:val="auto"/>
              </w:rPr>
            </w:pPr>
            <w:r>
              <w:rPr>
                <w:rFonts w:ascii="Times New Roman" w:cs="Times New Roman" w:eastAsia="Times New Roman" w:hAnsi="Times New Roman"/>
                <w:sz w:val="11"/>
                <w:szCs w:val="11"/>
                <w:b w:val="1"/>
                <w:bCs w:val="1"/>
                <w:color w:val="auto"/>
              </w:rPr>
              <w:t>the Plan or</w:t>
            </w:r>
          </w:p>
        </w:tc>
        <w:tc>
          <w:tcPr>
            <w:tcW w:w="0" w:type="dxa"/>
            <w:vAlign w:val="bottom"/>
          </w:tcPr>
          <w:p>
            <w:pPr>
              <w:spacing w:after="0"/>
              <w:rPr>
                <w:sz w:val="1"/>
                <w:szCs w:val="1"/>
                <w:color w:val="auto"/>
              </w:rPr>
            </w:pPr>
          </w:p>
        </w:tc>
      </w:tr>
      <w:tr>
        <w:trPr>
          <w:trHeight w:val="160"/>
        </w:trPr>
        <w:tc>
          <w:tcPr>
            <w:tcW w:w="3020" w:type="dxa"/>
            <w:vAlign w:val="bottom"/>
            <w:vMerge w:val="continue"/>
          </w:tcPr>
          <w:p>
            <w:pPr>
              <w:spacing w:after="0"/>
              <w:rPr>
                <w:sz w:val="13"/>
                <w:szCs w:val="13"/>
                <w:color w:val="auto"/>
              </w:rPr>
            </w:pPr>
          </w:p>
        </w:tc>
        <w:tc>
          <w:tcPr>
            <w:tcW w:w="1060" w:type="dxa"/>
            <w:vAlign w:val="bottom"/>
            <w:gridSpan w:val="2"/>
          </w:tcPr>
          <w:p>
            <w:pPr>
              <w:jc w:val="center"/>
              <w:ind w:right="120"/>
              <w:spacing w:after="0" w:line="160" w:lineRule="exact"/>
              <w:rPr>
                <w:sz w:val="20"/>
                <w:szCs w:val="20"/>
                <w:color w:val="auto"/>
              </w:rPr>
            </w:pPr>
            <w:r>
              <w:rPr>
                <w:rFonts w:ascii="Times New Roman" w:cs="Times New Roman" w:eastAsia="Times New Roman" w:hAnsi="Times New Roman"/>
                <w:sz w:val="11"/>
                <w:szCs w:val="11"/>
                <w:b w:val="1"/>
                <w:bCs w:val="1"/>
                <w:color w:val="auto"/>
                <w:w w:val="98"/>
              </w:rPr>
              <w:t xml:space="preserve">Purchased </w:t>
            </w:r>
            <w:r>
              <w:rPr>
                <w:rFonts w:ascii="Times New Roman" w:cs="Times New Roman" w:eastAsia="Times New Roman" w:hAnsi="Times New Roman"/>
                <w:sz w:val="14"/>
                <w:szCs w:val="14"/>
                <w:b w:val="1"/>
                <w:bCs w:val="1"/>
                <w:color w:val="auto"/>
                <w:w w:val="98"/>
                <w:vertAlign w:val="superscript"/>
              </w:rPr>
              <w:t>(1)</w:t>
            </w:r>
          </w:p>
        </w:tc>
        <w:tc>
          <w:tcPr>
            <w:tcW w:w="900" w:type="dxa"/>
            <w:vAlign w:val="bottom"/>
            <w:gridSpan w:val="3"/>
          </w:tcPr>
          <w:p>
            <w:pPr>
              <w:ind w:left="20"/>
              <w:spacing w:after="0"/>
              <w:rPr>
                <w:sz w:val="20"/>
                <w:szCs w:val="20"/>
                <w:color w:val="auto"/>
              </w:rPr>
            </w:pPr>
            <w:r>
              <w:rPr>
                <w:rFonts w:ascii="Times New Roman" w:cs="Times New Roman" w:eastAsia="Times New Roman" w:hAnsi="Times New Roman"/>
                <w:sz w:val="11"/>
                <w:szCs w:val="11"/>
                <w:b w:val="1"/>
                <w:bCs w:val="1"/>
                <w:color w:val="auto"/>
              </w:rPr>
              <w:t>Paid per Share</w:t>
            </w:r>
          </w:p>
        </w:tc>
        <w:tc>
          <w:tcPr>
            <w:tcW w:w="104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rPr>
              <w:t>or Program</w:t>
            </w:r>
          </w:p>
        </w:tc>
        <w:tc>
          <w:tcPr>
            <w:tcW w:w="160" w:type="dxa"/>
            <w:vAlign w:val="bottom"/>
          </w:tcPr>
          <w:p>
            <w:pPr>
              <w:spacing w:after="0"/>
              <w:rPr>
                <w:sz w:val="13"/>
                <w:szCs w:val="13"/>
                <w:color w:val="auto"/>
              </w:rPr>
            </w:pPr>
          </w:p>
        </w:tc>
        <w:tc>
          <w:tcPr>
            <w:tcW w:w="860" w:type="dxa"/>
            <w:vAlign w:val="bottom"/>
          </w:tcPr>
          <w:p>
            <w:pPr>
              <w:jc w:val="center"/>
              <w:ind w:right="95"/>
              <w:spacing w:after="0"/>
              <w:rPr>
                <w:sz w:val="20"/>
                <w:szCs w:val="20"/>
                <w:color w:val="auto"/>
              </w:rPr>
            </w:pPr>
            <w:r>
              <w:rPr>
                <w:rFonts w:ascii="Times New Roman" w:cs="Times New Roman" w:eastAsia="Times New Roman" w:hAnsi="Times New Roman"/>
                <w:sz w:val="11"/>
                <w:szCs w:val="11"/>
                <w:b w:val="1"/>
                <w:bCs w:val="1"/>
                <w:color w:val="auto"/>
                <w:w w:val="99"/>
              </w:rPr>
              <w:t>Program</w:t>
            </w:r>
          </w:p>
        </w:tc>
        <w:tc>
          <w:tcPr>
            <w:tcW w:w="0" w:type="dxa"/>
            <w:vAlign w:val="bottom"/>
          </w:tcPr>
          <w:p>
            <w:pPr>
              <w:spacing w:after="0"/>
              <w:rPr>
                <w:sz w:val="1"/>
                <w:szCs w:val="1"/>
                <w:color w:val="auto"/>
              </w:rPr>
            </w:pPr>
          </w:p>
        </w:tc>
      </w:tr>
      <w:tr>
        <w:trPr>
          <w:trHeight w:val="213"/>
        </w:trPr>
        <w:tc>
          <w:tcPr>
            <w:tcW w:w="3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January 1, 2024 - January 31, 2024</w:t>
            </w: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3"/>
        </w:trPr>
        <w:tc>
          <w:tcPr>
            <w:tcW w:w="3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February 1, 2024 - February 29, 2024</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251,682</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9.53</w:t>
            </w: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251,682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ind w:right="15"/>
              <w:spacing w:after="0"/>
              <w:rPr>
                <w:sz w:val="20"/>
                <w:szCs w:val="20"/>
                <w:color w:val="auto"/>
              </w:rPr>
            </w:pPr>
            <w:r>
              <w:rPr>
                <w:rFonts w:ascii="Times New Roman" w:cs="Times New Roman" w:eastAsia="Times New Roman" w:hAnsi="Times New Roman"/>
                <w:sz w:val="14"/>
                <w:szCs w:val="14"/>
                <w:color w:val="auto"/>
              </w:rPr>
              <w:t>347,601,764</w:t>
            </w:r>
          </w:p>
        </w:tc>
        <w:tc>
          <w:tcPr>
            <w:tcW w:w="0" w:type="dxa"/>
            <w:vAlign w:val="bottom"/>
          </w:tcPr>
          <w:p>
            <w:pPr>
              <w:spacing w:after="0"/>
              <w:rPr>
                <w:sz w:val="1"/>
                <w:szCs w:val="1"/>
                <w:color w:val="auto"/>
              </w:rPr>
            </w:pPr>
          </w:p>
        </w:tc>
      </w:tr>
      <w:tr>
        <w:trPr>
          <w:trHeight w:val="213"/>
        </w:trPr>
        <w:tc>
          <w:tcPr>
            <w:tcW w:w="3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March 1, 2024 - March 31, 2024</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11,688,835</w:t>
            </w:r>
          </w:p>
        </w:tc>
        <w:tc>
          <w:tcPr>
            <w:tcW w:w="1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9.11</w:t>
            </w:r>
          </w:p>
        </w:tc>
        <w:tc>
          <w:tcPr>
            <w:tcW w:w="120" w:type="dxa"/>
            <w:vAlign w:val="bottom"/>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11,688,835</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4"/>
                <w:szCs w:val="14"/>
                <w:color w:val="auto"/>
              </w:rPr>
              <w:t>241,138,639</w:t>
            </w:r>
          </w:p>
        </w:tc>
        <w:tc>
          <w:tcPr>
            <w:tcW w:w="0" w:type="dxa"/>
            <w:vAlign w:val="bottom"/>
          </w:tcPr>
          <w:p>
            <w:pPr>
              <w:spacing w:after="0"/>
              <w:rPr>
                <w:sz w:val="1"/>
                <w:szCs w:val="1"/>
                <w:color w:val="auto"/>
              </w:rPr>
            </w:pPr>
          </w:p>
        </w:tc>
      </w:tr>
      <w:tr>
        <w:trPr>
          <w:trHeight w:val="172"/>
        </w:trPr>
        <w:tc>
          <w:tcPr>
            <w:tcW w:w="3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11,940,517</w:t>
            </w:r>
          </w:p>
        </w:tc>
        <w:tc>
          <w:tcPr>
            <w:tcW w:w="120" w:type="dxa"/>
            <w:vAlign w:val="bottom"/>
          </w:tcPr>
          <w:p>
            <w:pPr>
              <w:spacing w:after="0"/>
              <w:rPr>
                <w:sz w:val="14"/>
                <w:szCs w:val="14"/>
                <w:color w:val="auto"/>
              </w:rPr>
            </w:pPr>
          </w:p>
        </w:tc>
        <w:tc>
          <w:tcPr>
            <w:tcW w:w="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9.12</w:t>
            </w:r>
          </w:p>
        </w:tc>
        <w:tc>
          <w:tcPr>
            <w:tcW w:w="120" w:type="dxa"/>
            <w:vAlign w:val="bottom"/>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11,940,517</w:t>
            </w:r>
          </w:p>
        </w:tc>
        <w:tc>
          <w:tcPr>
            <w:tcW w:w="100" w:type="dxa"/>
            <w:vAlign w:val="bottom"/>
          </w:tcPr>
          <w:p>
            <w:pPr>
              <w:spacing w:after="0"/>
              <w:rPr>
                <w:sz w:val="14"/>
                <w:szCs w:val="14"/>
                <w:color w:val="auto"/>
              </w:rPr>
            </w:pPr>
          </w:p>
        </w:tc>
        <w:tc>
          <w:tcPr>
            <w:tcW w:w="16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4"/>
                <w:szCs w:val="14"/>
                <w:color w:val="auto"/>
              </w:rPr>
              <w:t>241,138,639</w:t>
            </w:r>
          </w:p>
        </w:tc>
        <w:tc>
          <w:tcPr>
            <w:tcW w:w="0" w:type="dxa"/>
            <w:vAlign w:val="bottom"/>
          </w:tcPr>
          <w:p>
            <w:pPr>
              <w:spacing w:after="0"/>
              <w:rPr>
                <w:sz w:val="1"/>
                <w:szCs w:val="1"/>
                <w:color w:val="auto"/>
              </w:rPr>
            </w:pPr>
          </w:p>
        </w:tc>
      </w:tr>
      <w:tr>
        <w:trPr>
          <w:trHeight w:val="20"/>
        </w:trPr>
        <w:tc>
          <w:tcPr>
            <w:tcW w:w="30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(1) Excludes shares withheld to satisfy tax withholding obligations in connection with equity award vestings.</w:t>
      </w:r>
    </w:p>
    <w:p>
      <w:pPr>
        <w:spacing w:after="0" w:line="14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Other than the repurchases reflected in the table above, there were no purchases of equity securities by the issuer or affiliated purchasers during the quarter ended March 31, 2024.</w:t>
      </w: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3. Defaults Upon Senior Securities</w:t>
      </w:r>
    </w:p>
    <w:p>
      <w:pPr>
        <w:spacing w:after="0" w:line="16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Not applicable.</w:t>
      </w: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4. Mine Safety Disclosures</w:t>
      </w:r>
    </w:p>
    <w:p>
      <w:pPr>
        <w:spacing w:after="0" w:line="299"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171450</wp:posOffset>
            </wp:positionV>
            <wp:extent cx="7186930"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00" w:right="319" w:bottom="1440" w:gutter="0" w:footer="0" w:header="0"/>
        </w:sectPr>
      </w:pPr>
    </w:p>
    <w:bookmarkStart w:id="33" w:name="page34"/>
    <w:bookmarkEnd w:id="33"/>
    <w:p>
      <w:pPr>
        <w:ind w:left="320"/>
        <w:spacing w:after="0"/>
        <w:rPr>
          <w:sz w:val="20"/>
          <w:szCs w:val="20"/>
          <w:color w:val="auto"/>
        </w:rPr>
      </w:pPr>
      <w:r>
        <w:rPr>
          <w:rFonts w:ascii="Times New Roman" w:cs="Times New Roman" w:eastAsia="Times New Roman" w:hAnsi="Times New Roman"/>
          <w:sz w:val="14"/>
          <w:szCs w:val="14"/>
          <w:color w:val="auto"/>
        </w:rPr>
        <w:t>Not applicable.</w:t>
      </w: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5. Other Information</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Trading Agreements</w:t>
      </w:r>
    </w:p>
    <w:p>
      <w:pPr>
        <w:spacing w:after="0" w:line="150" w:lineRule="exact"/>
        <w:rPr>
          <w:sz w:val="20"/>
          <w:szCs w:val="20"/>
          <w:color w:val="auto"/>
        </w:rPr>
      </w:pPr>
    </w:p>
    <w:p>
      <w:pPr>
        <w:ind w:firstLine="307"/>
        <w:spacing w:after="0" w:line="289" w:lineRule="auto"/>
        <w:rPr>
          <w:sz w:val="20"/>
          <w:szCs w:val="20"/>
          <w:color w:val="auto"/>
        </w:rPr>
      </w:pPr>
      <w:r>
        <w:rPr>
          <w:rFonts w:ascii="Times New Roman" w:cs="Times New Roman" w:eastAsia="Times New Roman" w:hAnsi="Times New Roman"/>
          <w:sz w:val="14"/>
          <w:szCs w:val="14"/>
          <w:color w:val="auto"/>
        </w:rPr>
        <w:t>During the three months ended March 31, 2024, no director or Section 16 officer of the Company adopted or terminated a "Rule 10b5-1 trading agreement" or "non-Rule 10b5-1 trading agreement," as each term is defined in Item 408(a) of Regulation S-K.</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171450</wp:posOffset>
            </wp:positionV>
            <wp:extent cx="7186930"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02" w:right="31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4"/>
          <w:szCs w:val="14"/>
          <w:b w:val="1"/>
          <w:bCs w:val="1"/>
          <w:color w:val="auto"/>
        </w:rPr>
        <w:t>Item 6. Exhibits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12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rPr>
              <w:t>Exhibit</w:t>
            </w:r>
          </w:p>
        </w:tc>
        <w:tc>
          <w:tcPr>
            <w:tcW w:w="84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159"/>
        </w:trPr>
        <w:tc>
          <w:tcPr>
            <w:tcW w:w="112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rPr>
              <w:t>Number</w:t>
            </w:r>
          </w:p>
        </w:tc>
        <w:tc>
          <w:tcPr>
            <w:tcW w:w="84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2980" w:type="dxa"/>
            <w:vAlign w:val="bottom"/>
            <w:gridSpan w:val="3"/>
          </w:tcPr>
          <w:p>
            <w:pPr>
              <w:ind w:left="120"/>
              <w:spacing w:after="0"/>
              <w:rPr>
                <w:sz w:val="20"/>
                <w:szCs w:val="20"/>
                <w:color w:val="auto"/>
              </w:rPr>
            </w:pPr>
            <w:r>
              <w:rPr>
                <w:rFonts w:ascii="Times New Roman" w:cs="Times New Roman" w:eastAsia="Times New Roman" w:hAnsi="Times New Roman"/>
                <w:sz w:val="11"/>
                <w:szCs w:val="11"/>
                <w:b w:val="1"/>
                <w:bCs w:val="1"/>
                <w:color w:val="auto"/>
              </w:rPr>
              <w:t>Description</w:t>
            </w:r>
          </w:p>
        </w:tc>
      </w:tr>
      <w:tr>
        <w:trPr>
          <w:trHeight w:val="149"/>
        </w:trPr>
        <w:tc>
          <w:tcPr>
            <w:tcW w:w="1020" w:type="dxa"/>
            <w:vAlign w:val="bottom"/>
            <w:tcBorders>
              <w:top w:val="single" w:sz="8" w:color="auto"/>
            </w:tcBorders>
          </w:tcPr>
          <w:p>
            <w:pPr>
              <w:jc w:val="right"/>
              <w:ind w:right="756"/>
              <w:spacing w:after="0" w:line="149" w:lineRule="exact"/>
              <w:rPr>
                <w:sz w:val="20"/>
                <w:szCs w:val="20"/>
                <w:color w:val="auto"/>
              </w:rPr>
            </w:pPr>
            <w:r>
              <w:rPr>
                <w:rFonts w:ascii="Times New Roman" w:cs="Times New Roman" w:eastAsia="Times New Roman" w:hAnsi="Times New Roman"/>
                <w:sz w:val="14"/>
                <w:szCs w:val="14"/>
                <w:color w:val="auto"/>
              </w:rPr>
              <w:t>3.1</w:t>
            </w:r>
          </w:p>
        </w:tc>
        <w:tc>
          <w:tcPr>
            <w:tcW w:w="100" w:type="dxa"/>
            <w:vAlign w:val="bottom"/>
          </w:tcPr>
          <w:p>
            <w:pPr>
              <w:spacing w:after="0"/>
              <w:rPr>
                <w:sz w:val="12"/>
                <w:szCs w:val="12"/>
                <w:color w:val="auto"/>
              </w:rPr>
            </w:pPr>
          </w:p>
        </w:tc>
        <w:tc>
          <w:tcPr>
            <w:tcW w:w="5180" w:type="dxa"/>
            <w:vAlign w:val="bottom"/>
            <w:tcBorders>
              <w:top w:val="single" w:sz="8" w:color="auto"/>
            </w:tcBorders>
            <w:gridSpan w:val="5"/>
          </w:tcPr>
          <w:p>
            <w:pPr>
              <w:spacing w:after="0" w:line="149" w:lineRule="exact"/>
              <w:rPr>
                <w:rFonts w:ascii="Times New Roman" w:cs="Times New Roman" w:eastAsia="Times New Roman" w:hAnsi="Times New Roman"/>
                <w:sz w:val="14"/>
                <w:szCs w:val="14"/>
                <w:color w:val="0000FF"/>
              </w:rPr>
            </w:pPr>
            <w:hyperlink r:id="rId67">
              <w:r>
                <w:rPr>
                  <w:rFonts w:ascii="Times New Roman" w:cs="Times New Roman" w:eastAsia="Times New Roman" w:hAnsi="Times New Roman"/>
                  <w:sz w:val="14"/>
                  <w:szCs w:val="14"/>
                  <w:color w:val="0000FF"/>
                </w:rPr>
                <w:t>Second Amended and Restated Certificate of Incorporation of Garrett Motion Inc., dated</w:t>
              </w:r>
            </w:hyperlink>
          </w:p>
        </w:tc>
      </w:tr>
      <w:tr>
        <w:trPr>
          <w:trHeight w:val="140"/>
        </w:trPr>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Borders>
              <w:top w:val="single" w:sz="8" w:color="0000FF"/>
              <w:bottom w:val="single" w:sz="8" w:color="0000FF"/>
            </w:tcBorders>
          </w:tcPr>
          <w:p>
            <w:pPr>
              <w:spacing w:after="0" w:line="140" w:lineRule="exact"/>
              <w:rPr>
                <w:rFonts w:ascii="Times New Roman" w:cs="Times New Roman" w:eastAsia="Times New Roman" w:hAnsi="Times New Roman"/>
                <w:sz w:val="14"/>
                <w:szCs w:val="14"/>
                <w:color w:val="0000FF"/>
                <w:w w:val="99"/>
              </w:rPr>
            </w:pPr>
            <w:hyperlink r:id="rId67">
              <w:r>
                <w:rPr>
                  <w:rFonts w:ascii="Times New Roman" w:cs="Times New Roman" w:eastAsia="Times New Roman" w:hAnsi="Times New Roman"/>
                  <w:sz w:val="14"/>
                  <w:szCs w:val="14"/>
                  <w:color w:val="0000FF"/>
                  <w:w w:val="99"/>
                </w:rPr>
                <w:t>April 30, 2021</w:t>
              </w:r>
            </w:hyperlink>
          </w:p>
        </w:tc>
        <w:tc>
          <w:tcPr>
            <w:tcW w:w="4200" w:type="dxa"/>
            <w:vAlign w:val="bottom"/>
            <w:tcBorders>
              <w:top w:val="single" w:sz="8" w:color="0000FF"/>
            </w:tcBorders>
            <w:gridSpan w:val="3"/>
          </w:tcPr>
          <w:p>
            <w:pPr>
              <w:spacing w:after="0"/>
              <w:rPr>
                <w:sz w:val="12"/>
                <w:szCs w:val="12"/>
                <w:color w:val="auto"/>
              </w:rPr>
            </w:pPr>
          </w:p>
        </w:tc>
        <w:tc>
          <w:tcPr>
            <w:tcW w:w="140" w:type="dxa"/>
            <w:vAlign w:val="bottom"/>
          </w:tcPr>
          <w:p>
            <w:pPr>
              <w:spacing w:after="0"/>
              <w:rPr>
                <w:sz w:val="12"/>
                <w:szCs w:val="12"/>
                <w:color w:val="auto"/>
              </w:rPr>
            </w:pPr>
          </w:p>
        </w:tc>
      </w:tr>
      <w:tr>
        <w:trPr>
          <w:trHeight w:val="182"/>
        </w:trPr>
        <w:tc>
          <w:tcPr>
            <w:tcW w:w="1020" w:type="dxa"/>
            <w:vAlign w:val="bottom"/>
          </w:tcPr>
          <w:p>
            <w:pPr>
              <w:jc w:val="right"/>
              <w:ind w:right="756"/>
              <w:spacing w:after="0"/>
              <w:rPr>
                <w:sz w:val="20"/>
                <w:szCs w:val="20"/>
                <w:color w:val="auto"/>
              </w:rPr>
            </w:pPr>
            <w:r>
              <w:rPr>
                <w:rFonts w:ascii="Times New Roman" w:cs="Times New Roman" w:eastAsia="Times New Roman" w:hAnsi="Times New Roman"/>
                <w:sz w:val="14"/>
                <w:szCs w:val="14"/>
                <w:color w:val="auto"/>
              </w:rPr>
              <w:t>3.2</w:t>
            </w:r>
          </w:p>
        </w:tc>
        <w:tc>
          <w:tcPr>
            <w:tcW w:w="100" w:type="dxa"/>
            <w:vAlign w:val="bottom"/>
          </w:tcPr>
          <w:p>
            <w:pPr>
              <w:spacing w:after="0"/>
              <w:rPr>
                <w:sz w:val="15"/>
                <w:szCs w:val="15"/>
                <w:color w:val="auto"/>
              </w:rPr>
            </w:pPr>
          </w:p>
        </w:tc>
        <w:tc>
          <w:tcPr>
            <w:tcW w:w="5180" w:type="dxa"/>
            <w:vAlign w:val="bottom"/>
            <w:gridSpan w:val="5"/>
          </w:tcPr>
          <w:p>
            <w:pPr>
              <w:spacing w:after="0"/>
              <w:rPr>
                <w:rFonts w:ascii="Times New Roman" w:cs="Times New Roman" w:eastAsia="Times New Roman" w:hAnsi="Times New Roman"/>
                <w:sz w:val="14"/>
                <w:szCs w:val="14"/>
                <w:color w:val="0000FF"/>
              </w:rPr>
            </w:pPr>
            <w:hyperlink r:id="rId68">
              <w:r>
                <w:rPr>
                  <w:rFonts w:ascii="Times New Roman" w:cs="Times New Roman" w:eastAsia="Times New Roman" w:hAnsi="Times New Roman"/>
                  <w:sz w:val="14"/>
                  <w:szCs w:val="14"/>
                  <w:color w:val="0000FF"/>
                </w:rPr>
                <w:t>Amended and Restated Certificate of Designations of Series A Cumulative Convertible</w:t>
              </w:r>
            </w:hyperlink>
          </w:p>
        </w:tc>
      </w:tr>
      <w:tr>
        <w:trPr>
          <w:trHeight w:val="140"/>
        </w:trPr>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0" w:type="dxa"/>
            <w:vAlign w:val="bottom"/>
            <w:tcBorders>
              <w:top w:val="single" w:sz="8" w:color="0000FF"/>
              <w:bottom w:val="single" w:sz="8" w:color="0000FF"/>
            </w:tcBorders>
            <w:gridSpan w:val="2"/>
          </w:tcPr>
          <w:p>
            <w:pPr>
              <w:spacing w:after="0" w:line="140" w:lineRule="exact"/>
              <w:rPr>
                <w:rFonts w:ascii="Times New Roman" w:cs="Times New Roman" w:eastAsia="Times New Roman" w:hAnsi="Times New Roman"/>
                <w:sz w:val="14"/>
                <w:szCs w:val="14"/>
                <w:color w:val="0000FF"/>
              </w:rPr>
            </w:pPr>
            <w:hyperlink r:id="rId68">
              <w:r>
                <w:rPr>
                  <w:rFonts w:ascii="Times New Roman" w:cs="Times New Roman" w:eastAsia="Times New Roman" w:hAnsi="Times New Roman"/>
                  <w:sz w:val="14"/>
                  <w:szCs w:val="14"/>
                  <w:color w:val="0000FF"/>
                </w:rPr>
                <w:t>Preferred Stock of Garrett Motion Inc.</w:t>
              </w:r>
            </w:hyperlink>
          </w:p>
        </w:tc>
        <w:tc>
          <w:tcPr>
            <w:tcW w:w="2760" w:type="dxa"/>
            <w:vAlign w:val="bottom"/>
            <w:tcBorders>
              <w:top w:val="single" w:sz="8" w:color="0000FF"/>
            </w:tcBorders>
          </w:tcPr>
          <w:p>
            <w:pPr>
              <w:spacing w:after="0"/>
              <w:rPr>
                <w:sz w:val="12"/>
                <w:szCs w:val="12"/>
                <w:color w:val="auto"/>
              </w:rPr>
            </w:pPr>
          </w:p>
        </w:tc>
        <w:tc>
          <w:tcPr>
            <w:tcW w:w="220" w:type="dxa"/>
            <w:vAlign w:val="bottom"/>
            <w:gridSpan w:val="2"/>
          </w:tcPr>
          <w:p>
            <w:pPr>
              <w:spacing w:after="0"/>
              <w:rPr>
                <w:sz w:val="12"/>
                <w:szCs w:val="12"/>
                <w:color w:val="auto"/>
              </w:rPr>
            </w:pPr>
          </w:p>
        </w:tc>
      </w:tr>
    </w:tbl>
    <w:p>
      <w:pPr>
        <w:spacing w:after="0" w:line="20" w:lineRule="exact"/>
        <w:rPr>
          <w:sz w:val="20"/>
          <w:szCs w:val="20"/>
          <w:color w:val="auto"/>
        </w:rPr>
      </w:pPr>
      <w:r>
        <w:rPr>
          <w:sz w:val="20"/>
          <w:szCs w:val="20"/>
          <w:color w:val="auto"/>
        </w:rPr>
        <w:br w:type="column"/>
      </w:r>
    </w:p>
    <w:p>
      <w:pPr>
        <w:spacing w:after="0" w:line="19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59"/>
        </w:trPr>
        <w:tc>
          <w:tcPr>
            <w:tcW w:w="6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940" w:type="dxa"/>
            <w:vAlign w:val="bottom"/>
            <w:tcBorders>
              <w:bottom w:val="single" w:sz="8" w:color="auto"/>
            </w:tcBorders>
            <w:gridSpan w:val="4"/>
          </w:tcPr>
          <w:p>
            <w:pPr>
              <w:ind w:left="560"/>
              <w:spacing w:after="0"/>
              <w:rPr>
                <w:sz w:val="20"/>
                <w:szCs w:val="20"/>
                <w:color w:val="auto"/>
              </w:rPr>
            </w:pPr>
            <w:r>
              <w:rPr>
                <w:rFonts w:ascii="Times New Roman" w:cs="Times New Roman" w:eastAsia="Times New Roman" w:hAnsi="Times New Roman"/>
                <w:sz w:val="11"/>
                <w:szCs w:val="11"/>
                <w:b w:val="1"/>
                <w:bCs w:val="1"/>
                <w:color w:val="auto"/>
              </w:rPr>
              <w:t>Incorporated by Reference</w:t>
            </w:r>
          </w:p>
        </w:tc>
        <w:tc>
          <w:tcPr>
            <w:tcW w:w="1180" w:type="dxa"/>
            <w:vAlign w:val="bottom"/>
            <w:tcBorders>
              <w:bottom w:val="single" w:sz="8" w:color="auto"/>
            </w:tcBorders>
          </w:tcPr>
          <w:p>
            <w:pPr>
              <w:spacing w:after="0"/>
              <w:rPr>
                <w:sz w:val="13"/>
                <w:szCs w:val="13"/>
                <w:color w:val="auto"/>
              </w:rPr>
            </w:pPr>
          </w:p>
        </w:tc>
        <w:tc>
          <w:tcPr>
            <w:tcW w:w="980" w:type="dxa"/>
            <w:vAlign w:val="bottom"/>
          </w:tcPr>
          <w:p>
            <w:pPr>
              <w:spacing w:after="0"/>
              <w:rPr>
                <w:sz w:val="13"/>
                <w:szCs w:val="13"/>
                <w:color w:val="auto"/>
              </w:rPr>
            </w:pPr>
          </w:p>
        </w:tc>
      </w:tr>
      <w:tr>
        <w:trPr>
          <w:trHeight w:val="151"/>
        </w:trPr>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Filing</w:t>
            </w:r>
          </w:p>
        </w:tc>
        <w:tc>
          <w:tcPr>
            <w:tcW w:w="980" w:type="dxa"/>
            <w:vAlign w:val="bottom"/>
          </w:tcPr>
          <w:p>
            <w:pPr>
              <w:jc w:val="center"/>
              <w:ind w:left="123"/>
              <w:spacing w:after="0"/>
              <w:rPr>
                <w:sz w:val="20"/>
                <w:szCs w:val="20"/>
                <w:color w:val="auto"/>
              </w:rPr>
            </w:pPr>
            <w:r>
              <w:rPr>
                <w:rFonts w:ascii="Times New Roman" w:cs="Times New Roman" w:eastAsia="Times New Roman" w:hAnsi="Times New Roman"/>
                <w:sz w:val="11"/>
                <w:szCs w:val="11"/>
                <w:b w:val="1"/>
                <w:bCs w:val="1"/>
                <w:color w:val="auto"/>
              </w:rPr>
              <w:t>Filed/ Furnished</w:t>
            </w:r>
          </w:p>
        </w:tc>
      </w:tr>
      <w:tr>
        <w:trPr>
          <w:trHeight w:val="159"/>
        </w:trPr>
        <w:tc>
          <w:tcPr>
            <w:tcW w:w="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8"/>
              </w:rPr>
              <w:t>Form</w:t>
            </w:r>
          </w:p>
        </w:tc>
        <w:tc>
          <w:tcPr>
            <w:tcW w:w="100" w:type="dxa"/>
            <w:vAlign w:val="bottom"/>
          </w:tcPr>
          <w:p>
            <w:pPr>
              <w:spacing w:after="0"/>
              <w:rPr>
                <w:sz w:val="13"/>
                <w:szCs w:val="13"/>
                <w:color w:val="auto"/>
              </w:rPr>
            </w:pPr>
          </w:p>
        </w:tc>
        <w:tc>
          <w:tcPr>
            <w:tcW w:w="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File No.</w:t>
            </w:r>
          </w:p>
        </w:tc>
        <w:tc>
          <w:tcPr>
            <w:tcW w:w="80" w:type="dxa"/>
            <w:vAlign w:val="bottom"/>
          </w:tcPr>
          <w:p>
            <w:pPr>
              <w:spacing w:after="0"/>
              <w:rPr>
                <w:sz w:val="13"/>
                <w:szCs w:val="13"/>
                <w:color w:val="auto"/>
              </w:rPr>
            </w:pPr>
          </w:p>
        </w:tc>
        <w:tc>
          <w:tcPr>
            <w:tcW w:w="1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Exhibit</w:t>
            </w:r>
          </w:p>
        </w:tc>
        <w:tc>
          <w:tcPr>
            <w:tcW w:w="80" w:type="dxa"/>
            <w:vAlign w:val="bottom"/>
          </w:tcPr>
          <w:p>
            <w:pPr>
              <w:spacing w:after="0"/>
              <w:rPr>
                <w:sz w:val="13"/>
                <w:szCs w:val="13"/>
                <w:color w:val="auto"/>
              </w:rPr>
            </w:pPr>
          </w:p>
        </w:tc>
        <w:tc>
          <w:tcPr>
            <w:tcW w:w="1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Date</w:t>
            </w:r>
          </w:p>
        </w:tc>
        <w:tc>
          <w:tcPr>
            <w:tcW w:w="980" w:type="dxa"/>
            <w:vAlign w:val="bottom"/>
          </w:tcPr>
          <w:p>
            <w:pPr>
              <w:jc w:val="center"/>
              <w:ind w:left="103"/>
              <w:spacing w:after="0"/>
              <w:rPr>
                <w:sz w:val="20"/>
                <w:szCs w:val="20"/>
                <w:color w:val="auto"/>
              </w:rPr>
            </w:pPr>
            <w:r>
              <w:rPr>
                <w:rFonts w:ascii="Times New Roman" w:cs="Times New Roman" w:eastAsia="Times New Roman" w:hAnsi="Times New Roman"/>
                <w:sz w:val="11"/>
                <w:szCs w:val="11"/>
                <w:b w:val="1"/>
                <w:bCs w:val="1"/>
                <w:color w:val="auto"/>
              </w:rPr>
              <w:t>Herewith</w:t>
            </w:r>
          </w:p>
        </w:tc>
      </w:tr>
      <w:tr>
        <w:trPr>
          <w:trHeight w:val="191"/>
        </w:trPr>
        <w:tc>
          <w:tcPr>
            <w:tcW w:w="7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8-K</w:t>
            </w: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001-38636</w:t>
            </w:r>
          </w:p>
        </w:tc>
        <w:tc>
          <w:tcPr>
            <w:tcW w:w="80" w:type="dxa"/>
            <w:vAlign w:val="bottom"/>
          </w:tcPr>
          <w:p>
            <w:pPr>
              <w:spacing w:after="0"/>
              <w:rPr>
                <w:sz w:val="16"/>
                <w:szCs w:val="16"/>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1"/>
              </w:rPr>
              <w:t>3.1</w:t>
            </w:r>
          </w:p>
        </w:tc>
        <w:tc>
          <w:tcPr>
            <w:tcW w:w="80" w:type="dxa"/>
            <w:vAlign w:val="bottom"/>
          </w:tcPr>
          <w:p>
            <w:pPr>
              <w:spacing w:after="0"/>
              <w:rPr>
                <w:sz w:val="16"/>
                <w:szCs w:val="16"/>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04/30/2021</w:t>
            </w:r>
          </w:p>
        </w:tc>
        <w:tc>
          <w:tcPr>
            <w:tcW w:w="980" w:type="dxa"/>
            <w:vAlign w:val="bottom"/>
          </w:tcPr>
          <w:p>
            <w:pPr>
              <w:spacing w:after="0"/>
              <w:rPr>
                <w:sz w:val="16"/>
                <w:szCs w:val="16"/>
                <w:color w:val="auto"/>
              </w:rPr>
            </w:pPr>
          </w:p>
        </w:tc>
      </w:tr>
      <w:tr>
        <w:trPr>
          <w:trHeight w:val="362"/>
        </w:trPr>
        <w:tc>
          <w:tcPr>
            <w:tcW w:w="7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DEF14C</w:t>
            </w: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001-38636</w:t>
            </w:r>
          </w:p>
        </w:tc>
        <w:tc>
          <w:tcPr>
            <w:tcW w:w="80" w:type="dxa"/>
            <w:vAlign w:val="bottom"/>
          </w:tcPr>
          <w:p>
            <w:pPr>
              <w:spacing w:after="0"/>
              <w:rPr>
                <w:sz w:val="24"/>
                <w:szCs w:val="24"/>
                <w:color w:val="auto"/>
              </w:rPr>
            </w:pPr>
          </w:p>
        </w:tc>
        <w:tc>
          <w:tcPr>
            <w:tcW w:w="11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Appendix B-1</w:t>
            </w:r>
          </w:p>
        </w:tc>
        <w:tc>
          <w:tcPr>
            <w:tcW w:w="11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05/15/2023</w:t>
            </w:r>
          </w:p>
        </w:tc>
        <w:tc>
          <w:tcPr>
            <w:tcW w:w="980" w:type="dxa"/>
            <w:vAlign w:val="bottom"/>
          </w:tcPr>
          <w:p>
            <w:pPr>
              <w:spacing w:after="0"/>
              <w:rPr>
                <w:sz w:val="24"/>
                <w:szCs w:val="24"/>
                <w:color w:val="auto"/>
              </w:rPr>
            </w:pPr>
          </w:p>
        </w:tc>
      </w:tr>
    </w:tbl>
    <w:p>
      <w:pPr>
        <w:spacing w:after="0" w:line="169" w:lineRule="exact"/>
        <w:rPr>
          <w:sz w:val="20"/>
          <w:szCs w:val="20"/>
          <w:color w:val="auto"/>
        </w:rPr>
      </w:pPr>
    </w:p>
    <w:p>
      <w:pPr>
        <w:sectPr>
          <w:pgSz w:w="11900" w:h="16838" w:orient="portrait"/>
          <w:cols w:equalWidth="0" w:num="2">
            <w:col w:w="6300" w:space="100"/>
            <w:col w:w="4820"/>
          </w:cols>
          <w:pgMar w:left="300" w:top="900" w:right="379" w:bottom="1440" w:gutter="0" w:footer="0" w:header="0"/>
        </w:sectPr>
      </w:pPr>
    </w:p>
    <w:tbl>
      <w:tblPr>
        <w:tblLayout w:type="fixed"/>
        <w:tblInd w:w="20" w:type="dxa"/>
        <w:tblCellMar>
          <w:top w:w="0" w:type="dxa"/>
          <w:left w:w="0" w:type="dxa"/>
          <w:bottom w:w="0" w:type="dxa"/>
          <w:right w:w="0" w:type="dxa"/>
        </w:tblCellMar>
      </w:tblPr>
      <w:tr>
        <w:trPr>
          <w:trHeight w:val="161"/>
        </w:trPr>
        <w:tc>
          <w:tcPr>
            <w:tcW w:w="1100" w:type="dxa"/>
            <w:vAlign w:val="bottom"/>
          </w:tcPr>
          <w:p>
            <w:pPr>
              <w:spacing w:after="0"/>
              <w:rPr>
                <w:sz w:val="20"/>
                <w:szCs w:val="20"/>
                <w:color w:val="auto"/>
              </w:rPr>
            </w:pPr>
            <w:r>
              <w:rPr>
                <w:rFonts w:ascii="Times New Roman" w:cs="Times New Roman" w:eastAsia="Times New Roman" w:hAnsi="Times New Roman"/>
                <w:sz w:val="14"/>
                <w:szCs w:val="14"/>
                <w:color w:val="auto"/>
              </w:rPr>
              <w:t>3.3</w:t>
            </w:r>
          </w:p>
        </w:tc>
        <w:tc>
          <w:tcPr>
            <w:tcW w:w="3780" w:type="dxa"/>
            <w:vAlign w:val="bottom"/>
            <w:tcBorders>
              <w:bottom w:val="single" w:sz="8" w:color="0000FF"/>
            </w:tcBorders>
            <w:gridSpan w:val="3"/>
          </w:tcPr>
          <w:p>
            <w:pPr>
              <w:spacing w:after="0"/>
              <w:rPr>
                <w:rFonts w:ascii="Times New Roman" w:cs="Times New Roman" w:eastAsia="Times New Roman" w:hAnsi="Times New Roman"/>
                <w:sz w:val="14"/>
                <w:szCs w:val="14"/>
                <w:color w:val="0000FF"/>
              </w:rPr>
            </w:pPr>
            <w:hyperlink r:id="rId69">
              <w:r>
                <w:rPr>
                  <w:rFonts w:ascii="Times New Roman" w:cs="Times New Roman" w:eastAsia="Times New Roman" w:hAnsi="Times New Roman"/>
                  <w:sz w:val="14"/>
                  <w:szCs w:val="14"/>
                  <w:color w:val="0000FF"/>
                </w:rPr>
                <w:t>Certificate of Elimination with respect to Series A Preferred Stock</w:t>
              </w:r>
            </w:hyperlink>
          </w:p>
        </w:tc>
        <w:tc>
          <w:tcPr>
            <w:tcW w:w="1520" w:type="dxa"/>
            <w:vAlign w:val="bottom"/>
            <w:gridSpan w:val="8"/>
          </w:tcPr>
          <w:p>
            <w:pPr>
              <w:spacing w:after="0"/>
              <w:rPr>
                <w:sz w:val="13"/>
                <w:szCs w:val="13"/>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10-Q</w:t>
            </w:r>
          </w:p>
        </w:tc>
        <w:tc>
          <w:tcPr>
            <w:tcW w:w="1060" w:type="dxa"/>
            <w:vAlign w:val="bottom"/>
          </w:tcPr>
          <w:p>
            <w:pPr>
              <w:jc w:val="right"/>
              <w:ind w:right="209"/>
              <w:spacing w:after="0"/>
              <w:rPr>
                <w:sz w:val="20"/>
                <w:szCs w:val="20"/>
                <w:color w:val="auto"/>
              </w:rPr>
            </w:pPr>
            <w:r>
              <w:rPr>
                <w:rFonts w:ascii="Times New Roman" w:cs="Times New Roman" w:eastAsia="Times New Roman" w:hAnsi="Times New Roman"/>
                <w:sz w:val="14"/>
                <w:szCs w:val="14"/>
                <w:color w:val="auto"/>
              </w:rPr>
              <w:t>001-38636</w:t>
            </w:r>
          </w:p>
        </w:tc>
        <w:tc>
          <w:tcPr>
            <w:tcW w:w="860" w:type="dxa"/>
            <w:vAlign w:val="bottom"/>
          </w:tcPr>
          <w:p>
            <w:pPr>
              <w:jc w:val="right"/>
              <w:ind w:right="329"/>
              <w:spacing w:after="0"/>
              <w:rPr>
                <w:sz w:val="20"/>
                <w:szCs w:val="20"/>
                <w:color w:val="auto"/>
              </w:rPr>
            </w:pPr>
            <w:r>
              <w:rPr>
                <w:rFonts w:ascii="Times New Roman" w:cs="Times New Roman" w:eastAsia="Times New Roman" w:hAnsi="Times New Roman"/>
                <w:sz w:val="14"/>
                <w:szCs w:val="14"/>
                <w:color w:val="auto"/>
              </w:rPr>
              <w:t>3.4</w:t>
            </w:r>
          </w:p>
        </w:tc>
        <w:tc>
          <w:tcPr>
            <w:tcW w:w="1940" w:type="dxa"/>
            <w:vAlign w:val="bottom"/>
          </w:tcPr>
          <w:p>
            <w:pPr>
              <w:jc w:val="right"/>
              <w:ind w:right="829"/>
              <w:spacing w:after="0"/>
              <w:rPr>
                <w:sz w:val="20"/>
                <w:szCs w:val="20"/>
                <w:color w:val="auto"/>
              </w:rPr>
            </w:pPr>
            <w:r>
              <w:rPr>
                <w:rFonts w:ascii="Times New Roman" w:cs="Times New Roman" w:eastAsia="Times New Roman" w:hAnsi="Times New Roman"/>
                <w:sz w:val="14"/>
                <w:szCs w:val="14"/>
                <w:color w:val="auto"/>
              </w:rPr>
              <w:t>07/27/2023</w:t>
            </w:r>
          </w:p>
        </w:tc>
        <w:tc>
          <w:tcPr>
            <w:tcW w:w="0" w:type="dxa"/>
            <w:vAlign w:val="bottom"/>
          </w:tcPr>
          <w:p>
            <w:pPr>
              <w:spacing w:after="0"/>
              <w:rPr>
                <w:sz w:val="1"/>
                <w:szCs w:val="1"/>
                <w:color w:val="auto"/>
              </w:rPr>
            </w:pPr>
          </w:p>
        </w:tc>
      </w:tr>
      <w:tr>
        <w:trPr>
          <w:trHeight w:val="182"/>
        </w:trPr>
        <w:tc>
          <w:tcPr>
            <w:tcW w:w="1100" w:type="dxa"/>
            <w:vAlign w:val="bottom"/>
          </w:tcPr>
          <w:p>
            <w:pPr>
              <w:spacing w:after="0"/>
              <w:rPr>
                <w:sz w:val="20"/>
                <w:szCs w:val="20"/>
                <w:color w:val="auto"/>
              </w:rPr>
            </w:pPr>
            <w:r>
              <w:rPr>
                <w:rFonts w:ascii="Times New Roman" w:cs="Times New Roman" w:eastAsia="Times New Roman" w:hAnsi="Times New Roman"/>
                <w:sz w:val="14"/>
                <w:szCs w:val="14"/>
                <w:color w:val="auto"/>
              </w:rPr>
              <w:t>3.4</w:t>
            </w:r>
          </w:p>
        </w:tc>
        <w:tc>
          <w:tcPr>
            <w:tcW w:w="3820" w:type="dxa"/>
            <w:vAlign w:val="bottom"/>
            <w:tcBorders>
              <w:bottom w:val="single" w:sz="8" w:color="0000FF"/>
            </w:tcBorders>
            <w:gridSpan w:val="4"/>
          </w:tcPr>
          <w:p>
            <w:pPr>
              <w:spacing w:after="0"/>
              <w:rPr>
                <w:rFonts w:ascii="Times New Roman" w:cs="Times New Roman" w:eastAsia="Times New Roman" w:hAnsi="Times New Roman"/>
                <w:sz w:val="14"/>
                <w:szCs w:val="14"/>
                <w:color w:val="0000FF"/>
              </w:rPr>
            </w:pPr>
            <w:hyperlink r:id="rId70">
              <w:r>
                <w:rPr>
                  <w:rFonts w:ascii="Times New Roman" w:cs="Times New Roman" w:eastAsia="Times New Roman" w:hAnsi="Times New Roman"/>
                  <w:sz w:val="14"/>
                  <w:szCs w:val="14"/>
                  <w:color w:val="0000FF"/>
                </w:rPr>
                <w:t>Certificate of Elimination with Respect to Series B Preferred Stock</w:t>
              </w:r>
            </w:hyperlink>
          </w:p>
        </w:tc>
        <w:tc>
          <w:tcPr>
            <w:tcW w:w="1480" w:type="dxa"/>
            <w:vAlign w:val="bottom"/>
            <w:gridSpan w:val="7"/>
          </w:tcPr>
          <w:p>
            <w:pPr>
              <w:spacing w:after="0"/>
              <w:rPr>
                <w:sz w:val="15"/>
                <w:szCs w:val="15"/>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10-Q</w:t>
            </w:r>
          </w:p>
        </w:tc>
        <w:tc>
          <w:tcPr>
            <w:tcW w:w="1060" w:type="dxa"/>
            <w:vAlign w:val="bottom"/>
          </w:tcPr>
          <w:p>
            <w:pPr>
              <w:jc w:val="right"/>
              <w:ind w:right="209"/>
              <w:spacing w:after="0"/>
              <w:rPr>
                <w:sz w:val="20"/>
                <w:szCs w:val="20"/>
                <w:color w:val="auto"/>
              </w:rPr>
            </w:pPr>
            <w:r>
              <w:rPr>
                <w:rFonts w:ascii="Times New Roman" w:cs="Times New Roman" w:eastAsia="Times New Roman" w:hAnsi="Times New Roman"/>
                <w:sz w:val="14"/>
                <w:szCs w:val="14"/>
                <w:color w:val="auto"/>
              </w:rPr>
              <w:t>001-38636</w:t>
            </w:r>
          </w:p>
        </w:tc>
        <w:tc>
          <w:tcPr>
            <w:tcW w:w="860" w:type="dxa"/>
            <w:vAlign w:val="bottom"/>
          </w:tcPr>
          <w:p>
            <w:pPr>
              <w:jc w:val="right"/>
              <w:ind w:right="329"/>
              <w:spacing w:after="0"/>
              <w:rPr>
                <w:sz w:val="20"/>
                <w:szCs w:val="20"/>
                <w:color w:val="auto"/>
              </w:rPr>
            </w:pPr>
            <w:r>
              <w:rPr>
                <w:rFonts w:ascii="Times New Roman" w:cs="Times New Roman" w:eastAsia="Times New Roman" w:hAnsi="Times New Roman"/>
                <w:sz w:val="14"/>
                <w:szCs w:val="14"/>
                <w:color w:val="auto"/>
              </w:rPr>
              <w:t>3.5</w:t>
            </w:r>
          </w:p>
        </w:tc>
        <w:tc>
          <w:tcPr>
            <w:tcW w:w="1940" w:type="dxa"/>
            <w:vAlign w:val="bottom"/>
          </w:tcPr>
          <w:p>
            <w:pPr>
              <w:jc w:val="right"/>
              <w:ind w:right="829"/>
              <w:spacing w:after="0"/>
              <w:rPr>
                <w:sz w:val="20"/>
                <w:szCs w:val="20"/>
                <w:color w:val="auto"/>
              </w:rPr>
            </w:pPr>
            <w:r>
              <w:rPr>
                <w:rFonts w:ascii="Times New Roman" w:cs="Times New Roman" w:eastAsia="Times New Roman" w:hAnsi="Times New Roman"/>
                <w:sz w:val="14"/>
                <w:szCs w:val="14"/>
                <w:color w:val="auto"/>
              </w:rPr>
              <w:t>07/27/2023</w:t>
            </w:r>
          </w:p>
        </w:tc>
        <w:tc>
          <w:tcPr>
            <w:tcW w:w="0" w:type="dxa"/>
            <w:vAlign w:val="bottom"/>
          </w:tcPr>
          <w:p>
            <w:pPr>
              <w:spacing w:after="0"/>
              <w:rPr>
                <w:sz w:val="1"/>
                <w:szCs w:val="1"/>
                <w:color w:val="auto"/>
              </w:rPr>
            </w:pPr>
          </w:p>
        </w:tc>
      </w:tr>
      <w:tr>
        <w:trPr>
          <w:trHeight w:val="182"/>
        </w:trPr>
        <w:tc>
          <w:tcPr>
            <w:tcW w:w="1100" w:type="dxa"/>
            <w:vAlign w:val="bottom"/>
          </w:tcPr>
          <w:p>
            <w:pPr>
              <w:spacing w:after="0"/>
              <w:rPr>
                <w:sz w:val="20"/>
                <w:szCs w:val="20"/>
                <w:color w:val="auto"/>
              </w:rPr>
            </w:pPr>
            <w:r>
              <w:rPr>
                <w:rFonts w:ascii="Times New Roman" w:cs="Times New Roman" w:eastAsia="Times New Roman" w:hAnsi="Times New Roman"/>
                <w:sz w:val="14"/>
                <w:szCs w:val="14"/>
                <w:color w:val="auto"/>
              </w:rPr>
              <w:t>3.5</w:t>
            </w:r>
          </w:p>
        </w:tc>
        <w:tc>
          <w:tcPr>
            <w:tcW w:w="5300" w:type="dxa"/>
            <w:vAlign w:val="bottom"/>
            <w:gridSpan w:val="11"/>
          </w:tcPr>
          <w:p>
            <w:pPr>
              <w:spacing w:after="0"/>
              <w:rPr>
                <w:rFonts w:ascii="Times New Roman" w:cs="Times New Roman" w:eastAsia="Times New Roman" w:hAnsi="Times New Roman"/>
                <w:sz w:val="14"/>
                <w:szCs w:val="14"/>
                <w:color w:val="0000FF"/>
              </w:rPr>
            </w:pPr>
            <w:hyperlink r:id="rId71">
              <w:r>
                <w:rPr>
                  <w:rFonts w:ascii="Times New Roman" w:cs="Times New Roman" w:eastAsia="Times New Roman" w:hAnsi="Times New Roman"/>
                  <w:sz w:val="14"/>
                  <w:szCs w:val="14"/>
                  <w:color w:val="0000FF"/>
                </w:rPr>
                <w:t>Fourth Amended and Restated By-laws of Garrett Motion Inc.</w:t>
              </w:r>
            </w:hyperlink>
          </w:p>
        </w:tc>
        <w:tc>
          <w:tcPr>
            <w:tcW w:w="6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8-K</w:t>
            </w:r>
          </w:p>
        </w:tc>
        <w:tc>
          <w:tcPr>
            <w:tcW w:w="1060" w:type="dxa"/>
            <w:vAlign w:val="bottom"/>
          </w:tcPr>
          <w:p>
            <w:pPr>
              <w:jc w:val="right"/>
              <w:ind w:right="209"/>
              <w:spacing w:after="0"/>
              <w:rPr>
                <w:sz w:val="20"/>
                <w:szCs w:val="20"/>
                <w:color w:val="auto"/>
              </w:rPr>
            </w:pPr>
            <w:r>
              <w:rPr>
                <w:rFonts w:ascii="Times New Roman" w:cs="Times New Roman" w:eastAsia="Times New Roman" w:hAnsi="Times New Roman"/>
                <w:sz w:val="14"/>
                <w:szCs w:val="14"/>
                <w:color w:val="auto"/>
              </w:rPr>
              <w:t>001-38636</w:t>
            </w:r>
          </w:p>
        </w:tc>
        <w:tc>
          <w:tcPr>
            <w:tcW w:w="860" w:type="dxa"/>
            <w:vAlign w:val="bottom"/>
          </w:tcPr>
          <w:p>
            <w:pPr>
              <w:jc w:val="right"/>
              <w:ind w:right="329"/>
              <w:spacing w:after="0"/>
              <w:rPr>
                <w:sz w:val="20"/>
                <w:szCs w:val="20"/>
                <w:color w:val="auto"/>
              </w:rPr>
            </w:pPr>
            <w:r>
              <w:rPr>
                <w:rFonts w:ascii="Times New Roman" w:cs="Times New Roman" w:eastAsia="Times New Roman" w:hAnsi="Times New Roman"/>
                <w:sz w:val="14"/>
                <w:szCs w:val="14"/>
                <w:color w:val="auto"/>
              </w:rPr>
              <w:t>3.1</w:t>
            </w:r>
          </w:p>
        </w:tc>
        <w:tc>
          <w:tcPr>
            <w:tcW w:w="1940" w:type="dxa"/>
            <w:vAlign w:val="bottom"/>
          </w:tcPr>
          <w:p>
            <w:pPr>
              <w:jc w:val="right"/>
              <w:ind w:right="829"/>
              <w:spacing w:after="0"/>
              <w:rPr>
                <w:sz w:val="20"/>
                <w:szCs w:val="20"/>
                <w:color w:val="auto"/>
              </w:rPr>
            </w:pPr>
            <w:r>
              <w:rPr>
                <w:rFonts w:ascii="Times New Roman" w:cs="Times New Roman" w:eastAsia="Times New Roman" w:hAnsi="Times New Roman"/>
                <w:sz w:val="14"/>
                <w:szCs w:val="14"/>
                <w:color w:val="auto"/>
              </w:rPr>
              <w:t>12/07/2023</w:t>
            </w:r>
          </w:p>
        </w:tc>
        <w:tc>
          <w:tcPr>
            <w:tcW w:w="0" w:type="dxa"/>
            <w:vAlign w:val="bottom"/>
          </w:tcPr>
          <w:p>
            <w:pPr>
              <w:spacing w:after="0"/>
              <w:rPr>
                <w:sz w:val="1"/>
                <w:szCs w:val="1"/>
                <w:color w:val="auto"/>
              </w:rPr>
            </w:pPr>
          </w:p>
        </w:tc>
      </w:tr>
      <w:tr>
        <w:trPr>
          <w:trHeight w:val="20"/>
        </w:trPr>
        <w:tc>
          <w:tcPr>
            <w:tcW w:w="110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31.1</w:t>
            </w:r>
          </w:p>
        </w:tc>
        <w:tc>
          <w:tcPr>
            <w:tcW w:w="1660" w:type="dxa"/>
            <w:vAlign w:val="bottom"/>
            <w:shd w:val="clear" w:color="auto" w:fill="0000FF"/>
          </w:tcPr>
          <w:p>
            <w:pPr>
              <w:spacing w:after="0" w:line="20" w:lineRule="exact"/>
              <w:rPr>
                <w:sz w:val="1"/>
                <w:szCs w:val="1"/>
                <w:color w:val="auto"/>
              </w:rPr>
            </w:pPr>
          </w:p>
        </w:tc>
        <w:tc>
          <w:tcPr>
            <w:tcW w:w="1880" w:type="dxa"/>
            <w:vAlign w:val="bottom"/>
            <w:shd w:val="clear" w:color="auto" w:fill="0000FF"/>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940" w:type="dxa"/>
            <w:vAlign w:val="bottom"/>
            <w:vMerge w:val="restart"/>
          </w:tcPr>
          <w:p>
            <w:pPr>
              <w:jc w:val="center"/>
              <w:ind w:left="1729"/>
              <w:spacing w:after="0"/>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line="20" w:lineRule="exact"/>
              <w:rPr>
                <w:sz w:val="1"/>
                <w:szCs w:val="1"/>
                <w:color w:val="auto"/>
              </w:rPr>
            </w:pPr>
          </w:p>
        </w:tc>
      </w:tr>
      <w:tr>
        <w:trPr>
          <w:trHeight w:val="193"/>
        </w:trPr>
        <w:tc>
          <w:tcPr>
            <w:tcW w:w="1100" w:type="dxa"/>
            <w:vAlign w:val="bottom"/>
            <w:vMerge w:val="continue"/>
          </w:tcPr>
          <w:p>
            <w:pPr>
              <w:spacing w:after="0"/>
              <w:rPr>
                <w:sz w:val="16"/>
                <w:szCs w:val="16"/>
                <w:color w:val="auto"/>
              </w:rPr>
            </w:pPr>
          </w:p>
        </w:tc>
        <w:tc>
          <w:tcPr>
            <w:tcW w:w="4940" w:type="dxa"/>
            <w:vAlign w:val="bottom"/>
            <w:tcBorders>
              <w:bottom w:val="single" w:sz="8" w:color="auto"/>
            </w:tcBorders>
            <w:gridSpan w:val="10"/>
          </w:tcPr>
          <w:p>
            <w:pPr>
              <w:spacing w:after="0"/>
              <w:rPr>
                <w:sz w:val="20"/>
                <w:szCs w:val="20"/>
                <w:color w:val="auto"/>
              </w:rPr>
            </w:pPr>
            <w:r>
              <w:rPr>
                <w:rFonts w:ascii="Times New Roman" w:cs="Times New Roman" w:eastAsia="Times New Roman" w:hAnsi="Times New Roman"/>
                <w:sz w:val="14"/>
                <w:szCs w:val="14"/>
                <w:color w:val="auto"/>
              </w:rPr>
              <w:t>Certification of Principal Executive Officer Pursuant to Rules 13a-14(a) and 15d-14(a)</w:t>
            </w:r>
          </w:p>
        </w:tc>
        <w:tc>
          <w:tcPr>
            <w:tcW w:w="3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9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0"/>
        </w:trPr>
        <w:tc>
          <w:tcPr>
            <w:tcW w:w="1100" w:type="dxa"/>
            <w:vAlign w:val="bottom"/>
          </w:tcPr>
          <w:p>
            <w:pPr>
              <w:spacing w:after="0"/>
              <w:rPr>
                <w:sz w:val="13"/>
                <w:szCs w:val="13"/>
                <w:color w:val="auto"/>
              </w:rPr>
            </w:pPr>
          </w:p>
        </w:tc>
        <w:tc>
          <w:tcPr>
            <w:tcW w:w="5300" w:type="dxa"/>
            <w:vAlign w:val="bottom"/>
            <w:gridSpan w:val="11"/>
          </w:tcPr>
          <w:p>
            <w:pPr>
              <w:spacing w:after="0" w:line="151" w:lineRule="exact"/>
              <w:rPr>
                <w:sz w:val="20"/>
                <w:szCs w:val="20"/>
                <w:color w:val="auto"/>
              </w:rPr>
            </w:pPr>
            <w:r>
              <w:rPr>
                <w:rFonts w:ascii="Times New Roman" w:cs="Times New Roman" w:eastAsia="Times New Roman" w:hAnsi="Times New Roman"/>
                <w:sz w:val="14"/>
                <w:szCs w:val="14"/>
                <w:color w:val="auto"/>
              </w:rPr>
              <w:t>under the Securities Exchange Act of 1934, as Adopted Pursuant to Section 302 of the</w:t>
            </w:r>
          </w:p>
        </w:tc>
        <w:tc>
          <w:tcPr>
            <w:tcW w:w="6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0"/>
        </w:trPr>
        <w:tc>
          <w:tcPr>
            <w:tcW w:w="1100" w:type="dxa"/>
            <w:vAlign w:val="bottom"/>
          </w:tcPr>
          <w:p>
            <w:pPr>
              <w:spacing w:after="0"/>
              <w:rPr>
                <w:sz w:val="12"/>
                <w:szCs w:val="12"/>
                <w:color w:val="auto"/>
              </w:rPr>
            </w:pPr>
          </w:p>
        </w:tc>
        <w:tc>
          <w:tcPr>
            <w:tcW w:w="4920" w:type="dxa"/>
            <w:vAlign w:val="bottom"/>
            <w:tcBorders>
              <w:top w:val="single" w:sz="8" w:color="auto"/>
            </w:tcBorders>
            <w:gridSpan w:val="9"/>
          </w:tcPr>
          <w:p>
            <w:pPr>
              <w:spacing w:after="0" w:line="140" w:lineRule="exact"/>
              <w:rPr>
                <w:sz w:val="20"/>
                <w:szCs w:val="20"/>
                <w:color w:val="auto"/>
              </w:rPr>
            </w:pPr>
            <w:r>
              <w:rPr>
                <w:rFonts w:ascii="Times New Roman" w:cs="Times New Roman" w:eastAsia="Times New Roman" w:hAnsi="Times New Roman"/>
                <w:sz w:val="14"/>
                <w:szCs w:val="14"/>
                <w:color w:val="auto"/>
              </w:rPr>
              <w:t>Sarbanes-Oxley Act of 2002.</w:t>
            </w:r>
          </w:p>
        </w:tc>
        <w:tc>
          <w:tcPr>
            <w:tcW w:w="380" w:type="dxa"/>
            <w:vAlign w:val="bottom"/>
            <w:gridSpan w:val="2"/>
          </w:tcPr>
          <w:p>
            <w:pPr>
              <w:spacing w:after="0"/>
              <w:rPr>
                <w:sz w:val="12"/>
                <w:szCs w:val="12"/>
                <w:color w:val="auto"/>
              </w:rPr>
            </w:pPr>
          </w:p>
        </w:tc>
        <w:tc>
          <w:tcPr>
            <w:tcW w:w="6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10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31.2</w:t>
            </w:r>
          </w:p>
        </w:tc>
        <w:tc>
          <w:tcPr>
            <w:tcW w:w="1660" w:type="dxa"/>
            <w:vAlign w:val="bottom"/>
            <w:shd w:val="clear" w:color="auto" w:fill="000000"/>
          </w:tcPr>
          <w:p>
            <w:pPr>
              <w:spacing w:after="0" w:line="20" w:lineRule="exact"/>
              <w:rPr>
                <w:sz w:val="1"/>
                <w:szCs w:val="1"/>
                <w:color w:val="auto"/>
              </w:rPr>
            </w:pPr>
          </w:p>
        </w:tc>
        <w:tc>
          <w:tcPr>
            <w:tcW w:w="2280" w:type="dxa"/>
            <w:vAlign w:val="bottom"/>
            <w:gridSpan w:val="4"/>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940" w:type="dxa"/>
            <w:vAlign w:val="bottom"/>
            <w:vMerge w:val="restart"/>
          </w:tcPr>
          <w:p>
            <w:pPr>
              <w:jc w:val="center"/>
              <w:ind w:left="1729"/>
              <w:spacing w:after="0"/>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line="20" w:lineRule="exact"/>
              <w:rPr>
                <w:sz w:val="1"/>
                <w:szCs w:val="1"/>
                <w:color w:val="auto"/>
              </w:rPr>
            </w:pPr>
          </w:p>
        </w:tc>
      </w:tr>
      <w:tr>
        <w:trPr>
          <w:trHeight w:val="193"/>
        </w:trPr>
        <w:tc>
          <w:tcPr>
            <w:tcW w:w="1100" w:type="dxa"/>
            <w:vAlign w:val="bottom"/>
            <w:vMerge w:val="continue"/>
          </w:tcPr>
          <w:p>
            <w:pPr>
              <w:spacing w:after="0"/>
              <w:rPr>
                <w:sz w:val="16"/>
                <w:szCs w:val="16"/>
                <w:color w:val="auto"/>
              </w:rPr>
            </w:pPr>
          </w:p>
        </w:tc>
        <w:tc>
          <w:tcPr>
            <w:tcW w:w="4900" w:type="dxa"/>
            <w:vAlign w:val="bottom"/>
            <w:tcBorders>
              <w:bottom w:val="single" w:sz="8" w:color="auto"/>
            </w:tcBorders>
            <w:gridSpan w:val="8"/>
          </w:tcPr>
          <w:p>
            <w:pPr>
              <w:spacing w:after="0"/>
              <w:rPr>
                <w:sz w:val="20"/>
                <w:szCs w:val="20"/>
                <w:color w:val="auto"/>
              </w:rPr>
            </w:pPr>
            <w:r>
              <w:rPr>
                <w:rFonts w:ascii="Times New Roman" w:cs="Times New Roman" w:eastAsia="Times New Roman" w:hAnsi="Times New Roman"/>
                <w:sz w:val="14"/>
                <w:szCs w:val="14"/>
                <w:color w:val="auto"/>
              </w:rPr>
              <w:t>Certification of Principal Financial Officer Pursuant to Rules 13a-14(a) and 15d-14(a)</w:t>
            </w:r>
          </w:p>
        </w:tc>
        <w:tc>
          <w:tcPr>
            <w:tcW w:w="400" w:type="dxa"/>
            <w:vAlign w:val="bottom"/>
            <w:gridSpan w:val="3"/>
          </w:tcPr>
          <w:p>
            <w:pPr>
              <w:spacing w:after="0"/>
              <w:rPr>
                <w:sz w:val="16"/>
                <w:szCs w:val="16"/>
                <w:color w:val="auto"/>
              </w:rPr>
            </w:pPr>
          </w:p>
        </w:tc>
        <w:tc>
          <w:tcPr>
            <w:tcW w:w="6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9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0"/>
        </w:trPr>
        <w:tc>
          <w:tcPr>
            <w:tcW w:w="1100" w:type="dxa"/>
            <w:vAlign w:val="bottom"/>
          </w:tcPr>
          <w:p>
            <w:pPr>
              <w:spacing w:after="0"/>
              <w:rPr>
                <w:sz w:val="13"/>
                <w:szCs w:val="13"/>
                <w:color w:val="auto"/>
              </w:rPr>
            </w:pPr>
          </w:p>
        </w:tc>
        <w:tc>
          <w:tcPr>
            <w:tcW w:w="5300" w:type="dxa"/>
            <w:vAlign w:val="bottom"/>
            <w:gridSpan w:val="11"/>
          </w:tcPr>
          <w:p>
            <w:pPr>
              <w:spacing w:after="0" w:line="151" w:lineRule="exact"/>
              <w:rPr>
                <w:sz w:val="20"/>
                <w:szCs w:val="20"/>
                <w:color w:val="auto"/>
              </w:rPr>
            </w:pPr>
            <w:r>
              <w:rPr>
                <w:rFonts w:ascii="Times New Roman" w:cs="Times New Roman" w:eastAsia="Times New Roman" w:hAnsi="Times New Roman"/>
                <w:sz w:val="14"/>
                <w:szCs w:val="14"/>
                <w:color w:val="auto"/>
              </w:rPr>
              <w:t>under the Securities Exchange Act of 1934, as Adopted Pursuant to Section 302 of the</w:t>
            </w:r>
          </w:p>
        </w:tc>
        <w:tc>
          <w:tcPr>
            <w:tcW w:w="6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0"/>
        </w:trPr>
        <w:tc>
          <w:tcPr>
            <w:tcW w:w="1100" w:type="dxa"/>
            <w:vAlign w:val="bottom"/>
          </w:tcPr>
          <w:p>
            <w:pPr>
              <w:spacing w:after="0"/>
              <w:rPr>
                <w:sz w:val="12"/>
                <w:szCs w:val="12"/>
                <w:color w:val="auto"/>
              </w:rPr>
            </w:pPr>
          </w:p>
        </w:tc>
        <w:tc>
          <w:tcPr>
            <w:tcW w:w="4920" w:type="dxa"/>
            <w:vAlign w:val="bottom"/>
            <w:tcBorders>
              <w:top w:val="single" w:sz="8" w:color="auto"/>
            </w:tcBorders>
            <w:gridSpan w:val="9"/>
          </w:tcPr>
          <w:p>
            <w:pPr>
              <w:spacing w:after="0" w:line="140" w:lineRule="exact"/>
              <w:rPr>
                <w:sz w:val="20"/>
                <w:szCs w:val="20"/>
                <w:color w:val="auto"/>
              </w:rPr>
            </w:pPr>
            <w:r>
              <w:rPr>
                <w:rFonts w:ascii="Times New Roman" w:cs="Times New Roman" w:eastAsia="Times New Roman" w:hAnsi="Times New Roman"/>
                <w:sz w:val="14"/>
                <w:szCs w:val="14"/>
                <w:color w:val="auto"/>
              </w:rPr>
              <w:t>Sarbanes-Oxley Act of 2002.</w:t>
            </w:r>
          </w:p>
        </w:tc>
        <w:tc>
          <w:tcPr>
            <w:tcW w:w="380" w:type="dxa"/>
            <w:vAlign w:val="bottom"/>
            <w:gridSpan w:val="2"/>
          </w:tcPr>
          <w:p>
            <w:pPr>
              <w:spacing w:after="0"/>
              <w:rPr>
                <w:sz w:val="12"/>
                <w:szCs w:val="12"/>
                <w:color w:val="auto"/>
              </w:rPr>
            </w:pPr>
          </w:p>
        </w:tc>
        <w:tc>
          <w:tcPr>
            <w:tcW w:w="6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10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32.1</w:t>
            </w:r>
          </w:p>
        </w:tc>
        <w:tc>
          <w:tcPr>
            <w:tcW w:w="1660" w:type="dxa"/>
            <w:vAlign w:val="bottom"/>
            <w:shd w:val="clear" w:color="auto" w:fill="000000"/>
          </w:tcPr>
          <w:p>
            <w:pPr>
              <w:spacing w:after="0" w:line="20" w:lineRule="exact"/>
              <w:rPr>
                <w:sz w:val="1"/>
                <w:szCs w:val="1"/>
                <w:color w:val="auto"/>
              </w:rPr>
            </w:pPr>
          </w:p>
        </w:tc>
        <w:tc>
          <w:tcPr>
            <w:tcW w:w="2280" w:type="dxa"/>
            <w:vAlign w:val="bottom"/>
            <w:gridSpan w:val="4"/>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gridSpan w:val="4"/>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940" w:type="dxa"/>
            <w:vAlign w:val="bottom"/>
            <w:vMerge w:val="restart"/>
          </w:tcPr>
          <w:p>
            <w:pPr>
              <w:jc w:val="center"/>
              <w:ind w:left="1729"/>
              <w:spacing w:after="0"/>
              <w:rPr>
                <w:sz w:val="20"/>
                <w:szCs w:val="20"/>
                <w:color w:val="auto"/>
              </w:rPr>
            </w:pPr>
            <w:r>
              <w:rPr>
                <w:rFonts w:ascii="Times New Roman" w:cs="Times New Roman" w:eastAsia="Times New Roman" w:hAnsi="Times New Roman"/>
                <w:sz w:val="14"/>
                <w:szCs w:val="14"/>
                <w:color w:val="auto"/>
                <w:w w:val="99"/>
              </w:rPr>
              <w:t>**</w:t>
            </w:r>
          </w:p>
        </w:tc>
        <w:tc>
          <w:tcPr>
            <w:tcW w:w="0" w:type="dxa"/>
            <w:vAlign w:val="bottom"/>
          </w:tcPr>
          <w:p>
            <w:pPr>
              <w:spacing w:after="0" w:line="20" w:lineRule="exact"/>
              <w:rPr>
                <w:sz w:val="1"/>
                <w:szCs w:val="1"/>
                <w:color w:val="auto"/>
              </w:rPr>
            </w:pPr>
          </w:p>
        </w:tc>
      </w:tr>
      <w:tr>
        <w:trPr>
          <w:trHeight w:val="193"/>
        </w:trPr>
        <w:tc>
          <w:tcPr>
            <w:tcW w:w="1100" w:type="dxa"/>
            <w:vAlign w:val="bottom"/>
            <w:vMerge w:val="continue"/>
          </w:tcPr>
          <w:p>
            <w:pPr>
              <w:spacing w:after="0"/>
              <w:rPr>
                <w:sz w:val="16"/>
                <w:szCs w:val="16"/>
                <w:color w:val="auto"/>
              </w:rPr>
            </w:pPr>
          </w:p>
        </w:tc>
        <w:tc>
          <w:tcPr>
            <w:tcW w:w="4720" w:type="dxa"/>
            <w:vAlign w:val="bottom"/>
            <w:tcBorders>
              <w:bottom w:val="single" w:sz="8" w:color="auto"/>
            </w:tcBorders>
            <w:gridSpan w:val="7"/>
          </w:tcPr>
          <w:p>
            <w:pPr>
              <w:spacing w:after="0"/>
              <w:rPr>
                <w:sz w:val="20"/>
                <w:szCs w:val="20"/>
                <w:color w:val="auto"/>
              </w:rPr>
            </w:pPr>
            <w:r>
              <w:rPr>
                <w:rFonts w:ascii="Times New Roman" w:cs="Times New Roman" w:eastAsia="Times New Roman" w:hAnsi="Times New Roman"/>
                <w:sz w:val="14"/>
                <w:szCs w:val="14"/>
                <w:color w:val="auto"/>
              </w:rPr>
              <w:t>Certification of Principal Executive Officer Pursuant to 18 U.S.C. Section 1350, as</w:t>
            </w:r>
          </w:p>
        </w:tc>
        <w:tc>
          <w:tcPr>
            <w:tcW w:w="580" w:type="dxa"/>
            <w:vAlign w:val="bottom"/>
            <w:gridSpan w:val="4"/>
          </w:tcPr>
          <w:p>
            <w:pPr>
              <w:spacing w:after="0"/>
              <w:rPr>
                <w:sz w:val="16"/>
                <w:szCs w:val="16"/>
                <w:color w:val="auto"/>
              </w:rPr>
            </w:pPr>
          </w:p>
        </w:tc>
        <w:tc>
          <w:tcPr>
            <w:tcW w:w="6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9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0"/>
        </w:trPr>
        <w:tc>
          <w:tcPr>
            <w:tcW w:w="1100" w:type="dxa"/>
            <w:vAlign w:val="bottom"/>
          </w:tcPr>
          <w:p>
            <w:pPr>
              <w:spacing w:after="0"/>
              <w:rPr>
                <w:sz w:val="13"/>
                <w:szCs w:val="13"/>
                <w:color w:val="auto"/>
              </w:rPr>
            </w:pPr>
          </w:p>
        </w:tc>
        <w:tc>
          <w:tcPr>
            <w:tcW w:w="3940" w:type="dxa"/>
            <w:vAlign w:val="bottom"/>
            <w:tcBorders>
              <w:bottom w:val="single" w:sz="8" w:color="auto"/>
            </w:tcBorders>
            <w:gridSpan w:val="5"/>
          </w:tcPr>
          <w:p>
            <w:pPr>
              <w:spacing w:after="0" w:line="151" w:lineRule="exact"/>
              <w:rPr>
                <w:sz w:val="20"/>
                <w:szCs w:val="20"/>
                <w:color w:val="auto"/>
              </w:rPr>
            </w:pPr>
            <w:r>
              <w:rPr>
                <w:rFonts w:ascii="Times New Roman" w:cs="Times New Roman" w:eastAsia="Times New Roman" w:hAnsi="Times New Roman"/>
                <w:sz w:val="14"/>
                <w:szCs w:val="14"/>
                <w:color w:val="auto"/>
              </w:rPr>
              <w:t>Adopted Pursuant to Section 906 of the Sarbanes-Oxley Act of 2002.</w:t>
            </w:r>
          </w:p>
        </w:tc>
        <w:tc>
          <w:tcPr>
            <w:tcW w:w="1360" w:type="dxa"/>
            <w:vAlign w:val="bottom"/>
            <w:gridSpan w:val="6"/>
          </w:tcPr>
          <w:p>
            <w:pPr>
              <w:spacing w:after="0"/>
              <w:rPr>
                <w:sz w:val="13"/>
                <w:szCs w:val="13"/>
                <w:color w:val="auto"/>
              </w:rPr>
            </w:pPr>
          </w:p>
        </w:tc>
        <w:tc>
          <w:tcPr>
            <w:tcW w:w="6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3"/>
        </w:trPr>
        <w:tc>
          <w:tcPr>
            <w:tcW w:w="1100" w:type="dxa"/>
            <w:vAlign w:val="bottom"/>
          </w:tcPr>
          <w:p>
            <w:pPr>
              <w:spacing w:after="0"/>
              <w:rPr>
                <w:sz w:val="20"/>
                <w:szCs w:val="20"/>
                <w:color w:val="auto"/>
              </w:rPr>
            </w:pPr>
            <w:r>
              <w:rPr>
                <w:rFonts w:ascii="Times New Roman" w:cs="Times New Roman" w:eastAsia="Times New Roman" w:hAnsi="Times New Roman"/>
                <w:sz w:val="14"/>
                <w:szCs w:val="14"/>
                <w:color w:val="auto"/>
              </w:rPr>
              <w:t>32.2</w:t>
            </w:r>
          </w:p>
        </w:tc>
        <w:tc>
          <w:tcPr>
            <w:tcW w:w="4680" w:type="dxa"/>
            <w:vAlign w:val="bottom"/>
            <w:tcBorders>
              <w:bottom w:val="single" w:sz="8" w:color="auto"/>
            </w:tcBorders>
            <w:gridSpan w:val="6"/>
          </w:tcPr>
          <w:p>
            <w:pPr>
              <w:spacing w:after="0"/>
              <w:rPr>
                <w:sz w:val="20"/>
                <w:szCs w:val="20"/>
                <w:color w:val="auto"/>
              </w:rPr>
            </w:pPr>
            <w:r>
              <w:rPr>
                <w:rFonts w:ascii="Times New Roman" w:cs="Times New Roman" w:eastAsia="Times New Roman" w:hAnsi="Times New Roman"/>
                <w:sz w:val="14"/>
                <w:szCs w:val="14"/>
                <w:color w:val="auto"/>
              </w:rPr>
              <w:t>Certification of Principal Financial Officer Pursuant to 18 U.S.C. Section 1350, as</w:t>
            </w:r>
          </w:p>
        </w:tc>
        <w:tc>
          <w:tcPr>
            <w:tcW w:w="620" w:type="dxa"/>
            <w:vAlign w:val="bottom"/>
            <w:gridSpan w:val="5"/>
          </w:tcPr>
          <w:p>
            <w:pPr>
              <w:spacing w:after="0"/>
              <w:rPr>
                <w:sz w:val="16"/>
                <w:szCs w:val="16"/>
                <w:color w:val="auto"/>
              </w:rPr>
            </w:pPr>
          </w:p>
        </w:tc>
        <w:tc>
          <w:tcPr>
            <w:tcW w:w="6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940" w:type="dxa"/>
            <w:vAlign w:val="bottom"/>
          </w:tcPr>
          <w:p>
            <w:pPr>
              <w:jc w:val="center"/>
              <w:ind w:left="1729"/>
              <w:spacing w:after="0"/>
              <w:rPr>
                <w:sz w:val="20"/>
                <w:szCs w:val="20"/>
                <w:color w:val="auto"/>
              </w:rPr>
            </w:pPr>
            <w:r>
              <w:rPr>
                <w:rFonts w:ascii="Times New Roman" w:cs="Times New Roman" w:eastAsia="Times New Roman" w:hAnsi="Times New Roman"/>
                <w:sz w:val="14"/>
                <w:szCs w:val="14"/>
                <w:color w:val="auto"/>
                <w:w w:val="99"/>
              </w:rPr>
              <w:t>**</w:t>
            </w:r>
          </w:p>
        </w:tc>
        <w:tc>
          <w:tcPr>
            <w:tcW w:w="0" w:type="dxa"/>
            <w:vAlign w:val="bottom"/>
          </w:tcPr>
          <w:p>
            <w:pPr>
              <w:spacing w:after="0"/>
              <w:rPr>
                <w:sz w:val="1"/>
                <w:szCs w:val="1"/>
                <w:color w:val="auto"/>
              </w:rPr>
            </w:pPr>
          </w:p>
        </w:tc>
      </w:tr>
      <w:tr>
        <w:trPr>
          <w:trHeight w:val="150"/>
        </w:trPr>
        <w:tc>
          <w:tcPr>
            <w:tcW w:w="1100" w:type="dxa"/>
            <w:vAlign w:val="bottom"/>
          </w:tcPr>
          <w:p>
            <w:pPr>
              <w:spacing w:after="0"/>
              <w:rPr>
                <w:sz w:val="13"/>
                <w:szCs w:val="13"/>
                <w:color w:val="auto"/>
              </w:rPr>
            </w:pPr>
          </w:p>
        </w:tc>
        <w:tc>
          <w:tcPr>
            <w:tcW w:w="3940" w:type="dxa"/>
            <w:vAlign w:val="bottom"/>
            <w:tcBorders>
              <w:bottom w:val="single" w:sz="8" w:color="auto"/>
            </w:tcBorders>
            <w:gridSpan w:val="5"/>
          </w:tcPr>
          <w:p>
            <w:pPr>
              <w:spacing w:after="0" w:line="151" w:lineRule="exact"/>
              <w:rPr>
                <w:sz w:val="20"/>
                <w:szCs w:val="20"/>
                <w:color w:val="auto"/>
              </w:rPr>
            </w:pPr>
            <w:r>
              <w:rPr>
                <w:rFonts w:ascii="Times New Roman" w:cs="Times New Roman" w:eastAsia="Times New Roman" w:hAnsi="Times New Roman"/>
                <w:sz w:val="14"/>
                <w:szCs w:val="14"/>
                <w:color w:val="auto"/>
              </w:rPr>
              <w:t>Adopted Pursuant to Section 906 of the Sarbanes-Oxley Act of 2002.</w:t>
            </w:r>
          </w:p>
        </w:tc>
        <w:tc>
          <w:tcPr>
            <w:tcW w:w="1360" w:type="dxa"/>
            <w:vAlign w:val="bottom"/>
            <w:gridSpan w:val="6"/>
          </w:tcPr>
          <w:p>
            <w:pPr>
              <w:spacing w:after="0"/>
              <w:rPr>
                <w:sz w:val="13"/>
                <w:szCs w:val="13"/>
                <w:color w:val="auto"/>
              </w:rPr>
            </w:pPr>
          </w:p>
        </w:tc>
        <w:tc>
          <w:tcPr>
            <w:tcW w:w="6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0"/>
        </w:trPr>
        <w:tc>
          <w:tcPr>
            <w:tcW w:w="1100" w:type="dxa"/>
            <w:vAlign w:val="bottom"/>
          </w:tcPr>
          <w:p>
            <w:pPr>
              <w:spacing w:after="0"/>
              <w:rPr>
                <w:sz w:val="20"/>
                <w:szCs w:val="20"/>
                <w:color w:val="auto"/>
              </w:rPr>
            </w:pPr>
            <w:r>
              <w:rPr>
                <w:rFonts w:ascii="Times New Roman" w:cs="Times New Roman" w:eastAsia="Times New Roman" w:hAnsi="Times New Roman"/>
                <w:sz w:val="14"/>
                <w:szCs w:val="14"/>
                <w:color w:val="auto"/>
              </w:rPr>
              <w:t>101.INS</w:t>
            </w:r>
          </w:p>
        </w:tc>
        <w:tc>
          <w:tcPr>
            <w:tcW w:w="5300" w:type="dxa"/>
            <w:vAlign w:val="bottom"/>
            <w:gridSpan w:val="11"/>
          </w:tcPr>
          <w:p>
            <w:pPr>
              <w:spacing w:after="0"/>
              <w:rPr>
                <w:sz w:val="20"/>
                <w:szCs w:val="20"/>
                <w:color w:val="auto"/>
              </w:rPr>
            </w:pPr>
            <w:r>
              <w:rPr>
                <w:rFonts w:ascii="Times New Roman" w:cs="Times New Roman" w:eastAsia="Times New Roman" w:hAnsi="Times New Roman"/>
                <w:sz w:val="14"/>
                <w:szCs w:val="14"/>
                <w:color w:val="auto"/>
              </w:rPr>
              <w:t>Inline XBRL Instance Document - the instance document does not appear in the</w:t>
            </w:r>
          </w:p>
        </w:tc>
        <w:tc>
          <w:tcPr>
            <w:tcW w:w="6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940" w:type="dxa"/>
            <w:vAlign w:val="bottom"/>
          </w:tcPr>
          <w:p>
            <w:pPr>
              <w:jc w:val="center"/>
              <w:ind w:left="1729"/>
              <w:spacing w:after="0"/>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160"/>
        </w:trPr>
        <w:tc>
          <w:tcPr>
            <w:tcW w:w="1100" w:type="dxa"/>
            <w:vAlign w:val="bottom"/>
          </w:tcPr>
          <w:p>
            <w:pPr>
              <w:spacing w:after="0"/>
              <w:rPr>
                <w:sz w:val="13"/>
                <w:szCs w:val="13"/>
                <w:color w:val="auto"/>
              </w:rPr>
            </w:pPr>
          </w:p>
        </w:tc>
        <w:tc>
          <w:tcPr>
            <w:tcW w:w="5300" w:type="dxa"/>
            <w:vAlign w:val="bottom"/>
            <w:gridSpan w:val="11"/>
          </w:tcPr>
          <w:p>
            <w:pPr>
              <w:spacing w:after="0" w:line="160" w:lineRule="exact"/>
              <w:rPr>
                <w:sz w:val="20"/>
                <w:szCs w:val="20"/>
                <w:color w:val="auto"/>
              </w:rPr>
            </w:pPr>
            <w:r>
              <w:rPr>
                <w:rFonts w:ascii="Times New Roman" w:cs="Times New Roman" w:eastAsia="Times New Roman" w:hAnsi="Times New Roman"/>
                <w:sz w:val="14"/>
                <w:szCs w:val="14"/>
                <w:color w:val="auto"/>
              </w:rPr>
              <w:t>Interactive Data File because its XBRL tags are embedded within the Inline XBRL</w:t>
            </w:r>
          </w:p>
        </w:tc>
        <w:tc>
          <w:tcPr>
            <w:tcW w:w="6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1100" w:type="dxa"/>
            <w:vAlign w:val="bottom"/>
          </w:tcPr>
          <w:p>
            <w:pPr>
              <w:spacing w:after="0"/>
              <w:rPr>
                <w:sz w:val="16"/>
                <w:szCs w:val="16"/>
                <w:color w:val="auto"/>
              </w:rPr>
            </w:pPr>
          </w:p>
        </w:tc>
        <w:tc>
          <w:tcPr>
            <w:tcW w:w="5300" w:type="dxa"/>
            <w:vAlign w:val="bottom"/>
            <w:gridSpan w:val="11"/>
          </w:tcPr>
          <w:p>
            <w:pPr>
              <w:spacing w:after="0"/>
              <w:rPr>
                <w:sz w:val="20"/>
                <w:szCs w:val="20"/>
                <w:color w:val="auto"/>
              </w:rPr>
            </w:pPr>
            <w:r>
              <w:rPr>
                <w:rFonts w:ascii="Times New Roman" w:cs="Times New Roman" w:eastAsia="Times New Roman" w:hAnsi="Times New Roman"/>
                <w:sz w:val="14"/>
                <w:szCs w:val="14"/>
                <w:color w:val="auto"/>
              </w:rPr>
              <w:t>document</w:t>
            </w:r>
          </w:p>
        </w:tc>
        <w:tc>
          <w:tcPr>
            <w:tcW w:w="6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1100" w:type="dxa"/>
            <w:vAlign w:val="bottom"/>
          </w:tcPr>
          <w:p>
            <w:pPr>
              <w:spacing w:after="0"/>
              <w:rPr>
                <w:sz w:val="20"/>
                <w:szCs w:val="20"/>
                <w:color w:val="auto"/>
              </w:rPr>
            </w:pPr>
            <w:r>
              <w:rPr>
                <w:rFonts w:ascii="Times New Roman" w:cs="Times New Roman" w:eastAsia="Times New Roman" w:hAnsi="Times New Roman"/>
                <w:sz w:val="14"/>
                <w:szCs w:val="14"/>
                <w:color w:val="auto"/>
              </w:rPr>
              <w:t>101.SCH</w:t>
            </w:r>
          </w:p>
        </w:tc>
        <w:tc>
          <w:tcPr>
            <w:tcW w:w="5300" w:type="dxa"/>
            <w:vAlign w:val="bottom"/>
            <w:gridSpan w:val="11"/>
          </w:tcPr>
          <w:p>
            <w:pPr>
              <w:spacing w:after="0"/>
              <w:rPr>
                <w:sz w:val="20"/>
                <w:szCs w:val="20"/>
                <w:color w:val="auto"/>
              </w:rPr>
            </w:pPr>
            <w:r>
              <w:rPr>
                <w:rFonts w:ascii="Times New Roman" w:cs="Times New Roman" w:eastAsia="Times New Roman" w:hAnsi="Times New Roman"/>
                <w:sz w:val="14"/>
                <w:szCs w:val="14"/>
                <w:color w:val="auto"/>
              </w:rPr>
              <w:t>Inline XBRL Taxonomy Extension Schema Document</w:t>
            </w:r>
          </w:p>
        </w:tc>
        <w:tc>
          <w:tcPr>
            <w:tcW w:w="6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940" w:type="dxa"/>
            <w:vAlign w:val="bottom"/>
          </w:tcPr>
          <w:p>
            <w:pPr>
              <w:jc w:val="center"/>
              <w:ind w:left="1729"/>
              <w:spacing w:after="0"/>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202"/>
        </w:trPr>
        <w:tc>
          <w:tcPr>
            <w:tcW w:w="1100" w:type="dxa"/>
            <w:vAlign w:val="bottom"/>
          </w:tcPr>
          <w:p>
            <w:pPr>
              <w:spacing w:after="0"/>
              <w:rPr>
                <w:sz w:val="20"/>
                <w:szCs w:val="20"/>
                <w:color w:val="auto"/>
              </w:rPr>
            </w:pPr>
            <w:r>
              <w:rPr>
                <w:rFonts w:ascii="Times New Roman" w:cs="Times New Roman" w:eastAsia="Times New Roman" w:hAnsi="Times New Roman"/>
                <w:sz w:val="14"/>
                <w:szCs w:val="14"/>
                <w:color w:val="auto"/>
              </w:rPr>
              <w:t>101.CAL</w:t>
            </w:r>
          </w:p>
        </w:tc>
        <w:tc>
          <w:tcPr>
            <w:tcW w:w="5300" w:type="dxa"/>
            <w:vAlign w:val="bottom"/>
            <w:gridSpan w:val="11"/>
          </w:tcPr>
          <w:p>
            <w:pPr>
              <w:spacing w:after="0"/>
              <w:rPr>
                <w:sz w:val="20"/>
                <w:szCs w:val="20"/>
                <w:color w:val="auto"/>
              </w:rPr>
            </w:pPr>
            <w:r>
              <w:rPr>
                <w:rFonts w:ascii="Times New Roman" w:cs="Times New Roman" w:eastAsia="Times New Roman" w:hAnsi="Times New Roman"/>
                <w:sz w:val="14"/>
                <w:szCs w:val="14"/>
                <w:color w:val="auto"/>
              </w:rPr>
              <w:t>Inline XBRL Taxonomy Extension Calculation Linkbase Document</w:t>
            </w:r>
          </w:p>
        </w:tc>
        <w:tc>
          <w:tcPr>
            <w:tcW w:w="6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940" w:type="dxa"/>
            <w:vAlign w:val="bottom"/>
          </w:tcPr>
          <w:p>
            <w:pPr>
              <w:jc w:val="center"/>
              <w:ind w:left="1729"/>
              <w:spacing w:after="0"/>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202"/>
        </w:trPr>
        <w:tc>
          <w:tcPr>
            <w:tcW w:w="1100" w:type="dxa"/>
            <w:vAlign w:val="bottom"/>
          </w:tcPr>
          <w:p>
            <w:pPr>
              <w:spacing w:after="0"/>
              <w:rPr>
                <w:sz w:val="20"/>
                <w:szCs w:val="20"/>
                <w:color w:val="auto"/>
              </w:rPr>
            </w:pPr>
            <w:r>
              <w:rPr>
                <w:rFonts w:ascii="Times New Roman" w:cs="Times New Roman" w:eastAsia="Times New Roman" w:hAnsi="Times New Roman"/>
                <w:sz w:val="14"/>
                <w:szCs w:val="14"/>
                <w:color w:val="auto"/>
              </w:rPr>
              <w:t>101.DEF</w:t>
            </w:r>
          </w:p>
        </w:tc>
        <w:tc>
          <w:tcPr>
            <w:tcW w:w="5300" w:type="dxa"/>
            <w:vAlign w:val="bottom"/>
            <w:gridSpan w:val="11"/>
          </w:tcPr>
          <w:p>
            <w:pPr>
              <w:spacing w:after="0"/>
              <w:rPr>
                <w:sz w:val="20"/>
                <w:szCs w:val="20"/>
                <w:color w:val="auto"/>
              </w:rPr>
            </w:pPr>
            <w:r>
              <w:rPr>
                <w:rFonts w:ascii="Times New Roman" w:cs="Times New Roman" w:eastAsia="Times New Roman" w:hAnsi="Times New Roman"/>
                <w:sz w:val="14"/>
                <w:szCs w:val="14"/>
                <w:color w:val="auto"/>
              </w:rPr>
              <w:t>Inline XBRL Taxonomy Extension Definition Linkbase Document</w:t>
            </w:r>
          </w:p>
        </w:tc>
        <w:tc>
          <w:tcPr>
            <w:tcW w:w="6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940" w:type="dxa"/>
            <w:vAlign w:val="bottom"/>
          </w:tcPr>
          <w:p>
            <w:pPr>
              <w:jc w:val="center"/>
              <w:ind w:left="1729"/>
              <w:spacing w:after="0"/>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202"/>
        </w:trPr>
        <w:tc>
          <w:tcPr>
            <w:tcW w:w="1100" w:type="dxa"/>
            <w:vAlign w:val="bottom"/>
          </w:tcPr>
          <w:p>
            <w:pPr>
              <w:spacing w:after="0"/>
              <w:rPr>
                <w:sz w:val="20"/>
                <w:szCs w:val="20"/>
                <w:color w:val="auto"/>
              </w:rPr>
            </w:pPr>
            <w:r>
              <w:rPr>
                <w:rFonts w:ascii="Times New Roman" w:cs="Times New Roman" w:eastAsia="Times New Roman" w:hAnsi="Times New Roman"/>
                <w:sz w:val="14"/>
                <w:szCs w:val="14"/>
                <w:color w:val="auto"/>
              </w:rPr>
              <w:t>101.LAB</w:t>
            </w:r>
          </w:p>
        </w:tc>
        <w:tc>
          <w:tcPr>
            <w:tcW w:w="5300" w:type="dxa"/>
            <w:vAlign w:val="bottom"/>
            <w:gridSpan w:val="11"/>
          </w:tcPr>
          <w:p>
            <w:pPr>
              <w:spacing w:after="0"/>
              <w:rPr>
                <w:sz w:val="20"/>
                <w:szCs w:val="20"/>
                <w:color w:val="auto"/>
              </w:rPr>
            </w:pPr>
            <w:r>
              <w:rPr>
                <w:rFonts w:ascii="Times New Roman" w:cs="Times New Roman" w:eastAsia="Times New Roman" w:hAnsi="Times New Roman"/>
                <w:sz w:val="14"/>
                <w:szCs w:val="14"/>
                <w:color w:val="auto"/>
              </w:rPr>
              <w:t>Inline XBRL Taxonomy Extension Label Linkbase Document</w:t>
            </w:r>
          </w:p>
        </w:tc>
        <w:tc>
          <w:tcPr>
            <w:tcW w:w="6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940" w:type="dxa"/>
            <w:vAlign w:val="bottom"/>
          </w:tcPr>
          <w:p>
            <w:pPr>
              <w:jc w:val="center"/>
              <w:ind w:left="1729"/>
              <w:spacing w:after="0"/>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202"/>
        </w:trPr>
        <w:tc>
          <w:tcPr>
            <w:tcW w:w="1100" w:type="dxa"/>
            <w:vAlign w:val="bottom"/>
          </w:tcPr>
          <w:p>
            <w:pPr>
              <w:spacing w:after="0"/>
              <w:rPr>
                <w:sz w:val="20"/>
                <w:szCs w:val="20"/>
                <w:color w:val="auto"/>
              </w:rPr>
            </w:pPr>
            <w:r>
              <w:rPr>
                <w:rFonts w:ascii="Times New Roman" w:cs="Times New Roman" w:eastAsia="Times New Roman" w:hAnsi="Times New Roman"/>
                <w:sz w:val="14"/>
                <w:szCs w:val="14"/>
                <w:color w:val="auto"/>
              </w:rPr>
              <w:t>101.PRE</w:t>
            </w:r>
          </w:p>
        </w:tc>
        <w:tc>
          <w:tcPr>
            <w:tcW w:w="5300" w:type="dxa"/>
            <w:vAlign w:val="bottom"/>
            <w:gridSpan w:val="11"/>
          </w:tcPr>
          <w:p>
            <w:pPr>
              <w:spacing w:after="0"/>
              <w:rPr>
                <w:sz w:val="20"/>
                <w:szCs w:val="20"/>
                <w:color w:val="auto"/>
              </w:rPr>
            </w:pPr>
            <w:r>
              <w:rPr>
                <w:rFonts w:ascii="Times New Roman" w:cs="Times New Roman" w:eastAsia="Times New Roman" w:hAnsi="Times New Roman"/>
                <w:sz w:val="14"/>
                <w:szCs w:val="14"/>
                <w:color w:val="auto"/>
              </w:rPr>
              <w:t>Inline XBRL Taxonomy Extension Presentation Linkbase Document</w:t>
            </w:r>
          </w:p>
        </w:tc>
        <w:tc>
          <w:tcPr>
            <w:tcW w:w="6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1100" w:type="dxa"/>
            <w:vAlign w:val="bottom"/>
          </w:tcPr>
          <w:p>
            <w:pPr>
              <w:spacing w:after="0"/>
              <w:rPr>
                <w:sz w:val="20"/>
                <w:szCs w:val="20"/>
                <w:color w:val="auto"/>
              </w:rPr>
            </w:pPr>
            <w:r>
              <w:rPr>
                <w:rFonts w:ascii="Times New Roman" w:cs="Times New Roman" w:eastAsia="Times New Roman" w:hAnsi="Times New Roman"/>
                <w:sz w:val="14"/>
                <w:szCs w:val="14"/>
                <w:color w:val="auto"/>
              </w:rPr>
              <w:t>104</w:t>
            </w:r>
          </w:p>
        </w:tc>
        <w:tc>
          <w:tcPr>
            <w:tcW w:w="5300" w:type="dxa"/>
            <w:vAlign w:val="bottom"/>
            <w:gridSpan w:val="11"/>
          </w:tcPr>
          <w:p>
            <w:pPr>
              <w:spacing w:after="0"/>
              <w:rPr>
                <w:sz w:val="20"/>
                <w:szCs w:val="20"/>
                <w:color w:val="auto"/>
              </w:rPr>
            </w:pPr>
            <w:r>
              <w:rPr>
                <w:rFonts w:ascii="Times New Roman" w:cs="Times New Roman" w:eastAsia="Times New Roman" w:hAnsi="Times New Roman"/>
                <w:sz w:val="14"/>
                <w:szCs w:val="14"/>
                <w:color w:val="auto"/>
              </w:rPr>
              <w:t>Cover Page Interactive Data File (formatted as Inline XBRL and contained in Exhibit 101)</w:t>
            </w:r>
          </w:p>
        </w:tc>
        <w:tc>
          <w:tcPr>
            <w:tcW w:w="6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940" w:type="dxa"/>
            <w:vAlign w:val="bottom"/>
          </w:tcPr>
          <w:p>
            <w:pPr>
              <w:jc w:val="center"/>
              <w:ind w:left="1729"/>
              <w:spacing w:after="0"/>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199390</wp:posOffset>
            </wp:positionH>
            <wp:positionV relativeFrom="paragraph">
              <wp:posOffset>101600</wp:posOffset>
            </wp:positionV>
            <wp:extent cx="852170" cy="698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2">
                      <a:extLst>
                        <a:ext uri="{28A0092B-C50C-407E-A947-70E740481C1C}"/>
                      </a:extLst>
                    </a:blip>
                    <a:srcRect/>
                    <a:stretch>
                      <a:fillRect/>
                    </a:stretch>
                  </pic:blipFill>
                  <pic:spPr bwMode="auto">
                    <a:xfrm>
                      <a:off x="0" y="0"/>
                      <a:ext cx="852170" cy="6985"/>
                    </a:xfrm>
                    <a:prstGeom prst="rect">
                      <a:avLst/>
                    </a:prstGeom>
                    <a:noFill/>
                  </pic:spPr>
                </pic:pic>
              </a:graphicData>
            </a:graphic>
          </wp:anchor>
        </w:drawing>
      </w:r>
    </w:p>
    <w:p>
      <w:pPr>
        <w:spacing w:after="0" w:line="264" w:lineRule="exact"/>
        <w:rPr>
          <w:sz w:val="20"/>
          <w:szCs w:val="20"/>
          <w:color w:val="auto"/>
        </w:rPr>
      </w:pPr>
    </w:p>
    <w:p>
      <w:pPr>
        <w:ind w:left="820" w:hanging="494"/>
        <w:spacing w:after="0"/>
        <w:tabs>
          <w:tab w:leader="none" w:pos="82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Filed herewith.</w:t>
      </w:r>
    </w:p>
    <w:p>
      <w:pPr>
        <w:spacing w:after="0" w:line="137" w:lineRule="exact"/>
        <w:rPr>
          <w:sz w:val="20"/>
          <w:szCs w:val="20"/>
          <w:color w:val="auto"/>
        </w:rPr>
      </w:pPr>
    </w:p>
    <w:p>
      <w:pPr>
        <w:ind w:left="820" w:hanging="494"/>
        <w:spacing w:after="0"/>
        <w:tabs>
          <w:tab w:leader="none" w:pos="82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Furnished herewith.</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171450</wp:posOffset>
            </wp:positionV>
            <wp:extent cx="7186930"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20"/>
          </w:cols>
          <w:pgMar w:left="300" w:top="900" w:right="379" w:bottom="1440" w:gutter="0" w:footer="0" w:header="0"/>
          <w:type w:val="continuous"/>
        </w:sectPr>
      </w:pPr>
    </w:p>
    <w:bookmarkStart w:id="35" w:name="page36"/>
    <w:bookmarkEnd w:id="35"/>
    <w:p>
      <w:pPr>
        <w:ind w:left="5020"/>
        <w:spacing w:after="0"/>
        <w:rPr>
          <w:sz w:val="20"/>
          <w:szCs w:val="20"/>
          <w:color w:val="auto"/>
        </w:rPr>
      </w:pPr>
      <w:r>
        <w:rPr>
          <w:rFonts w:ascii="Times New Roman" w:cs="Times New Roman" w:eastAsia="Times New Roman" w:hAnsi="Times New Roman"/>
          <w:sz w:val="14"/>
          <w:szCs w:val="14"/>
          <w:b w:val="1"/>
          <w:bCs w:val="1"/>
          <w:color w:val="auto"/>
        </w:rPr>
        <w:t>SIGNATURES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Pursuant to the requirements of the Securities Exchange Act of 1934, the registrant has duly caused this report to be signed on its behalf by the undersigned thereunto duly authorized.</w:t>
      </w:r>
    </w:p>
    <w:p>
      <w:pPr>
        <w:spacing w:after="0" w:line="190"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4"/>
          <w:szCs w:val="14"/>
          <w:color w:val="auto"/>
        </w:rPr>
        <w:t>Garrett Motion Inc.</w:t>
      </w:r>
    </w:p>
    <w:p>
      <w:pPr>
        <w:spacing w:after="0" w:line="254" w:lineRule="exact"/>
        <w:rPr>
          <w:sz w:val="20"/>
          <w:szCs w:val="20"/>
          <w:color w:val="auto"/>
        </w:rPr>
      </w:pPr>
    </w:p>
    <w:p>
      <w:pPr>
        <w:spacing w:after="0"/>
        <w:tabs>
          <w:tab w:leader="none" w:pos="5020" w:val="left"/>
          <w:tab w:leader="none" w:pos="7880" w:val="left"/>
        </w:tabs>
        <w:rPr>
          <w:sz w:val="20"/>
          <w:szCs w:val="20"/>
          <w:color w:val="auto"/>
        </w:rPr>
      </w:pPr>
      <w:r>
        <w:rPr>
          <w:rFonts w:ascii="Times New Roman" w:cs="Times New Roman" w:eastAsia="Times New Roman" w:hAnsi="Times New Roman"/>
          <w:sz w:val="14"/>
          <w:szCs w:val="14"/>
          <w:color w:val="auto"/>
        </w:rPr>
        <w:t>Date: April 25, 2024</w:t>
      </w:r>
      <w:r>
        <w:rPr>
          <w:sz w:val="20"/>
          <w:szCs w:val="20"/>
          <w:color w:val="auto"/>
        </w:rPr>
        <w:tab/>
      </w:r>
      <w:r>
        <w:rPr>
          <w:rFonts w:ascii="Times New Roman" w:cs="Times New Roman" w:eastAsia="Times New Roman" w:hAnsi="Times New Roman"/>
          <w:sz w:val="14"/>
          <w:szCs w:val="14"/>
          <w:color w:val="auto"/>
        </w:rPr>
        <w:t>By:</w:t>
      </w:r>
      <w:r>
        <w:rPr>
          <w:sz w:val="20"/>
          <w:szCs w:val="20"/>
          <w:color w:val="auto"/>
        </w:rPr>
        <w:tab/>
      </w:r>
      <w:r>
        <w:rPr>
          <w:rFonts w:ascii="Times New Roman" w:cs="Times New Roman" w:eastAsia="Times New Roman" w:hAnsi="Times New Roman"/>
          <w:sz w:val="14"/>
          <w:szCs w:val="14"/>
          <w:color w:val="auto"/>
        </w:rPr>
        <w:t>/s/ Olivier Rabiller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3546475</wp:posOffset>
            </wp:positionH>
            <wp:positionV relativeFrom="paragraph">
              <wp:posOffset>22225</wp:posOffset>
            </wp:positionV>
            <wp:extent cx="3463925" cy="698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4">
                      <a:extLst>
                        <a:ext uri="{28A0092B-C50C-407E-A947-70E740481C1C}"/>
                      </a:extLst>
                    </a:blip>
                    <a:srcRect/>
                    <a:stretch>
                      <a:fillRect/>
                    </a:stretch>
                  </pic:blipFill>
                  <pic:spPr bwMode="auto">
                    <a:xfrm>
                      <a:off x="0" y="0"/>
                      <a:ext cx="3463925" cy="6985"/>
                    </a:xfrm>
                    <a:prstGeom prst="rect">
                      <a:avLst/>
                    </a:prstGeom>
                    <a:noFill/>
                  </pic:spPr>
                </pic:pic>
              </a:graphicData>
            </a:graphic>
          </wp:anchor>
        </w:drawing>
      </w:r>
    </w:p>
    <w:p>
      <w:pPr>
        <w:spacing w:after="0" w:line="30" w:lineRule="exact"/>
        <w:rPr>
          <w:sz w:val="20"/>
          <w:szCs w:val="20"/>
          <w:color w:val="auto"/>
        </w:rPr>
      </w:pPr>
    </w:p>
    <w:p>
      <w:pPr>
        <w:jc w:val="center"/>
        <w:ind w:left="6200"/>
        <w:spacing w:after="0"/>
        <w:rPr>
          <w:sz w:val="20"/>
          <w:szCs w:val="20"/>
          <w:color w:val="auto"/>
        </w:rPr>
      </w:pPr>
      <w:r>
        <w:rPr>
          <w:rFonts w:ascii="Times New Roman" w:cs="Times New Roman" w:eastAsia="Times New Roman" w:hAnsi="Times New Roman"/>
          <w:sz w:val="14"/>
          <w:szCs w:val="14"/>
          <w:b w:val="1"/>
          <w:bCs w:val="1"/>
          <w:color w:val="auto"/>
        </w:rPr>
        <w:t>Olivier Rabiller</w:t>
      </w:r>
    </w:p>
    <w:p>
      <w:pPr>
        <w:spacing w:after="0" w:line="41" w:lineRule="exact"/>
        <w:rPr>
          <w:sz w:val="20"/>
          <w:szCs w:val="20"/>
          <w:color w:val="auto"/>
        </w:rPr>
      </w:pPr>
    </w:p>
    <w:p>
      <w:pPr>
        <w:jc w:val="center"/>
        <w:ind w:left="6200"/>
        <w:spacing w:after="0"/>
        <w:rPr>
          <w:sz w:val="20"/>
          <w:szCs w:val="20"/>
          <w:color w:val="auto"/>
        </w:rPr>
      </w:pPr>
      <w:r>
        <w:rPr>
          <w:rFonts w:ascii="Times New Roman" w:cs="Times New Roman" w:eastAsia="Times New Roman" w:hAnsi="Times New Roman"/>
          <w:sz w:val="14"/>
          <w:szCs w:val="14"/>
          <w:b w:val="1"/>
          <w:bCs w:val="1"/>
          <w:color w:val="auto"/>
        </w:rPr>
        <w:t>President and Chief Executive Officer</w:t>
      </w:r>
    </w:p>
    <w:p>
      <w:pPr>
        <w:spacing w:after="0" w:line="256" w:lineRule="exact"/>
        <w:rPr>
          <w:sz w:val="20"/>
          <w:szCs w:val="20"/>
          <w:color w:val="auto"/>
        </w:rPr>
      </w:pPr>
    </w:p>
    <w:p>
      <w:pPr>
        <w:spacing w:after="0"/>
        <w:tabs>
          <w:tab w:leader="none" w:pos="5020" w:val="left"/>
          <w:tab w:leader="none" w:pos="7960" w:val="left"/>
        </w:tabs>
        <w:rPr>
          <w:sz w:val="20"/>
          <w:szCs w:val="20"/>
          <w:color w:val="auto"/>
        </w:rPr>
      </w:pPr>
      <w:r>
        <w:rPr>
          <w:rFonts w:ascii="Times New Roman" w:cs="Times New Roman" w:eastAsia="Times New Roman" w:hAnsi="Times New Roman"/>
          <w:sz w:val="14"/>
          <w:szCs w:val="14"/>
          <w:color w:val="auto"/>
        </w:rPr>
        <w:t>Date: April 25, 2024</w:t>
      </w:r>
      <w:r>
        <w:rPr>
          <w:sz w:val="20"/>
          <w:szCs w:val="20"/>
          <w:color w:val="auto"/>
        </w:rPr>
        <w:tab/>
      </w:r>
      <w:r>
        <w:rPr>
          <w:rFonts w:ascii="Times New Roman" w:cs="Times New Roman" w:eastAsia="Times New Roman" w:hAnsi="Times New Roman"/>
          <w:sz w:val="14"/>
          <w:szCs w:val="14"/>
          <w:color w:val="auto"/>
        </w:rPr>
        <w:t>By:</w:t>
      </w:r>
      <w:r>
        <w:rPr>
          <w:sz w:val="20"/>
          <w:szCs w:val="20"/>
          <w:color w:val="auto"/>
        </w:rPr>
        <w:tab/>
      </w:r>
      <w:r>
        <w:rPr>
          <w:rFonts w:ascii="Times New Roman" w:cs="Times New Roman" w:eastAsia="Times New Roman" w:hAnsi="Times New Roman"/>
          <w:sz w:val="14"/>
          <w:szCs w:val="14"/>
          <w:color w:val="auto"/>
        </w:rPr>
        <w:t>/s/ Sean Deason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3546475</wp:posOffset>
            </wp:positionH>
            <wp:positionV relativeFrom="paragraph">
              <wp:posOffset>22225</wp:posOffset>
            </wp:positionV>
            <wp:extent cx="3463925" cy="698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5">
                      <a:extLst>
                        <a:ext uri="{28A0092B-C50C-407E-A947-70E740481C1C}"/>
                      </a:extLst>
                    </a:blip>
                    <a:srcRect/>
                    <a:stretch>
                      <a:fillRect/>
                    </a:stretch>
                  </pic:blipFill>
                  <pic:spPr bwMode="auto">
                    <a:xfrm>
                      <a:off x="0" y="0"/>
                      <a:ext cx="3463925" cy="6985"/>
                    </a:xfrm>
                    <a:prstGeom prst="rect">
                      <a:avLst/>
                    </a:prstGeom>
                    <a:noFill/>
                  </pic:spPr>
                </pic:pic>
              </a:graphicData>
            </a:graphic>
          </wp:anchor>
        </w:drawing>
      </w:r>
    </w:p>
    <w:p>
      <w:pPr>
        <w:spacing w:after="0" w:line="30" w:lineRule="exact"/>
        <w:rPr>
          <w:sz w:val="20"/>
          <w:szCs w:val="20"/>
          <w:color w:val="auto"/>
        </w:rPr>
      </w:pPr>
    </w:p>
    <w:p>
      <w:pPr>
        <w:jc w:val="center"/>
        <w:ind w:left="6200"/>
        <w:spacing w:after="0"/>
        <w:rPr>
          <w:sz w:val="20"/>
          <w:szCs w:val="20"/>
          <w:color w:val="auto"/>
        </w:rPr>
      </w:pPr>
      <w:r>
        <w:rPr>
          <w:rFonts w:ascii="Times New Roman" w:cs="Times New Roman" w:eastAsia="Times New Roman" w:hAnsi="Times New Roman"/>
          <w:sz w:val="14"/>
          <w:szCs w:val="14"/>
          <w:b w:val="1"/>
          <w:bCs w:val="1"/>
          <w:color w:val="auto"/>
        </w:rPr>
        <w:t>Sean Deason</w:t>
      </w:r>
    </w:p>
    <w:p>
      <w:pPr>
        <w:spacing w:after="0" w:line="41" w:lineRule="exact"/>
        <w:rPr>
          <w:sz w:val="20"/>
          <w:szCs w:val="20"/>
          <w:color w:val="auto"/>
        </w:rPr>
      </w:pPr>
    </w:p>
    <w:p>
      <w:pPr>
        <w:jc w:val="center"/>
        <w:ind w:left="6200"/>
        <w:spacing w:after="0"/>
        <w:rPr>
          <w:sz w:val="20"/>
          <w:szCs w:val="20"/>
          <w:color w:val="auto"/>
        </w:rPr>
      </w:pPr>
      <w:r>
        <w:rPr>
          <w:rFonts w:ascii="Times New Roman" w:cs="Times New Roman" w:eastAsia="Times New Roman" w:hAnsi="Times New Roman"/>
          <w:sz w:val="14"/>
          <w:szCs w:val="14"/>
          <w:b w:val="1"/>
          <w:bCs w:val="1"/>
          <w:color w:val="auto"/>
        </w:rPr>
        <w:t>Senior Vice President and Chief Financial Officer</w:t>
      </w:r>
    </w:p>
    <w:p>
      <w:pPr>
        <w:spacing w:after="0" w:line="200" w:lineRule="exact"/>
        <w:rPr>
          <w:sz w:val="20"/>
          <w:szCs w:val="20"/>
          <w:color w:val="auto"/>
        </w:rPr>
      </w:pPr>
    </w:p>
    <w:p>
      <w:pPr>
        <w:spacing w:after="0" w:line="365"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4"/>
          <w:szCs w:val="14"/>
          <w:color w:val="auto"/>
        </w:rPr>
        <w:t>35</w:t>
      </w:r>
    </w:p>
    <w:p>
      <w:pPr>
        <w:sectPr>
          <w:pgSz w:w="11900" w:h="16838" w:orient="portrait"/>
          <w:cols w:equalWidth="0" w:num="1">
            <w:col w:w="10360"/>
          </w:cols>
          <w:pgMar w:left="620" w:top="900" w:right="919" w:bottom="1440" w:gutter="0" w:footer="0" w:header="0"/>
        </w:sectPr>
      </w:pPr>
    </w:p>
    <w:bookmarkStart w:id="36" w:name="page37"/>
    <w:bookmarkEnd w:id="36"/>
    <w:p>
      <w:pPr>
        <w:jc w:val="right"/>
        <w:spacing w:after="0"/>
        <w:rPr>
          <w:sz w:val="20"/>
          <w:szCs w:val="20"/>
          <w:color w:val="auto"/>
        </w:rPr>
      </w:pPr>
      <w:r>
        <w:rPr>
          <w:rFonts w:ascii="Times New Roman" w:cs="Times New Roman" w:eastAsia="Times New Roman" w:hAnsi="Times New Roman"/>
          <w:sz w:val="14"/>
          <w:szCs w:val="14"/>
          <w:b w:val="1"/>
          <w:bCs w:val="1"/>
          <w:color w:val="auto"/>
        </w:rPr>
        <w:t>Exhibit 31.1</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CERTIFICATION</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 Olivier Rabiller, certify that:</w:t>
      </w:r>
    </w:p>
    <w:p>
      <w:pPr>
        <w:spacing w:after="0" w:line="180" w:lineRule="exact"/>
        <w:rPr>
          <w:sz w:val="20"/>
          <w:szCs w:val="20"/>
          <w:color w:val="auto"/>
        </w:rPr>
      </w:pPr>
    </w:p>
    <w:p>
      <w:pPr>
        <w:ind w:left="260" w:hanging="255"/>
        <w:spacing w:after="0"/>
        <w:tabs>
          <w:tab w:leader="none" w:pos="26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have reviewed this Quarterly Report on Form 10-Q of Garrett Motion Inc.;</w:t>
      </w:r>
    </w:p>
    <w:p>
      <w:pPr>
        <w:spacing w:after="0" w:line="179" w:lineRule="exact"/>
        <w:rPr>
          <w:rFonts w:ascii="Times New Roman" w:cs="Times New Roman" w:eastAsia="Times New Roman" w:hAnsi="Times New Roman"/>
          <w:sz w:val="14"/>
          <w:szCs w:val="14"/>
          <w:color w:val="auto"/>
        </w:rPr>
      </w:pPr>
    </w:p>
    <w:p>
      <w:pPr>
        <w:ind w:left="360" w:right="120" w:hanging="355"/>
        <w:spacing w:after="0" w:line="289" w:lineRule="auto"/>
        <w:tabs>
          <w:tab w:leader="none" w:pos="261"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Times New Roman" w:cs="Times New Roman" w:eastAsia="Times New Roman" w:hAnsi="Times New Roman"/>
          <w:sz w:val="14"/>
          <w:szCs w:val="14"/>
          <w:color w:val="auto"/>
        </w:rPr>
      </w:pPr>
    </w:p>
    <w:p>
      <w:pPr>
        <w:ind w:left="360" w:right="180" w:hanging="355"/>
        <w:spacing w:after="0" w:line="289" w:lineRule="auto"/>
        <w:tabs>
          <w:tab w:leader="none" w:pos="261"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3" w:lineRule="exact"/>
        <w:rPr>
          <w:rFonts w:ascii="Times New Roman" w:cs="Times New Roman" w:eastAsia="Times New Roman" w:hAnsi="Times New Roman"/>
          <w:sz w:val="14"/>
          <w:szCs w:val="14"/>
          <w:color w:val="auto"/>
        </w:rPr>
      </w:pPr>
    </w:p>
    <w:p>
      <w:pPr>
        <w:ind w:left="360" w:right="20" w:hanging="355"/>
        <w:spacing w:after="0" w:line="289" w:lineRule="auto"/>
        <w:tabs>
          <w:tab w:leader="none" w:pos="258"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3" w:lineRule="exact"/>
        <w:rPr>
          <w:rFonts w:ascii="Times New Roman" w:cs="Times New Roman" w:eastAsia="Times New Roman" w:hAnsi="Times New Roman"/>
          <w:sz w:val="14"/>
          <w:szCs w:val="14"/>
          <w:color w:val="auto"/>
        </w:rPr>
      </w:pPr>
    </w:p>
    <w:p>
      <w:pPr>
        <w:ind w:left="700" w:right="100" w:hanging="347"/>
        <w:spacing w:after="0" w:line="289" w:lineRule="auto"/>
        <w:tabs>
          <w:tab w:leader="none" w:pos="652" w:val="left"/>
        </w:tabs>
        <w:numPr>
          <w:ilvl w:val="1"/>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3" w:lineRule="exact"/>
        <w:rPr>
          <w:rFonts w:ascii="Times New Roman" w:cs="Times New Roman" w:eastAsia="Times New Roman" w:hAnsi="Times New Roman"/>
          <w:sz w:val="14"/>
          <w:szCs w:val="14"/>
          <w:color w:val="auto"/>
        </w:rPr>
      </w:pPr>
    </w:p>
    <w:p>
      <w:pPr>
        <w:ind w:left="700" w:right="300" w:hanging="347"/>
        <w:spacing w:after="0" w:line="289" w:lineRule="auto"/>
        <w:tabs>
          <w:tab w:leader="none" w:pos="660" w:val="left"/>
        </w:tabs>
        <w:numPr>
          <w:ilvl w:val="1"/>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3" w:lineRule="exact"/>
        <w:rPr>
          <w:rFonts w:ascii="Times New Roman" w:cs="Times New Roman" w:eastAsia="Times New Roman" w:hAnsi="Times New Roman"/>
          <w:sz w:val="14"/>
          <w:szCs w:val="14"/>
          <w:color w:val="auto"/>
        </w:rPr>
      </w:pPr>
    </w:p>
    <w:p>
      <w:pPr>
        <w:ind w:left="700" w:right="500" w:hanging="347"/>
        <w:spacing w:after="0" w:line="289" w:lineRule="auto"/>
        <w:tabs>
          <w:tab w:leader="none" w:pos="652" w:val="left"/>
        </w:tabs>
        <w:numPr>
          <w:ilvl w:val="1"/>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Times New Roman" w:cs="Times New Roman" w:eastAsia="Times New Roman" w:hAnsi="Times New Roman"/>
          <w:sz w:val="14"/>
          <w:szCs w:val="14"/>
          <w:color w:val="auto"/>
        </w:rPr>
      </w:pPr>
    </w:p>
    <w:p>
      <w:pPr>
        <w:ind w:left="700" w:right="140" w:hanging="347"/>
        <w:spacing w:after="0" w:line="289" w:lineRule="auto"/>
        <w:tabs>
          <w:tab w:leader="none" w:pos="660" w:val="left"/>
        </w:tabs>
        <w:numPr>
          <w:ilvl w:val="1"/>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3" w:lineRule="exact"/>
        <w:rPr>
          <w:rFonts w:ascii="Times New Roman" w:cs="Times New Roman" w:eastAsia="Times New Roman" w:hAnsi="Times New Roman"/>
          <w:sz w:val="14"/>
          <w:szCs w:val="14"/>
          <w:color w:val="auto"/>
        </w:rPr>
      </w:pPr>
    </w:p>
    <w:p>
      <w:pPr>
        <w:ind w:left="360" w:right="120" w:hanging="355"/>
        <w:spacing w:after="0" w:line="289" w:lineRule="auto"/>
        <w:tabs>
          <w:tab w:leader="none" w:pos="258"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Times New Roman" w:cs="Times New Roman" w:eastAsia="Times New Roman" w:hAnsi="Times New Roman"/>
          <w:sz w:val="14"/>
          <w:szCs w:val="14"/>
          <w:color w:val="auto"/>
        </w:rPr>
      </w:pPr>
    </w:p>
    <w:p>
      <w:pPr>
        <w:ind w:left="700" w:right="180" w:hanging="347"/>
        <w:spacing w:after="0" w:line="289" w:lineRule="auto"/>
        <w:tabs>
          <w:tab w:leader="none" w:pos="644" w:val="left"/>
        </w:tabs>
        <w:numPr>
          <w:ilvl w:val="1"/>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Times New Roman" w:cs="Times New Roman" w:eastAsia="Times New Roman" w:hAnsi="Times New Roman"/>
          <w:sz w:val="14"/>
          <w:szCs w:val="14"/>
          <w:color w:val="auto"/>
        </w:rPr>
      </w:pPr>
    </w:p>
    <w:p>
      <w:pPr>
        <w:ind w:left="660" w:hanging="307"/>
        <w:spacing w:after="0"/>
        <w:tabs>
          <w:tab w:leader="none" w:pos="660" w:val="left"/>
        </w:tabs>
        <w:numPr>
          <w:ilvl w:val="1"/>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fraud, whether or not material, that involves management or other employees who have a significant role in the registrant’s internal control over financial reporting.</w:t>
      </w:r>
    </w:p>
    <w:p>
      <w:pPr>
        <w:spacing w:after="0" w:line="233" w:lineRule="exact"/>
        <w:rPr>
          <w:sz w:val="20"/>
          <w:szCs w:val="20"/>
          <w:color w:val="auto"/>
        </w:rPr>
      </w:pPr>
    </w:p>
    <w:tbl>
      <w:tblPr>
        <w:tblLayout w:type="fixed"/>
        <w:tblInd w:w="20" w:type="dxa"/>
        <w:tblCellMar>
          <w:top w:w="0" w:type="dxa"/>
          <w:left w:w="0" w:type="dxa"/>
          <w:bottom w:w="0" w:type="dxa"/>
          <w:right w:w="0" w:type="dxa"/>
        </w:tblCellMar>
      </w:tblPr>
      <w:tr>
        <w:trPr>
          <w:trHeight w:val="185"/>
        </w:trPr>
        <w:tc>
          <w:tcPr>
            <w:tcW w:w="3460" w:type="dxa"/>
            <w:vAlign w:val="bottom"/>
          </w:tcPr>
          <w:p>
            <w:pPr>
              <w:spacing w:after="0"/>
              <w:rPr>
                <w:sz w:val="20"/>
                <w:szCs w:val="20"/>
                <w:color w:val="auto"/>
              </w:rPr>
            </w:pPr>
            <w:r>
              <w:rPr>
                <w:rFonts w:ascii="Times New Roman" w:cs="Times New Roman" w:eastAsia="Times New Roman" w:hAnsi="Times New Roman"/>
                <w:sz w:val="14"/>
                <w:szCs w:val="14"/>
                <w:color w:val="auto"/>
              </w:rPr>
              <w:t>Date: April 25, 2024</w:t>
            </w:r>
          </w:p>
        </w:tc>
        <w:tc>
          <w:tcPr>
            <w:tcW w:w="2480" w:type="dxa"/>
            <w:vAlign w:val="bottom"/>
          </w:tcPr>
          <w:p>
            <w:pPr>
              <w:ind w:left="2260"/>
              <w:spacing w:after="0"/>
              <w:rPr>
                <w:sz w:val="20"/>
                <w:szCs w:val="20"/>
                <w:color w:val="auto"/>
              </w:rPr>
            </w:pPr>
            <w:r>
              <w:rPr>
                <w:rFonts w:ascii="Times New Roman" w:cs="Times New Roman" w:eastAsia="Times New Roman" w:hAnsi="Times New Roman"/>
                <w:sz w:val="14"/>
                <w:szCs w:val="14"/>
                <w:color w:val="auto"/>
                <w:w w:val="98"/>
              </w:rPr>
              <w:t>By:</w:t>
            </w:r>
          </w:p>
        </w:tc>
        <w:tc>
          <w:tcPr>
            <w:tcW w:w="5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/s/ Olivier Rabiller</w:t>
            </w:r>
          </w:p>
        </w:tc>
      </w:tr>
      <w:tr>
        <w:trPr>
          <w:trHeight w:val="168"/>
        </w:trPr>
        <w:tc>
          <w:tcPr>
            <w:tcW w:w="346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53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Olivier Rabiller</w:t>
            </w:r>
          </w:p>
        </w:tc>
      </w:tr>
      <w:tr>
        <w:trPr>
          <w:trHeight w:val="179"/>
        </w:trPr>
        <w:tc>
          <w:tcPr>
            <w:tcW w:w="3460" w:type="dxa"/>
            <w:vAlign w:val="bottom"/>
          </w:tcPr>
          <w:p>
            <w:pPr>
              <w:spacing w:after="0"/>
              <w:rPr>
                <w:sz w:val="15"/>
                <w:szCs w:val="15"/>
                <w:color w:val="auto"/>
              </w:rPr>
            </w:pPr>
          </w:p>
        </w:tc>
        <w:tc>
          <w:tcPr>
            <w:tcW w:w="2480" w:type="dxa"/>
            <w:vAlign w:val="bottom"/>
          </w:tcPr>
          <w:p>
            <w:pPr>
              <w:spacing w:after="0"/>
              <w:rPr>
                <w:sz w:val="15"/>
                <w:szCs w:val="15"/>
                <w:color w:val="auto"/>
              </w:rPr>
            </w:pPr>
          </w:p>
        </w:tc>
        <w:tc>
          <w:tcPr>
            <w:tcW w:w="53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President and Chief Executive Officer</w:t>
            </w:r>
          </w:p>
        </w:tc>
      </w:tr>
      <w:tr>
        <w:trPr>
          <w:trHeight w:val="186"/>
        </w:trPr>
        <w:tc>
          <w:tcPr>
            <w:tcW w:w="3460" w:type="dxa"/>
            <w:vAlign w:val="bottom"/>
          </w:tcPr>
          <w:p>
            <w:pPr>
              <w:spacing w:after="0"/>
              <w:rPr>
                <w:sz w:val="16"/>
                <w:szCs w:val="16"/>
                <w:color w:val="auto"/>
              </w:rPr>
            </w:pPr>
          </w:p>
        </w:tc>
        <w:tc>
          <w:tcPr>
            <w:tcW w:w="2480" w:type="dxa"/>
            <w:vAlign w:val="bottom"/>
          </w:tcPr>
          <w:p>
            <w:pPr>
              <w:spacing w:after="0"/>
              <w:rPr>
                <w:sz w:val="16"/>
                <w:szCs w:val="16"/>
                <w:color w:val="auto"/>
              </w:rPr>
            </w:pPr>
          </w:p>
        </w:tc>
        <w:tc>
          <w:tcPr>
            <w:tcW w:w="5320" w:type="dxa"/>
            <w:vAlign w:val="bottom"/>
          </w:tcPr>
          <w:p>
            <w:pPr>
              <w:jc w:val="center"/>
              <w:spacing w:after="0"/>
              <w:rPr>
                <w:sz w:val="20"/>
                <w:szCs w:val="20"/>
                <w:color w:val="auto"/>
              </w:rPr>
            </w:pPr>
            <w:r>
              <w:rPr>
                <w:rFonts w:ascii="Times New Roman" w:cs="Times New Roman" w:eastAsia="Times New Roman" w:hAnsi="Times New Roman"/>
                <w:sz w:val="14"/>
                <w:szCs w:val="14"/>
                <w:i w:val="1"/>
                <w:iCs w:val="1"/>
                <w:color w:val="auto"/>
              </w:rPr>
              <w:t>(principal executive officer)</w:t>
            </w:r>
          </w:p>
        </w:tc>
      </w:tr>
    </w:tbl>
    <w:p>
      <w:pPr>
        <w:sectPr>
          <w:pgSz w:w="11900" w:h="16838" w:orient="portrait"/>
          <w:cols w:equalWidth="0" w:num="1">
            <w:col w:w="11280"/>
          </w:cols>
          <w:pgMar w:left="300" w:top="634" w:right="319" w:bottom="1440" w:gutter="0" w:footer="0" w:header="0"/>
        </w:sectPr>
      </w:pPr>
    </w:p>
    <w:bookmarkStart w:id="37" w:name="page38"/>
    <w:bookmarkEnd w:id="37"/>
    <w:p>
      <w:pPr>
        <w:jc w:val="right"/>
        <w:spacing w:after="0"/>
        <w:rPr>
          <w:sz w:val="20"/>
          <w:szCs w:val="20"/>
          <w:color w:val="auto"/>
        </w:rPr>
      </w:pPr>
      <w:r>
        <w:rPr>
          <w:rFonts w:ascii="Times New Roman" w:cs="Times New Roman" w:eastAsia="Times New Roman" w:hAnsi="Times New Roman"/>
          <w:sz w:val="14"/>
          <w:szCs w:val="14"/>
          <w:b w:val="1"/>
          <w:bCs w:val="1"/>
          <w:color w:val="auto"/>
        </w:rPr>
        <w:t>Exhibit 31.2</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CERTIFICATION</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 Sean Deason, certify that:</w:t>
      </w:r>
    </w:p>
    <w:p>
      <w:pPr>
        <w:spacing w:after="0" w:line="180" w:lineRule="exact"/>
        <w:rPr>
          <w:sz w:val="20"/>
          <w:szCs w:val="20"/>
          <w:color w:val="auto"/>
        </w:rPr>
      </w:pPr>
    </w:p>
    <w:p>
      <w:pPr>
        <w:ind w:left="260" w:hanging="255"/>
        <w:spacing w:after="0"/>
        <w:tabs>
          <w:tab w:leader="none" w:pos="26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have reviewed this Quarterly Report on Form 10-Q of Garrett Motion Inc.;</w:t>
      </w:r>
    </w:p>
    <w:p>
      <w:pPr>
        <w:spacing w:after="0" w:line="179" w:lineRule="exact"/>
        <w:rPr>
          <w:rFonts w:ascii="Times New Roman" w:cs="Times New Roman" w:eastAsia="Times New Roman" w:hAnsi="Times New Roman"/>
          <w:sz w:val="14"/>
          <w:szCs w:val="14"/>
          <w:color w:val="auto"/>
        </w:rPr>
      </w:pPr>
    </w:p>
    <w:p>
      <w:pPr>
        <w:ind w:left="360" w:right="120" w:hanging="355"/>
        <w:spacing w:after="0" w:line="289" w:lineRule="auto"/>
        <w:tabs>
          <w:tab w:leader="none" w:pos="261"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Times New Roman" w:cs="Times New Roman" w:eastAsia="Times New Roman" w:hAnsi="Times New Roman"/>
          <w:sz w:val="14"/>
          <w:szCs w:val="14"/>
          <w:color w:val="auto"/>
        </w:rPr>
      </w:pPr>
    </w:p>
    <w:p>
      <w:pPr>
        <w:ind w:left="360" w:right="180" w:hanging="355"/>
        <w:spacing w:after="0" w:line="289" w:lineRule="auto"/>
        <w:tabs>
          <w:tab w:leader="none" w:pos="261"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3" w:lineRule="exact"/>
        <w:rPr>
          <w:rFonts w:ascii="Times New Roman" w:cs="Times New Roman" w:eastAsia="Times New Roman" w:hAnsi="Times New Roman"/>
          <w:sz w:val="14"/>
          <w:szCs w:val="14"/>
          <w:color w:val="auto"/>
        </w:rPr>
      </w:pPr>
    </w:p>
    <w:p>
      <w:pPr>
        <w:ind w:left="360" w:right="20" w:hanging="355"/>
        <w:spacing w:after="0" w:line="289" w:lineRule="auto"/>
        <w:tabs>
          <w:tab w:leader="none" w:pos="258"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3" w:lineRule="exact"/>
        <w:rPr>
          <w:rFonts w:ascii="Times New Roman" w:cs="Times New Roman" w:eastAsia="Times New Roman" w:hAnsi="Times New Roman"/>
          <w:sz w:val="14"/>
          <w:szCs w:val="14"/>
          <w:color w:val="auto"/>
        </w:rPr>
      </w:pPr>
    </w:p>
    <w:p>
      <w:pPr>
        <w:ind w:left="700" w:right="100" w:hanging="347"/>
        <w:spacing w:after="0" w:line="289" w:lineRule="auto"/>
        <w:tabs>
          <w:tab w:leader="none" w:pos="652" w:val="left"/>
        </w:tabs>
        <w:numPr>
          <w:ilvl w:val="1"/>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3" w:lineRule="exact"/>
        <w:rPr>
          <w:rFonts w:ascii="Times New Roman" w:cs="Times New Roman" w:eastAsia="Times New Roman" w:hAnsi="Times New Roman"/>
          <w:sz w:val="14"/>
          <w:szCs w:val="14"/>
          <w:color w:val="auto"/>
        </w:rPr>
      </w:pPr>
    </w:p>
    <w:p>
      <w:pPr>
        <w:ind w:left="700" w:right="300" w:hanging="347"/>
        <w:spacing w:after="0" w:line="289" w:lineRule="auto"/>
        <w:tabs>
          <w:tab w:leader="none" w:pos="660" w:val="left"/>
        </w:tabs>
        <w:numPr>
          <w:ilvl w:val="1"/>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3" w:lineRule="exact"/>
        <w:rPr>
          <w:rFonts w:ascii="Times New Roman" w:cs="Times New Roman" w:eastAsia="Times New Roman" w:hAnsi="Times New Roman"/>
          <w:sz w:val="14"/>
          <w:szCs w:val="14"/>
          <w:color w:val="auto"/>
        </w:rPr>
      </w:pPr>
    </w:p>
    <w:p>
      <w:pPr>
        <w:ind w:left="700" w:right="500" w:hanging="347"/>
        <w:spacing w:after="0" w:line="289" w:lineRule="auto"/>
        <w:tabs>
          <w:tab w:leader="none" w:pos="652" w:val="left"/>
        </w:tabs>
        <w:numPr>
          <w:ilvl w:val="1"/>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Times New Roman" w:cs="Times New Roman" w:eastAsia="Times New Roman" w:hAnsi="Times New Roman"/>
          <w:sz w:val="14"/>
          <w:szCs w:val="14"/>
          <w:color w:val="auto"/>
        </w:rPr>
      </w:pPr>
    </w:p>
    <w:p>
      <w:pPr>
        <w:ind w:left="700" w:right="140" w:hanging="347"/>
        <w:spacing w:after="0" w:line="289" w:lineRule="auto"/>
        <w:tabs>
          <w:tab w:leader="none" w:pos="660" w:val="left"/>
        </w:tabs>
        <w:numPr>
          <w:ilvl w:val="1"/>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3" w:lineRule="exact"/>
        <w:rPr>
          <w:rFonts w:ascii="Times New Roman" w:cs="Times New Roman" w:eastAsia="Times New Roman" w:hAnsi="Times New Roman"/>
          <w:sz w:val="14"/>
          <w:szCs w:val="14"/>
          <w:color w:val="auto"/>
        </w:rPr>
      </w:pPr>
    </w:p>
    <w:p>
      <w:pPr>
        <w:ind w:left="360" w:right="120" w:hanging="355"/>
        <w:spacing w:after="0" w:line="289" w:lineRule="auto"/>
        <w:tabs>
          <w:tab w:leader="none" w:pos="258"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Times New Roman" w:cs="Times New Roman" w:eastAsia="Times New Roman" w:hAnsi="Times New Roman"/>
          <w:sz w:val="14"/>
          <w:szCs w:val="14"/>
          <w:color w:val="auto"/>
        </w:rPr>
      </w:pPr>
    </w:p>
    <w:p>
      <w:pPr>
        <w:ind w:left="700" w:right="180" w:hanging="347"/>
        <w:spacing w:after="0" w:line="289" w:lineRule="auto"/>
        <w:tabs>
          <w:tab w:leader="none" w:pos="644" w:val="left"/>
        </w:tabs>
        <w:numPr>
          <w:ilvl w:val="1"/>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Times New Roman" w:cs="Times New Roman" w:eastAsia="Times New Roman" w:hAnsi="Times New Roman"/>
          <w:sz w:val="14"/>
          <w:szCs w:val="14"/>
          <w:color w:val="auto"/>
        </w:rPr>
      </w:pPr>
    </w:p>
    <w:p>
      <w:pPr>
        <w:ind w:left="660" w:hanging="307"/>
        <w:spacing w:after="0"/>
        <w:tabs>
          <w:tab w:leader="none" w:pos="660" w:val="left"/>
        </w:tabs>
        <w:numPr>
          <w:ilvl w:val="1"/>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fraud, whether or not material, that involves management or other employees who have a significant role in the registrant’s internal control over financial reporting.</w:t>
      </w:r>
    </w:p>
    <w:p>
      <w:pPr>
        <w:spacing w:after="0" w:line="233" w:lineRule="exact"/>
        <w:rPr>
          <w:sz w:val="20"/>
          <w:szCs w:val="20"/>
          <w:color w:val="auto"/>
        </w:rPr>
      </w:pPr>
    </w:p>
    <w:p>
      <w:pPr>
        <w:ind w:left="20"/>
        <w:spacing w:after="0"/>
        <w:tabs>
          <w:tab w:leader="none" w:pos="5720" w:val="left"/>
          <w:tab w:leader="none" w:pos="8160" w:val="left"/>
        </w:tabs>
        <w:rPr>
          <w:sz w:val="20"/>
          <w:szCs w:val="20"/>
          <w:color w:val="auto"/>
        </w:rPr>
      </w:pPr>
      <w:r>
        <w:rPr>
          <w:rFonts w:ascii="Times New Roman" w:cs="Times New Roman" w:eastAsia="Times New Roman" w:hAnsi="Times New Roman"/>
          <w:sz w:val="14"/>
          <w:szCs w:val="14"/>
          <w:color w:val="auto"/>
        </w:rPr>
        <w:t>Date: April 25, 2024</w:t>
      </w:r>
      <w:r>
        <w:rPr>
          <w:sz w:val="20"/>
          <w:szCs w:val="20"/>
          <w:color w:val="auto"/>
        </w:rPr>
        <w:tab/>
      </w:r>
      <w:r>
        <w:rPr>
          <w:rFonts w:ascii="Times New Roman" w:cs="Times New Roman" w:eastAsia="Times New Roman" w:hAnsi="Times New Roman"/>
          <w:sz w:val="14"/>
          <w:szCs w:val="14"/>
          <w:color w:val="auto"/>
        </w:rPr>
        <w:t>By:</w:t>
      </w:r>
      <w:r>
        <w:rPr>
          <w:sz w:val="20"/>
          <w:szCs w:val="20"/>
          <w:color w:val="auto"/>
        </w:rPr>
        <w:tab/>
      </w:r>
      <w:r>
        <w:rPr>
          <w:rFonts w:ascii="Times New Roman" w:cs="Times New Roman" w:eastAsia="Times New Roman" w:hAnsi="Times New Roman"/>
          <w:sz w:val="14"/>
          <w:szCs w:val="14"/>
          <w:color w:val="auto"/>
        </w:rPr>
        <w:t>/s/ Sean Deason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3790315</wp:posOffset>
            </wp:positionH>
            <wp:positionV relativeFrom="paragraph">
              <wp:posOffset>35560</wp:posOffset>
            </wp:positionV>
            <wp:extent cx="3374390" cy="698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6">
                      <a:extLst>
                        <a:ext uri="{28A0092B-C50C-407E-A947-70E740481C1C}"/>
                      </a:extLst>
                    </a:blip>
                    <a:srcRect/>
                    <a:stretch>
                      <a:fillRect/>
                    </a:stretch>
                  </pic:blipFill>
                  <pic:spPr bwMode="auto">
                    <a:xfrm>
                      <a:off x="0" y="0"/>
                      <a:ext cx="3374390" cy="6985"/>
                    </a:xfrm>
                    <a:prstGeom prst="rect">
                      <a:avLst/>
                    </a:prstGeom>
                    <a:noFill/>
                  </pic:spPr>
                </pic:pic>
              </a:graphicData>
            </a:graphic>
          </wp:anchor>
        </w:drawing>
      </w:r>
    </w:p>
    <w:p>
      <w:pPr>
        <w:spacing w:after="0" w:line="43" w:lineRule="exact"/>
        <w:rPr>
          <w:sz w:val="20"/>
          <w:szCs w:val="20"/>
          <w:color w:val="auto"/>
        </w:rPr>
      </w:pPr>
    </w:p>
    <w:p>
      <w:pPr>
        <w:jc w:val="center"/>
        <w:ind w:left="5940"/>
        <w:spacing w:after="0"/>
        <w:rPr>
          <w:sz w:val="20"/>
          <w:szCs w:val="20"/>
          <w:color w:val="auto"/>
        </w:rPr>
      </w:pPr>
      <w:r>
        <w:rPr>
          <w:rFonts w:ascii="Times New Roman" w:cs="Times New Roman" w:eastAsia="Times New Roman" w:hAnsi="Times New Roman"/>
          <w:sz w:val="14"/>
          <w:szCs w:val="14"/>
          <w:color w:val="auto"/>
        </w:rPr>
        <w:t>Sean Deason</w:t>
      </w:r>
    </w:p>
    <w:p>
      <w:pPr>
        <w:spacing w:after="0" w:line="31" w:lineRule="exact"/>
        <w:rPr>
          <w:sz w:val="20"/>
          <w:szCs w:val="20"/>
          <w:color w:val="auto"/>
        </w:rPr>
      </w:pPr>
    </w:p>
    <w:p>
      <w:pPr>
        <w:jc w:val="center"/>
        <w:ind w:left="5940"/>
        <w:spacing w:after="0"/>
        <w:rPr>
          <w:sz w:val="20"/>
          <w:szCs w:val="20"/>
          <w:color w:val="auto"/>
        </w:rPr>
      </w:pPr>
      <w:r>
        <w:rPr>
          <w:rFonts w:ascii="Times New Roman" w:cs="Times New Roman" w:eastAsia="Times New Roman" w:hAnsi="Times New Roman"/>
          <w:sz w:val="14"/>
          <w:szCs w:val="14"/>
          <w:color w:val="auto"/>
        </w:rPr>
        <w:t>Senior Vice President and Chief Financial Officer</w:t>
      </w:r>
    </w:p>
    <w:p>
      <w:pPr>
        <w:spacing w:after="0" w:line="50" w:lineRule="exact"/>
        <w:rPr>
          <w:sz w:val="20"/>
          <w:szCs w:val="20"/>
          <w:color w:val="auto"/>
        </w:rPr>
      </w:pPr>
    </w:p>
    <w:p>
      <w:pPr>
        <w:ind w:left="784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principal financial officer</w:t>
      </w:r>
      <w:r>
        <w:rPr>
          <w:rFonts w:ascii="Times New Roman" w:cs="Times New Roman" w:eastAsia="Times New Roman" w:hAnsi="Times New Roman"/>
          <w:sz w:val="14"/>
          <w:szCs w:val="14"/>
          <w:color w:val="auto"/>
        </w:rPr>
        <w:t>)</w:t>
      </w:r>
    </w:p>
    <w:p>
      <w:pPr>
        <w:sectPr>
          <w:pgSz w:w="11900" w:h="16838" w:orient="portrait"/>
          <w:cols w:equalWidth="0" w:num="1">
            <w:col w:w="11280"/>
          </w:cols>
          <w:pgMar w:left="300" w:top="634" w:right="319" w:bottom="1440" w:gutter="0" w:footer="0" w:header="0"/>
        </w:sectPr>
      </w:pPr>
    </w:p>
    <w:bookmarkStart w:id="38" w:name="page39"/>
    <w:bookmarkEnd w:id="38"/>
    <w:p>
      <w:pPr>
        <w:jc w:val="right"/>
        <w:spacing w:after="0"/>
        <w:rPr>
          <w:sz w:val="20"/>
          <w:szCs w:val="20"/>
          <w:color w:val="auto"/>
        </w:rPr>
      </w:pPr>
      <w:r>
        <w:rPr>
          <w:rFonts w:ascii="Times New Roman" w:cs="Times New Roman" w:eastAsia="Times New Roman" w:hAnsi="Times New Roman"/>
          <w:sz w:val="14"/>
          <w:szCs w:val="14"/>
          <w:b w:val="1"/>
          <w:bCs w:val="1"/>
          <w:color w:val="auto"/>
        </w:rPr>
        <w:t>Exhibit 32.1</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CERTIFICATION PURSUANT TO</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18 U.S.C. SECTION 1350, AS ADOPTED PURSUANT TO</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SECTION 906 OF THE SARBANES-OXLEY ACT OF 2002</w:t>
      </w:r>
    </w:p>
    <w:p>
      <w:pPr>
        <w:spacing w:after="0" w:line="182" w:lineRule="exact"/>
        <w:rPr>
          <w:sz w:val="20"/>
          <w:szCs w:val="20"/>
          <w:color w:val="auto"/>
        </w:rPr>
      </w:pPr>
    </w:p>
    <w:p>
      <w:pPr>
        <w:ind w:right="200"/>
        <w:spacing w:after="0" w:line="289" w:lineRule="auto"/>
        <w:rPr>
          <w:sz w:val="20"/>
          <w:szCs w:val="20"/>
          <w:color w:val="auto"/>
        </w:rPr>
      </w:pPr>
      <w:r>
        <w:rPr>
          <w:rFonts w:ascii="Times New Roman" w:cs="Times New Roman" w:eastAsia="Times New Roman" w:hAnsi="Times New Roman"/>
          <w:sz w:val="14"/>
          <w:szCs w:val="14"/>
          <w:color w:val="auto"/>
        </w:rPr>
        <w:t>In connection with the Quarterly Report on Form 10-Q of Garrett Motion Inc. (the “Company”) for the period ended March 31, 2024 as filed with the Securities and Exchange Commission on the date hereof (the “Report”), I certify, pursuant to 18 U.S.C. § 1350, as adopted pursuant to § 906 of the Sarbanes-Oxley Act of 2002, that:</w:t>
      </w:r>
    </w:p>
    <w:p>
      <w:pPr>
        <w:spacing w:after="0" w:line="177" w:lineRule="exact"/>
        <w:rPr>
          <w:sz w:val="20"/>
          <w:szCs w:val="20"/>
          <w:color w:val="auto"/>
        </w:rPr>
      </w:pPr>
    </w:p>
    <w:p>
      <w:pPr>
        <w:ind w:left="1060" w:hanging="519"/>
        <w:spacing w:after="0"/>
        <w:tabs>
          <w:tab w:leader="none" w:pos="106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Report fully complies with the requirements of section 13(a) or 15(d) of the Securities Exchange Act of 1934; and</w:t>
      </w:r>
    </w:p>
    <w:p>
      <w:pPr>
        <w:spacing w:after="0" w:line="201" w:lineRule="exact"/>
        <w:rPr>
          <w:rFonts w:ascii="Times New Roman" w:cs="Times New Roman" w:eastAsia="Times New Roman" w:hAnsi="Times New Roman"/>
          <w:sz w:val="14"/>
          <w:szCs w:val="14"/>
          <w:color w:val="auto"/>
        </w:rPr>
      </w:pPr>
    </w:p>
    <w:p>
      <w:pPr>
        <w:ind w:left="1060" w:hanging="519"/>
        <w:spacing w:after="0"/>
        <w:tabs>
          <w:tab w:leader="none" w:pos="106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46" w:lineRule="exact"/>
        <w:rPr>
          <w:sz w:val="20"/>
          <w:szCs w:val="20"/>
          <w:color w:val="auto"/>
        </w:rPr>
      </w:pPr>
    </w:p>
    <w:p>
      <w:pPr>
        <w:ind w:left="20"/>
        <w:spacing w:after="0"/>
        <w:tabs>
          <w:tab w:leader="none" w:pos="5800" w:val="left"/>
          <w:tab w:leader="none" w:pos="8100" w:val="left"/>
        </w:tabs>
        <w:rPr>
          <w:sz w:val="20"/>
          <w:szCs w:val="20"/>
          <w:color w:val="auto"/>
        </w:rPr>
      </w:pPr>
      <w:r>
        <w:rPr>
          <w:rFonts w:ascii="Times New Roman" w:cs="Times New Roman" w:eastAsia="Times New Roman" w:hAnsi="Times New Roman"/>
          <w:sz w:val="14"/>
          <w:szCs w:val="14"/>
          <w:color w:val="auto"/>
        </w:rPr>
        <w:t>Date: April 25, 2024</w:t>
      </w:r>
      <w:r>
        <w:rPr>
          <w:sz w:val="20"/>
          <w:szCs w:val="20"/>
          <w:color w:val="auto"/>
        </w:rPr>
        <w:tab/>
      </w:r>
      <w:r>
        <w:rPr>
          <w:rFonts w:ascii="Times New Roman" w:cs="Times New Roman" w:eastAsia="Times New Roman" w:hAnsi="Times New Roman"/>
          <w:sz w:val="14"/>
          <w:szCs w:val="14"/>
          <w:color w:val="auto"/>
        </w:rPr>
        <w:t>By:</w:t>
      </w:r>
      <w:r>
        <w:rPr>
          <w:sz w:val="20"/>
          <w:szCs w:val="20"/>
          <w:color w:val="auto"/>
        </w:rPr>
        <w:tab/>
      </w:r>
      <w:r>
        <w:rPr>
          <w:rFonts w:ascii="Times New Roman" w:cs="Times New Roman" w:eastAsia="Times New Roman" w:hAnsi="Times New Roman"/>
          <w:sz w:val="14"/>
          <w:szCs w:val="14"/>
          <w:color w:val="auto"/>
        </w:rPr>
        <w:t>/s/ Olivier Rabiller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3830955</wp:posOffset>
            </wp:positionH>
            <wp:positionV relativeFrom="paragraph">
              <wp:posOffset>35560</wp:posOffset>
            </wp:positionV>
            <wp:extent cx="3333750" cy="698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7">
                      <a:extLst>
                        <a:ext uri="{28A0092B-C50C-407E-A947-70E740481C1C}"/>
                      </a:extLst>
                    </a:blip>
                    <a:srcRect/>
                    <a:stretch>
                      <a:fillRect/>
                    </a:stretch>
                  </pic:blipFill>
                  <pic:spPr bwMode="auto">
                    <a:xfrm>
                      <a:off x="0" y="0"/>
                      <a:ext cx="3333750" cy="6985"/>
                    </a:xfrm>
                    <a:prstGeom prst="rect">
                      <a:avLst/>
                    </a:prstGeom>
                    <a:noFill/>
                  </pic:spPr>
                </pic:pic>
              </a:graphicData>
            </a:graphic>
          </wp:anchor>
        </w:drawing>
      </w:r>
    </w:p>
    <w:p>
      <w:pPr>
        <w:spacing w:after="0" w:line="43" w:lineRule="exact"/>
        <w:rPr>
          <w:sz w:val="20"/>
          <w:szCs w:val="20"/>
          <w:color w:val="auto"/>
        </w:rPr>
      </w:pPr>
    </w:p>
    <w:p>
      <w:pPr>
        <w:ind w:left="8220"/>
        <w:spacing w:after="0"/>
        <w:rPr>
          <w:sz w:val="20"/>
          <w:szCs w:val="20"/>
          <w:color w:val="auto"/>
        </w:rPr>
      </w:pPr>
      <w:r>
        <w:rPr>
          <w:rFonts w:ascii="Times New Roman" w:cs="Times New Roman" w:eastAsia="Times New Roman" w:hAnsi="Times New Roman"/>
          <w:sz w:val="14"/>
          <w:szCs w:val="14"/>
          <w:color w:val="auto"/>
        </w:rPr>
        <w:t>Olivier Rabiller</w:t>
      </w:r>
    </w:p>
    <w:p>
      <w:pPr>
        <w:spacing w:after="0" w:line="31" w:lineRule="exact"/>
        <w:rPr>
          <w:sz w:val="20"/>
          <w:szCs w:val="20"/>
          <w:color w:val="auto"/>
        </w:rPr>
      </w:pPr>
    </w:p>
    <w:p>
      <w:pPr>
        <w:ind w:left="7580"/>
        <w:spacing w:after="0"/>
        <w:rPr>
          <w:sz w:val="20"/>
          <w:szCs w:val="20"/>
          <w:color w:val="auto"/>
        </w:rPr>
      </w:pPr>
      <w:r>
        <w:rPr>
          <w:rFonts w:ascii="Times New Roman" w:cs="Times New Roman" w:eastAsia="Times New Roman" w:hAnsi="Times New Roman"/>
          <w:sz w:val="14"/>
          <w:szCs w:val="14"/>
          <w:color w:val="auto"/>
        </w:rPr>
        <w:t>President and Chief Executive Officer</w:t>
      </w:r>
    </w:p>
    <w:p>
      <w:pPr>
        <w:spacing w:after="0" w:line="23" w:lineRule="exact"/>
        <w:rPr>
          <w:sz w:val="20"/>
          <w:szCs w:val="20"/>
          <w:color w:val="auto"/>
        </w:rPr>
      </w:pPr>
    </w:p>
    <w:p>
      <w:pPr>
        <w:ind w:left="786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principal executive officer</w:t>
      </w:r>
      <w:r>
        <w:rPr>
          <w:rFonts w:ascii="Times New Roman" w:cs="Times New Roman" w:eastAsia="Times New Roman" w:hAnsi="Times New Roman"/>
          <w:sz w:val="14"/>
          <w:szCs w:val="14"/>
          <w:color w:val="auto"/>
        </w:rPr>
        <w:t>)</w:t>
      </w:r>
    </w:p>
    <w:p>
      <w:pPr>
        <w:sectPr>
          <w:pgSz w:w="11900" w:h="16838" w:orient="portrait"/>
          <w:cols w:equalWidth="0" w:num="1">
            <w:col w:w="11280"/>
          </w:cols>
          <w:pgMar w:left="300" w:top="634" w:right="319" w:bottom="1440" w:gutter="0" w:footer="0" w:header="0"/>
        </w:sectPr>
      </w:pPr>
    </w:p>
    <w:bookmarkStart w:id="39" w:name="page40"/>
    <w:bookmarkEnd w:id="39"/>
    <w:p>
      <w:pPr>
        <w:jc w:val="right"/>
        <w:spacing w:after="0"/>
        <w:rPr>
          <w:sz w:val="20"/>
          <w:szCs w:val="20"/>
          <w:color w:val="auto"/>
        </w:rPr>
      </w:pPr>
      <w:r>
        <w:rPr>
          <w:rFonts w:ascii="Times New Roman" w:cs="Times New Roman" w:eastAsia="Times New Roman" w:hAnsi="Times New Roman"/>
          <w:sz w:val="14"/>
          <w:szCs w:val="14"/>
          <w:b w:val="1"/>
          <w:bCs w:val="1"/>
          <w:color w:val="auto"/>
        </w:rPr>
        <w:t>Exhibit 32.2</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CERTIFICATION PURSUANT TO</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18 U.S.C. SECTION 1350, AS ADOPTED PURSUANT TO</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SECTION 906 OF THE SARBANES-OXLEY ACT OF 2002</w:t>
      </w:r>
    </w:p>
    <w:p>
      <w:pPr>
        <w:spacing w:after="0" w:line="182" w:lineRule="exact"/>
        <w:rPr>
          <w:sz w:val="20"/>
          <w:szCs w:val="20"/>
          <w:color w:val="auto"/>
        </w:rPr>
      </w:pPr>
    </w:p>
    <w:p>
      <w:pPr>
        <w:ind w:right="200"/>
        <w:spacing w:after="0" w:line="289" w:lineRule="auto"/>
        <w:rPr>
          <w:sz w:val="20"/>
          <w:szCs w:val="20"/>
          <w:color w:val="auto"/>
        </w:rPr>
      </w:pPr>
      <w:r>
        <w:rPr>
          <w:rFonts w:ascii="Times New Roman" w:cs="Times New Roman" w:eastAsia="Times New Roman" w:hAnsi="Times New Roman"/>
          <w:sz w:val="14"/>
          <w:szCs w:val="14"/>
          <w:color w:val="auto"/>
        </w:rPr>
        <w:t>In connection with the Quarterly Report on Form 10-Q of Garrett Motion Inc. (the “Company”) for the period ended March 31, 2024 as filed with the Securities and Exchange Commission on the date hereof (the “Report”), I certify, pursuant to 18 U.S.C. § 1350, as adopted pursuant to § 906 of the Sarbanes-Oxley Act of 2002, that:</w:t>
      </w:r>
    </w:p>
    <w:p>
      <w:pPr>
        <w:spacing w:after="0" w:line="177" w:lineRule="exact"/>
        <w:rPr>
          <w:sz w:val="20"/>
          <w:szCs w:val="20"/>
          <w:color w:val="auto"/>
        </w:rPr>
      </w:pPr>
    </w:p>
    <w:p>
      <w:pPr>
        <w:ind w:left="1060" w:hanging="519"/>
        <w:spacing w:after="0"/>
        <w:tabs>
          <w:tab w:leader="none" w:pos="106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Report fully complies with the requirements of section 13(a) or 15(d) of the Securities Exchange Act of 1934; and</w:t>
      </w:r>
    </w:p>
    <w:p>
      <w:pPr>
        <w:spacing w:after="0" w:line="201" w:lineRule="exact"/>
        <w:rPr>
          <w:rFonts w:ascii="Times New Roman" w:cs="Times New Roman" w:eastAsia="Times New Roman" w:hAnsi="Times New Roman"/>
          <w:sz w:val="14"/>
          <w:szCs w:val="14"/>
          <w:color w:val="auto"/>
        </w:rPr>
      </w:pPr>
    </w:p>
    <w:p>
      <w:pPr>
        <w:ind w:left="1060" w:hanging="519"/>
        <w:spacing w:after="0"/>
        <w:tabs>
          <w:tab w:leader="none" w:pos="106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25" w:lineRule="exact"/>
        <w:rPr>
          <w:sz w:val="20"/>
          <w:szCs w:val="20"/>
          <w:color w:val="auto"/>
        </w:rPr>
      </w:pPr>
    </w:p>
    <w:p>
      <w:pPr>
        <w:ind w:left="20"/>
        <w:spacing w:after="0"/>
        <w:tabs>
          <w:tab w:leader="none" w:pos="5800" w:val="left"/>
          <w:tab w:leader="none" w:pos="8180" w:val="left"/>
        </w:tabs>
        <w:rPr>
          <w:sz w:val="20"/>
          <w:szCs w:val="20"/>
          <w:color w:val="auto"/>
        </w:rPr>
      </w:pPr>
      <w:r>
        <w:rPr>
          <w:rFonts w:ascii="Times New Roman" w:cs="Times New Roman" w:eastAsia="Times New Roman" w:hAnsi="Times New Roman"/>
          <w:sz w:val="14"/>
          <w:szCs w:val="14"/>
          <w:color w:val="auto"/>
        </w:rPr>
        <w:t>Date: April 25, 2024</w:t>
      </w:r>
      <w:r>
        <w:rPr>
          <w:sz w:val="20"/>
          <w:szCs w:val="20"/>
          <w:color w:val="auto"/>
        </w:rPr>
        <w:tab/>
      </w:r>
      <w:r>
        <w:rPr>
          <w:rFonts w:ascii="Times New Roman" w:cs="Times New Roman" w:eastAsia="Times New Roman" w:hAnsi="Times New Roman"/>
          <w:sz w:val="14"/>
          <w:szCs w:val="14"/>
          <w:color w:val="auto"/>
        </w:rPr>
        <w:t>By:</w:t>
      </w:r>
      <w:r>
        <w:rPr>
          <w:sz w:val="20"/>
          <w:szCs w:val="20"/>
          <w:color w:val="auto"/>
        </w:rPr>
        <w:tab/>
      </w:r>
      <w:r>
        <w:rPr>
          <w:rFonts w:ascii="Times New Roman" w:cs="Times New Roman" w:eastAsia="Times New Roman" w:hAnsi="Times New Roman"/>
          <w:sz w:val="14"/>
          <w:szCs w:val="14"/>
          <w:color w:val="auto"/>
        </w:rPr>
        <w:t>/s/ Sean Deason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3830955</wp:posOffset>
            </wp:positionH>
            <wp:positionV relativeFrom="paragraph">
              <wp:posOffset>35560</wp:posOffset>
            </wp:positionV>
            <wp:extent cx="3333750" cy="698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8">
                      <a:extLst>
                        <a:ext uri="{28A0092B-C50C-407E-A947-70E740481C1C}"/>
                      </a:extLst>
                    </a:blip>
                    <a:srcRect/>
                    <a:stretch>
                      <a:fillRect/>
                    </a:stretch>
                  </pic:blipFill>
                  <pic:spPr bwMode="auto">
                    <a:xfrm>
                      <a:off x="0" y="0"/>
                      <a:ext cx="3333750" cy="6985"/>
                    </a:xfrm>
                    <a:prstGeom prst="rect">
                      <a:avLst/>
                    </a:prstGeom>
                    <a:noFill/>
                  </pic:spPr>
                </pic:pic>
              </a:graphicData>
            </a:graphic>
          </wp:anchor>
        </w:drawing>
      </w:r>
    </w:p>
    <w:p>
      <w:pPr>
        <w:spacing w:after="0" w:line="43" w:lineRule="exact"/>
        <w:rPr>
          <w:sz w:val="20"/>
          <w:szCs w:val="20"/>
          <w:color w:val="auto"/>
        </w:rPr>
      </w:pPr>
    </w:p>
    <w:p>
      <w:pPr>
        <w:ind w:left="8280"/>
        <w:spacing w:after="0"/>
        <w:rPr>
          <w:sz w:val="20"/>
          <w:szCs w:val="20"/>
          <w:color w:val="auto"/>
        </w:rPr>
      </w:pPr>
      <w:r>
        <w:rPr>
          <w:rFonts w:ascii="Times New Roman" w:cs="Times New Roman" w:eastAsia="Times New Roman" w:hAnsi="Times New Roman"/>
          <w:sz w:val="14"/>
          <w:szCs w:val="14"/>
          <w:color w:val="auto"/>
        </w:rPr>
        <w:t>Sean Deason</w:t>
      </w:r>
    </w:p>
    <w:p>
      <w:pPr>
        <w:spacing w:after="0" w:line="31" w:lineRule="exact"/>
        <w:rPr>
          <w:sz w:val="20"/>
          <w:szCs w:val="20"/>
          <w:color w:val="auto"/>
        </w:rPr>
      </w:pPr>
    </w:p>
    <w:p>
      <w:pPr>
        <w:ind w:left="7240"/>
        <w:spacing w:after="0"/>
        <w:rPr>
          <w:sz w:val="20"/>
          <w:szCs w:val="20"/>
          <w:color w:val="auto"/>
        </w:rPr>
      </w:pPr>
      <w:r>
        <w:rPr>
          <w:rFonts w:ascii="Times New Roman" w:cs="Times New Roman" w:eastAsia="Times New Roman" w:hAnsi="Times New Roman"/>
          <w:sz w:val="14"/>
          <w:szCs w:val="14"/>
          <w:color w:val="auto"/>
        </w:rPr>
        <w:t>Senior Vice President and Chief Financial Officer</w:t>
      </w:r>
    </w:p>
    <w:p>
      <w:pPr>
        <w:spacing w:after="0" w:line="23" w:lineRule="exact"/>
        <w:rPr>
          <w:sz w:val="20"/>
          <w:szCs w:val="20"/>
          <w:color w:val="auto"/>
        </w:rPr>
      </w:pPr>
    </w:p>
    <w:p>
      <w:pPr>
        <w:ind w:left="788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principal financial officer)</w:t>
      </w:r>
    </w:p>
    <w:sectPr>
      <w:pgSz w:w="11900" w:h="16838" w:orient="portrait"/>
      <w:cols w:equalWidth="0" w:num="1">
        <w:col w:w="11280"/>
      </w:cols>
      <w:pgMar w:left="300" w:top="634"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15F007C"/>
    <w:multiLevelType w:val="hybridMultilevel"/>
    <w:lvl w:ilvl="0">
      <w:lvlJc w:val="left"/>
      <w:lvlText w:val="☒"/>
      <w:numFmt w:val="bullet"/>
      <w:start w:val="1"/>
    </w:lvl>
  </w:abstractNum>
  <w:abstractNum w:abstractNumId="1">
    <w:nsid w:val="5BD062C2"/>
    <w:multiLevelType w:val="hybridMultilevel"/>
    <w:lvl w:ilvl="0">
      <w:lvlJc w:val="left"/>
      <w:lvlText w:val="☐"/>
      <w:numFmt w:val="bullet"/>
      <w:start w:val="1"/>
    </w:lvl>
  </w:abstractNum>
  <w:abstractNum w:abstractNumId="2">
    <w:nsid w:val="12200854"/>
    <w:multiLevelType w:val="hybridMultilevel"/>
    <w:lvl w:ilvl="0">
      <w:lvlJc w:val="left"/>
      <w:lvlText w:val="(%1)"/>
      <w:numFmt w:val="decimal"/>
      <w:start w:val="1"/>
    </w:lvl>
  </w:abstractNum>
  <w:abstractNum w:abstractNumId="3">
    <w:nsid w:val="4DB127F8"/>
    <w:multiLevelType w:val="hybridMultilevel"/>
    <w:lvl w:ilvl="0">
      <w:lvlJc w:val="left"/>
      <w:lvlText w:val="(%1)"/>
      <w:numFmt w:val="decimal"/>
      <w:start w:val="1"/>
    </w:lvl>
  </w:abstractNum>
  <w:abstractNum w:abstractNumId="4">
    <w:nsid w:val="216231B"/>
    <w:multiLevelType w:val="hybridMultilevel"/>
    <w:lvl w:ilvl="0">
      <w:lvlJc w:val="left"/>
      <w:lvlText w:val="•"/>
      <w:numFmt w:val="bullet"/>
      <w:start w:val="1"/>
    </w:lvl>
  </w:abstractNum>
  <w:abstractNum w:abstractNumId="5">
    <w:nsid w:val="1F16E9E8"/>
    <w:multiLevelType w:val="hybridMultilevel"/>
    <w:lvl w:ilvl="0">
      <w:lvlJc w:val="left"/>
      <w:lvlText w:val="(%1)"/>
      <w:numFmt w:val="decimal"/>
      <w:start w:val="1"/>
    </w:lvl>
  </w:abstractNum>
  <w:abstractNum w:abstractNumId="6">
    <w:nsid w:val="1190CDE7"/>
    <w:multiLevelType w:val="hybridMultilevel"/>
    <w:lvl w:ilvl="0">
      <w:lvlJc w:val="left"/>
      <w:lvlText w:val="•"/>
      <w:numFmt w:val="bullet"/>
      <w:start w:val="1"/>
    </w:lvl>
  </w:abstractNum>
  <w:abstractNum w:abstractNumId="7">
    <w:nsid w:val="66EF438D"/>
    <w:multiLevelType w:val="hybridMultilevel"/>
    <w:lvl w:ilvl="0">
      <w:lvlJc w:val="left"/>
      <w:lvlText w:val="(%1)"/>
      <w:numFmt w:val="decimal"/>
      <w:start w:val="1"/>
    </w:lvl>
  </w:abstractNum>
  <w:abstractNum w:abstractNumId="8">
    <w:nsid w:val="140E0F76"/>
    <w:multiLevelType w:val="hybridMultilevel"/>
    <w:lvl w:ilvl="0">
      <w:lvlJc w:val="left"/>
      <w:lvlText w:val="•"/>
      <w:numFmt w:val="bullet"/>
      <w:start w:val="1"/>
    </w:lvl>
  </w:abstractNum>
  <w:abstractNum w:abstractNumId="9">
    <w:nsid w:val="3352255A"/>
    <w:multiLevelType w:val="hybridMultilevel"/>
    <w:lvl w:ilvl="0">
      <w:lvlJc w:val="left"/>
      <w:lvlText w:val="•"/>
      <w:numFmt w:val="bullet"/>
      <w:start w:val="1"/>
    </w:lvl>
  </w:abstractNum>
  <w:abstractNum w:abstractNumId="10">
    <w:nsid w:val="109CF92E"/>
    <w:multiLevelType w:val="hybridMultilevel"/>
    <w:lvl w:ilvl="0">
      <w:lvlJc w:val="left"/>
      <w:lvlText w:val="*"/>
      <w:numFmt w:val="bullet"/>
      <w:start w:val="1"/>
    </w:lvl>
  </w:abstractNum>
  <w:abstractNum w:abstractNumId="11">
    <w:nsid w:val="DED7263"/>
    <w:multiLevelType w:val="hybridMultilevel"/>
    <w:lvl w:ilvl="0">
      <w:lvlJc w:val="left"/>
      <w:lvlText w:val="**"/>
      <w:numFmt w:val="bullet"/>
      <w:start w:val="1"/>
    </w:lvl>
  </w:abstractNum>
  <w:abstractNum w:abstractNumId="12">
    <w:nsid w:val="7FDCC233"/>
    <w:multiLevelType w:val="hybridMultilevel"/>
    <w:lvl w:ilvl="0">
      <w:lvlJc w:val="left"/>
      <w:lvlText w:val="%1."/>
      <w:numFmt w:val="decimal"/>
      <w:start w:val="1"/>
    </w:lvl>
    <w:lvl w:ilvl="1">
      <w:lvlJc w:val="left"/>
      <w:lvlText w:val="(%2)"/>
      <w:numFmt w:val="lowerLetter"/>
      <w:start w:val="1"/>
    </w:lvl>
  </w:abstractNum>
  <w:abstractNum w:abstractNumId="13">
    <w:nsid w:val="1BEFD79F"/>
    <w:multiLevelType w:val="hybridMultilevel"/>
    <w:lvl w:ilvl="0">
      <w:lvlJc w:val="left"/>
      <w:lvlText w:val="%1."/>
      <w:numFmt w:val="decimal"/>
      <w:start w:val="1"/>
    </w:lvl>
    <w:lvl w:ilvl="1">
      <w:lvlJc w:val="left"/>
      <w:lvlText w:val="(%2)"/>
      <w:numFmt w:val="lowerLetter"/>
      <w:start w:val="1"/>
    </w:lvl>
  </w:abstractNum>
  <w:abstractNum w:abstractNumId="14">
    <w:nsid w:val="41A7C4C9"/>
    <w:multiLevelType w:val="hybridMultilevel"/>
    <w:lvl w:ilvl="0">
      <w:lvlJc w:val="left"/>
      <w:lvlText w:val="(%1)"/>
      <w:numFmt w:val="decimal"/>
      <w:start w:val="1"/>
    </w:lvl>
  </w:abstractNum>
  <w:abstractNum w:abstractNumId="15">
    <w:nsid w:val="6B68079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jpe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jpe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72" Type="http://schemas.openxmlformats.org/officeDocument/2006/relationships/image" Target="media/image60.png"/><Relationship Id="rId73" Type="http://schemas.openxmlformats.org/officeDocument/2006/relationships/image" Target="media/image61.png"/><Relationship Id="rId74" Type="http://schemas.openxmlformats.org/officeDocument/2006/relationships/image" Target="media/image62.png"/><Relationship Id="rId75" Type="http://schemas.openxmlformats.org/officeDocument/2006/relationships/image" Target="media/image63.png"/><Relationship Id="rId76" Type="http://schemas.openxmlformats.org/officeDocument/2006/relationships/image" Target="media/image64.png"/><Relationship Id="rId77" Type="http://schemas.openxmlformats.org/officeDocument/2006/relationships/image" Target="media/image65.png"/><Relationship Id="rId78" Type="http://schemas.openxmlformats.org/officeDocument/2006/relationships/image" Target="media/image66.png"/><Relationship Id="rId67" Type="http://schemas.openxmlformats.org/officeDocument/2006/relationships/hyperlink" Target="https://www.sec.gov/Archives/edgar/data/1735707/000119312521145249/d172869dex31.htm" TargetMode="External"/><Relationship Id="rId68" Type="http://schemas.openxmlformats.org/officeDocument/2006/relationships/hyperlink" Target="https://www.sec.gov/Archives/edgar/data/1735707/000119312523144035/d493556ddef14c.htm" TargetMode="External"/><Relationship Id="rId69" Type="http://schemas.openxmlformats.org/officeDocument/2006/relationships/hyperlink" Target="https://www.sec.gov/Archives/edgar/data/1735707/000173570723000060/exhibit3_4-seriesaretireme.htm" TargetMode="External"/><Relationship Id="rId70" Type="http://schemas.openxmlformats.org/officeDocument/2006/relationships/hyperlink" Target="https://www.sec.gov/Archives/edgar/data/1735707/000173570723000060/exhibit3_5-seriesbretireme.htm" TargetMode="External"/><Relationship Id="rId71" Type="http://schemas.openxmlformats.org/officeDocument/2006/relationships/hyperlink" Target="https://www.sec.gov/Archives/edgar/data/1735707/000095014223002916/eh230427801_ex03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2024-04-25T06:12:18Z</dcterms:created>
  <dcterms:modified xsi:type="dcterms:W3CDTF">2024-04-25T06:12:18Z</dcterms:modified>
</cp:coreProperties>
</file>