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43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32"/>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ind w:left="0" w:right="0" w:firstLine="432"/>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ind w:left="0" w:right="0" w:firstLine="432"/>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200" w:after="283"/>
        <w:ind w:left="0" w:right="0" w:firstLine="432"/>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0" w:after="0"/>
        <w:ind w:left="0" w:right="0" w:firstLine="432"/>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ind w:left="0" w:right="0" w:firstLine="432"/>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0" w:after="283"/>
        <w:ind w:left="0" w:right="0" w:firstLine="1080"/>
        <w:jc w:val="left"/>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ind w:left="0" w:right="0" w:firstLine="432"/>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ind w:left="0" w:right="0" w:firstLine="432"/>
        <w:jc w:val="center"/>
        <w:rPr/>
      </w:pPr>
      <w:r>
        <w:rPr>
          <w:rFonts w:ascii="Times New Roman;serif" w:hAnsi="Times New Roman;serif"/>
          <w:b/>
          <w:color w:val="000000"/>
          <w:sz w:val="20"/>
        </w:rPr>
        <w:t xml:space="preserve">Commission File Number: </w:t>
      </w:r>
      <w:r>
        <w:rPr>
          <w:rFonts w:ascii="Times New Roman;serif" w:hAnsi="Times New Roman;serif"/>
          <w:b/>
          <w:color w:val="222222"/>
          <w:sz w:val="20"/>
          <w:shd w:fill="FFFFFF" w:val="clear"/>
        </w:rPr>
        <w:t>001-38636</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200" w:after="283"/>
        <w:ind w:left="0" w:right="0" w:firstLine="432"/>
        <w:jc w:val="center"/>
        <w:rPr>
          <w:rFonts w:ascii="Times New Roman;serif" w:hAnsi="Times New Roman;serif"/>
          <w:b/>
          <w:color w:val="000000"/>
          <w:sz w:val="48"/>
        </w:rPr>
      </w:pPr>
      <w:r>
        <w:rPr>
          <w:rFonts w:ascii="Times New Roman;serif" w:hAnsi="Times New Roman;serif"/>
          <w:b/>
          <w:color w:val="000000"/>
          <w:sz w:val="48"/>
        </w:rPr>
        <w:t>Garrett Motion Inc.</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tbl>
      <w:tblPr>
        <w:tblW w:w="3808" w:type="dxa"/>
        <w:jc w:val="left"/>
        <w:tblInd w:w="0" w:type="dxa"/>
        <w:tblLayout w:type="fixed"/>
        <w:tblCellMar>
          <w:top w:w="28" w:type="dxa"/>
          <w:left w:w="28" w:type="dxa"/>
          <w:bottom w:w="28" w:type="dxa"/>
          <w:right w:w="28" w:type="dxa"/>
        </w:tblCellMar>
      </w:tblPr>
      <w:tblGrid>
        <w:gridCol w:w="837"/>
        <w:gridCol w:w="735"/>
        <w:gridCol w:w="740"/>
        <w:gridCol w:w="437"/>
        <w:gridCol w:w="437"/>
        <w:gridCol w:w="622"/>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82-4873189</w:t>
            </w:r>
          </w:p>
        </w:tc>
      </w:tr>
      <w:tr>
        <w:trPr/>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br/>
              <w:t>incorporation or organization)</w:t>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br/>
              <w:t>Identification No.)</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8"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47548 Halyard Drive, Plymouth, MI 48170</w:t>
            </w:r>
          </w:p>
        </w:tc>
      </w:tr>
      <w:tr>
        <w:trPr/>
        <w:tc>
          <w:tcPr>
            <w:tcW w:w="380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and</w:t>
            </w:r>
          </w:p>
        </w:tc>
      </w:tr>
      <w:tr>
        <w:trPr/>
        <w:tc>
          <w:tcPr>
            <w:tcW w:w="3808"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La Pièce 16, 1180 Rolle, Switzerland</w:t>
            </w:r>
          </w:p>
        </w:tc>
      </w:tr>
      <w:tr>
        <w:trPr/>
        <w:tc>
          <w:tcPr>
            <w:tcW w:w="380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(Zip Code)</w:t>
            </w:r>
          </w:p>
        </w:tc>
      </w:tr>
    </w:tbl>
    <w:p>
      <w:pPr>
        <w:pStyle w:val="TextBody"/>
        <w:bidi w:val="0"/>
        <w:spacing w:before="200" w:after="283"/>
        <w:ind w:left="0" w:right="0" w:firstLine="432"/>
        <w:jc w:val="center"/>
        <w:rPr/>
      </w:pPr>
      <w:r>
        <w:rPr/>
      </w:r>
    </w:p>
    <w:tbl>
      <w:tblPr>
        <w:tblW w:w="1604" w:type="dxa"/>
        <w:jc w:val="center"/>
        <w:tblInd w:w="0" w:type="dxa"/>
        <w:tblLayout w:type="fixed"/>
        <w:tblCellMar>
          <w:top w:w="28" w:type="dxa"/>
          <w:left w:w="28" w:type="dxa"/>
          <w:bottom w:w="28" w:type="dxa"/>
          <w:right w:w="28" w:type="dxa"/>
        </w:tblCellMar>
      </w:tblPr>
      <w:tblGrid>
        <w:gridCol w:w="512"/>
        <w:gridCol w:w="451"/>
        <w:gridCol w:w="641"/>
      </w:tblGrid>
      <w:tr>
        <w:trPr/>
        <w:tc>
          <w:tcPr>
            <w:tcW w:w="5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+1 734 392 5500</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+41 21 695 30 00</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32"/>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before="200" w:after="283"/>
        <w:ind w:left="0" w:right="0" w:firstLine="432"/>
        <w:jc w:val="center"/>
        <w:rPr/>
      </w:pPr>
      <w:r>
        <w:rPr/>
      </w:r>
    </w:p>
    <w:p>
      <w:pPr>
        <w:pStyle w:val="TextBody"/>
        <w:bidi w:val="0"/>
        <w:spacing w:lineRule="auto" w:line="288" w:before="200" w:after="283"/>
        <w:ind w:left="0" w:right="0" w:firstLine="432"/>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637" w:type="dxa"/>
        <w:jc w:val="left"/>
        <w:tblInd w:w="0" w:type="dxa"/>
        <w:tblLayout w:type="fixed"/>
        <w:tblCellMar>
          <w:top w:w="28" w:type="dxa"/>
          <w:left w:w="28" w:type="dxa"/>
          <w:bottom w:w="28" w:type="dxa"/>
          <w:right w:w="28" w:type="dxa"/>
        </w:tblCellMar>
      </w:tblPr>
      <w:tblGrid>
        <w:gridCol w:w="1301"/>
        <w:gridCol w:w="1145"/>
        <w:gridCol w:w="1153"/>
        <w:gridCol w:w="519"/>
        <w:gridCol w:w="519"/>
        <w:gridCol w:w="521"/>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6" w:space="0" w:color="000000"/>
              <w:left w:val="single" w:sz="6"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6" w:space="0" w:color="000000"/>
              <w:left w:val="single" w:sz="6" w:space="0" w:color="000000"/>
              <w:right w:val="single" w:sz="6"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559" w:type="dxa"/>
            <w:gridSpan w:val="3"/>
            <w:tcBorders>
              <w:top w:val="single" w:sz="6" w:space="0" w:color="000000"/>
              <w:left w:val="single" w:sz="6" w:space="0" w:color="000000"/>
              <w:bottom w:val="single" w:sz="6"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GTX</w:t>
            </w:r>
          </w:p>
        </w:tc>
        <w:tc>
          <w:tcPr>
            <w:tcW w:w="3479" w:type="dxa"/>
            <w:gridSpan w:val="3"/>
            <w:tcBorders>
              <w:top w:val="single" w:sz="6" w:space="0" w:color="000000"/>
              <w:left w:val="single" w:sz="6" w:space="0" w:color="000000"/>
              <w:bottom w:val="single" w:sz="6" w:space="0" w:color="000000"/>
              <w:right w:val="single" w:sz="6"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ind w:left="0" w:right="0" w:firstLine="432"/>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0" w:after="283"/>
        <w:ind w:left="0" w:right="0" w:firstLine="432"/>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0" w:after="283"/>
        <w:ind w:left="0" w:right="0" w:firstLine="450"/>
        <w:jc w:val="left"/>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759"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00" w:after="283"/>
        <w:ind w:left="0" w:right="0" w:firstLine="45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ind w:left="0" w:right="0" w:firstLine="45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0" w:after="283"/>
        <w:ind w:left="0" w:right="0" w:firstLine="432"/>
        <w:jc w:val="left"/>
        <w:rPr/>
      </w:pPr>
      <w:r>
        <w:rPr>
          <w:rFonts w:ascii="Times New Roman;serif" w:hAnsi="Times New Roman;serif"/>
          <w:b w:val="false"/>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200" w:after="283"/>
        <w:ind w:left="0" w:right="0" w:firstLine="432"/>
        <w:jc w:val="left"/>
        <w:rPr/>
      </w:pPr>
      <w:r>
        <w:rPr>
          <w:rFonts w:ascii="Times New Roman;serif" w:hAnsi="Times New Roman;serif"/>
          <w:b w:val="false"/>
          <w:color w:val="000000"/>
          <w:sz w:val="18"/>
        </w:rPr>
        <w:t>As of July 24, 2026, the registrant had 186,493,414 shares</w:t>
      </w:r>
      <w:r>
        <w:rPr>
          <w:color w:val="000000"/>
          <w:shd w:fill="FFFFFF" w:val="clear"/>
        </w:rPr>
        <w:t xml:space="preserve"> </w:t>
      </w:r>
      <w:r>
        <w:rPr>
          <w:rFonts w:ascii="Times New Roman;serif" w:hAnsi="Times New Roman;serif"/>
          <w:b w:val="false"/>
          <w:color w:val="000000"/>
          <w:sz w:val="18"/>
          <w:shd w:fill="FFFFFF" w:val="clear"/>
        </w:rPr>
        <w:t>of Com</w:t>
      </w:r>
      <w:r>
        <w:rPr>
          <w:rFonts w:ascii="Times New Roman;serif" w:hAnsi="Times New Roman;serif"/>
          <w:b w:val="false"/>
          <w:color w:val="000000"/>
          <w:sz w:val="18"/>
        </w:rPr>
        <w:t xml:space="preserve">mon Stock, $0.001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43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432"/>
                        <w:jc w:val="both"/>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0"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0">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0">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right"/>
              <w:rPr/>
            </w:pPr>
            <w:hyperlink w:anchor="ie1d9b10ead3e492590789efa0ea84358_10">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3">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6">
              <w:r>
                <w:rPr>
                  <w:rStyle w:val="InternetLink"/>
                  <w:rFonts w:ascii="Times New Roman;serif" w:hAnsi="Times New Roman;serif"/>
                  <w:b w:val="false"/>
                  <w:color w:val="0000FF"/>
                  <w:sz w:val="20"/>
                  <w:u w:val="single"/>
                </w:rPr>
                <w:t>Consolidated Interim Statements of Operations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6">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9">
              <w:r>
                <w:rPr>
                  <w:rStyle w:val="InternetLink"/>
                  <w:rFonts w:ascii="Times New Roman;serif" w:hAnsi="Times New Roman;serif"/>
                  <w:b w:val="false"/>
                  <w:color w:val="0000FF"/>
                  <w:sz w:val="20"/>
                  <w:u w:val="single"/>
                </w:rPr>
                <w:t>Consolidated Interim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9">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22">
              <w:r>
                <w:rPr>
                  <w:rStyle w:val="InternetLink"/>
                  <w:rFonts w:ascii="Times New Roman;serif" w:hAnsi="Times New Roman;serif"/>
                  <w:b w:val="false"/>
                  <w:color w:val="0000FF"/>
                  <w:sz w:val="20"/>
                  <w:u w:val="single"/>
                </w:rPr>
                <w:t>Consolidated Interim Balance Sheets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22">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25">
              <w:r>
                <w:rPr>
                  <w:rStyle w:val="InternetLink"/>
                  <w:rFonts w:ascii="Times New Roman;serif" w:hAnsi="Times New Roman;serif"/>
                  <w:b w:val="false"/>
                  <w:color w:val="0000FF"/>
                  <w:sz w:val="20"/>
                  <w:u w:val="single"/>
                </w:rPr>
                <w:t>Consolidated Interim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25">
              <w:r>
                <w:rPr>
                  <w:rStyle w:val="InternetLink"/>
                  <w:rFonts w:ascii="Times New Roman;serif" w:hAnsi="Times New Roman;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28">
              <w:r>
                <w:rPr>
                  <w:rStyle w:val="InternetLink"/>
                  <w:rFonts w:ascii="Times New Roman;serif" w:hAnsi="Times New Roman;serif"/>
                  <w:b w:val="false"/>
                  <w:color w:val="0000FF"/>
                  <w:sz w:val="20"/>
                  <w:u w:val="single"/>
                </w:rPr>
                <w:t>Consolidated Interim Statements of Equity (Deficit)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28">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31">
              <w:r>
                <w:rPr>
                  <w:rStyle w:val="InternetLink"/>
                  <w:rFonts w:ascii="Times New Roman;serif" w:hAnsi="Times New Roman;serif"/>
                  <w:b w:val="false"/>
                  <w:color w:val="0000FF"/>
                  <w:sz w:val="20"/>
                  <w:u w:val="single"/>
                </w:rPr>
                <w:t>Notes to Consolidated Interim Financial Statements</w:t>
              </w:r>
            </w:hyperlink>
            <w:r>
              <w:rPr>
                <w:color w:val="000000"/>
              </w:rPr>
              <w:t xml:space="preserve"> </w:t>
            </w:r>
            <w:r>
              <w:rPr>
                <w:rFonts w:ascii="Times New Roman;serif" w:hAnsi="Times New Roman;serif"/>
                <w:b w:val="false"/>
                <w:color w:val="000000"/>
                <w:sz w:val="20"/>
              </w:rPr>
              <w:t>(</w:t>
            </w:r>
            <w:hyperlink w:anchor="ie1d9b10ead3e492590789efa0ea84358_31">
              <w:r>
                <w:rPr>
                  <w:rStyle w:val="InternetLink"/>
                  <w:rFonts w:ascii="Times New Roman;serif" w:hAnsi="Times New Roman;serif"/>
                  <w:b w:val="false"/>
                  <w:color w:val="0000FF"/>
                  <w:sz w:val="20"/>
                  <w:u w:val="single"/>
                </w:rPr>
                <w:t>Unaudited</w:t>
              </w:r>
            </w:hyperlink>
            <w:r>
              <w:rPr>
                <w:rFonts w:ascii="Times New Roman;serif" w:hAnsi="Times New Roman;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31">
              <w:r>
                <w:rPr>
                  <w:rStyle w:val="InternetLink"/>
                  <w:rFonts w:ascii="Times New Roman;serif" w:hAnsi="Times New Roman;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06">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06">
              <w:r>
                <w:rPr>
                  <w:rStyle w:val="InternetLink"/>
                  <w:rFonts w:ascii="Times New Roman;serif" w:hAnsi="Times New Roman;serif"/>
                  <w:b w:val="false"/>
                  <w:strike w:val="false"/>
                  <w:dstrike w:val="false"/>
                  <w:color w:val="000000"/>
                  <w:sz w:val="20"/>
                  <w:u w:val="none"/>
                  <w:effect w:val="none"/>
                </w:rPr>
                <w:t>24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27">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27">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27">
              <w:r>
                <w:rPr>
                  <w:rStyle w:val="InternetLink"/>
                  <w:rFonts w:ascii="Times New Roman;serif" w:hAnsi="Times New Roman;serif"/>
                  <w:b w:val="false"/>
                  <w:strike w:val="false"/>
                  <w:dstrike w:val="false"/>
                  <w:color w:val="000000"/>
                  <w:sz w:val="20"/>
                  <w:u w:val="none"/>
                  <w:effect w:val="none"/>
                </w:rPr>
                <w:t>34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0">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0">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30">
              <w:r>
                <w:rPr>
                  <w:rStyle w:val="InternetLink"/>
                  <w:rFonts w:ascii="Times New Roman;serif" w:hAnsi="Times New Roman;serif"/>
                  <w:b w:val="false"/>
                  <w:strike w:val="false"/>
                  <w:dstrike w:val="false"/>
                  <w:color w:val="000000"/>
                  <w:sz w:val="20"/>
                  <w:u w:val="none"/>
                  <w:effect w:val="none"/>
                </w:rPr>
                <w:t>35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3">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3">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33">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6">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6">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36">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9">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39">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39">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42">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5">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5">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45">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8">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48">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48">
              <w:r>
                <w:rPr>
                  <w:rStyle w:val="InternetLink"/>
                  <w:rFonts w:ascii="Times New Roman;serif" w:hAnsi="Times New Roman;serif"/>
                  <w:b w:val="false"/>
                  <w:strike w:val="false"/>
                  <w:dstrike w:val="false"/>
                  <w:color w:val="000000"/>
                  <w:sz w:val="20"/>
                  <w:u w:val="none"/>
                  <w:effect w:val="non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51">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51">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51">
              <w:r>
                <w:rPr>
                  <w:rStyle w:val="InternetLink"/>
                  <w:rFonts w:ascii="Times New Roman;serif" w:hAnsi="Times New Roman;serif"/>
                  <w:b w:val="false"/>
                  <w:strike w:val="false"/>
                  <w:dstrike w:val="false"/>
                  <w:color w:val="000000"/>
                  <w:sz w:val="20"/>
                  <w:u w:val="none"/>
                  <w:effect w:val="none"/>
                </w:rPr>
                <w:t>37</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57">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57">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57">
              <w:r>
                <w:rPr>
                  <w:rStyle w:val="InternetLink"/>
                  <w:rFonts w:ascii="Times New Roman;serif" w:hAnsi="Times New Roman;serif"/>
                  <w:b w:val="false"/>
                  <w:strike w:val="false"/>
                  <w:dstrike w:val="false"/>
                  <w:color w:val="000000"/>
                  <w:sz w:val="20"/>
                  <w:u w:val="none"/>
                  <w:effect w:val="none"/>
                </w:rPr>
                <w:t>38</w:t>
              </w:r>
            </w:hyperlink>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e1d9b10ead3e492590789efa0ea84358_160">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e1d9b10ead3e492590789efa0ea84358_160">
              <w:r>
                <w:rPr>
                  <w:rStyle w:val="InternetLink"/>
                  <w:rFonts w:ascii="Times New Roman;serif" w:hAnsi="Times New Roman;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4"/>
                              </w:rPr>
                            </w:pPr>
                            <w:r>
                              <w:rPr>
                                <w:rFonts w:ascii="Times New Roman;serif" w:hAnsi="Times New Roman;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32"/>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432"/>
        <w:jc w:val="center"/>
        <w:rPr>
          <w:rFonts w:ascii="Times New Roman;serif" w:hAnsi="Times New Roman;serif"/>
          <w:b/>
          <w:color w:val="000000"/>
          <w:sz w:val="20"/>
        </w:rPr>
      </w:pPr>
      <w:r>
        <w:rPr>
          <w:rFonts w:ascii="Times New Roman;serif" w:hAnsi="Times New Roman;serif"/>
          <w:b/>
          <w:color w:val="000000"/>
          <w:sz w:val="20"/>
        </w:rPr>
        <w:t>GARRETT MOTION INC.</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CONSOLIDATED INTERIM STATEMENTS OF OPERATIONS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tbl>
      <w:tblPr>
        <w:tblW w:w="10106" w:type="dxa"/>
        <w:jc w:val="left"/>
        <w:tblInd w:w="0" w:type="dxa"/>
        <w:tblLayout w:type="fixed"/>
        <w:tblCellMar>
          <w:top w:w="28" w:type="dxa"/>
          <w:left w:w="28" w:type="dxa"/>
          <w:bottom w:w="28" w:type="dxa"/>
          <w:right w:w="28" w:type="dxa"/>
        </w:tblCellMar>
      </w:tblPr>
      <w:tblGrid>
        <w:gridCol w:w="1413"/>
        <w:gridCol w:w="1236"/>
        <w:gridCol w:w="1251"/>
        <w:gridCol w:w="346"/>
        <w:gridCol w:w="840"/>
        <w:gridCol w:w="109"/>
        <w:gridCol w:w="109"/>
        <w:gridCol w:w="109"/>
        <w:gridCol w:w="109"/>
        <w:gridCol w:w="346"/>
        <w:gridCol w:w="840"/>
        <w:gridCol w:w="109"/>
        <w:gridCol w:w="109"/>
        <w:gridCol w:w="109"/>
        <w:gridCol w:w="109"/>
        <w:gridCol w:w="302"/>
        <w:gridCol w:w="884"/>
        <w:gridCol w:w="109"/>
        <w:gridCol w:w="109"/>
        <w:gridCol w:w="109"/>
        <w:gridCol w:w="109"/>
        <w:gridCol w:w="302"/>
        <w:gridCol w:w="884"/>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 amounts)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sales (Note 3)</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Tax expense (Note 5)</w:t>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val="false"/>
                <w:color w:val="000000"/>
                <w:sz w:val="20"/>
              </w:rPr>
              <w:t>Earnings per common share (Note 19)</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202,672,945 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203,886,530 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190,594,777 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205,255,033 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191,970,322 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206,433,975 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 xml:space="preserve">The Notes to the Consolidated Interim Financial Statements are an integral part of this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GARRETT MOTION INC.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CONSOLIDATED INTERIM STATEMENTS OF COMPREHENSIVE INCOME</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tbl>
      <w:tblPr>
        <w:tblW w:w="10034" w:type="dxa"/>
        <w:jc w:val="left"/>
        <w:tblInd w:w="0" w:type="dxa"/>
        <w:tblLayout w:type="fixed"/>
        <w:tblCellMar>
          <w:top w:w="28" w:type="dxa"/>
          <w:left w:w="28" w:type="dxa"/>
          <w:bottom w:w="28" w:type="dxa"/>
          <w:right w:w="28" w:type="dxa"/>
        </w:tblCellMar>
      </w:tblPr>
      <w:tblGrid>
        <w:gridCol w:w="2135"/>
        <w:gridCol w:w="1871"/>
        <w:gridCol w:w="1888"/>
        <w:gridCol w:w="211"/>
        <w:gridCol w:w="466"/>
        <w:gridCol w:w="109"/>
        <w:gridCol w:w="109"/>
        <w:gridCol w:w="109"/>
        <w:gridCol w:w="109"/>
        <w:gridCol w:w="211"/>
        <w:gridCol w:w="436"/>
        <w:gridCol w:w="109"/>
        <w:gridCol w:w="109"/>
        <w:gridCol w:w="109"/>
        <w:gridCol w:w="109"/>
        <w:gridCol w:w="211"/>
        <w:gridCol w:w="466"/>
        <w:gridCol w:w="109"/>
        <w:gridCol w:w="109"/>
        <w:gridCol w:w="109"/>
        <w:gridCol w:w="109"/>
        <w:gridCol w:w="211"/>
        <w:gridCol w:w="466"/>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869"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1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Changes in fair value of effective cash flow hedges, net of tax (Note 17)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of net investment hedges, net of tax (Note 17)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center"/>
        <w:rPr/>
      </w:pPr>
      <w:r>
        <w:rPr>
          <w:rFonts w:ascii="Times New Roman;serif" w:hAnsi="Times New Roman;serif"/>
          <w:b w:val="false"/>
          <w:color w:val="000000"/>
          <w:sz w:val="20"/>
        </w:rPr>
        <w:t>The Notes to the Consolidated Interim Financial Statements are an integral part of this statement.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4" name="Frame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GARRETT MOTION INC.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CONSOLIDATED INTERIM BALANCE SHEETS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195"/>
        <w:gridCol w:w="2369"/>
        <w:gridCol w:w="2338"/>
        <w:gridCol w:w="211"/>
        <w:gridCol w:w="616"/>
        <w:gridCol w:w="109"/>
        <w:gridCol w:w="109"/>
        <w:gridCol w:w="109"/>
        <w:gridCol w:w="109"/>
        <w:gridCol w:w="223"/>
        <w:gridCol w:w="652"/>
        <w:gridCol w:w="165"/>
      </w:tblGrid>
      <w:tr>
        <w:trPr/>
        <w:tc>
          <w:tcPr>
            <w:tcW w:w="319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3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90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30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Accounts, notes and other receivables – net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 net (Note 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 (Note 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long-term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(Note 10)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(Note 15)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(Note 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(Note 15)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 (Note 13)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erif" w:hAnsi="Times New Roman;serif"/>
                <w:b/>
                <w:color w:val="000000"/>
                <w:sz w:val="20"/>
              </w:rPr>
              <w:t xml:space="preserve">COMMITMENTS AND CONTINGENCIES </w:t>
            </w:r>
            <w:r>
              <w:rPr>
                <w:rFonts w:ascii="Times New Roman;serif" w:hAnsi="Times New Roman;serif"/>
                <w:b w:val="false"/>
                <w:color w:val="000000"/>
                <w:sz w:val="20"/>
              </w:rPr>
              <w:t>(Note 20)</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 (DEFICIT)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$0.001; 1,000,000,000 and 1,000,000,000 shares authorized, 245,457,621 and 242,549,685 issued and 186,800,685 and 190,556,297 outstanding as of June 30, 2026 and December 31, 2025, respectively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(Note 18)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58,666,936 and 51,993,388 shares as of June 30, 2026 and December 31, 2025, respectively (Note 16)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deficit</w:t>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deficit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6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 xml:space="preserve">The Notes to the Consolidated Interim Financial Statements are an integral part of this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GARRETT MOTION INC.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CONSOLIDATED INTERIM STATEMENTS OF CASH FLOWS</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tbl>
      <w:tblPr>
        <w:tblW w:w="10061" w:type="dxa"/>
        <w:jc w:val="center"/>
        <w:tblInd w:w="0" w:type="dxa"/>
        <w:tblLayout w:type="fixed"/>
        <w:tblCellMar>
          <w:top w:w="28" w:type="dxa"/>
          <w:left w:w="28" w:type="dxa"/>
          <w:bottom w:w="28" w:type="dxa"/>
          <w:right w:w="28" w:type="dxa"/>
        </w:tblCellMar>
      </w:tblPr>
      <w:tblGrid>
        <w:gridCol w:w="2516"/>
        <w:gridCol w:w="2214"/>
        <w:gridCol w:w="2229"/>
        <w:gridCol w:w="234"/>
        <w:gridCol w:w="600"/>
        <w:gridCol w:w="120"/>
        <w:gridCol w:w="120"/>
        <w:gridCol w:w="120"/>
        <w:gridCol w:w="120"/>
        <w:gridCol w:w="234"/>
        <w:gridCol w:w="517"/>
        <w:gridCol w:w="120"/>
        <w:gridCol w:w="109"/>
        <w:gridCol w:w="109"/>
        <w:gridCol w:w="109"/>
        <w:gridCol w:w="109"/>
        <w:gridCol w:w="109"/>
        <w:gridCol w:w="109"/>
        <w:gridCol w:w="109"/>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185"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color w:val="000000"/>
              </w:rPr>
            </w:pPr>
            <w:r>
              <w:rPr>
                <w:color w:val="000000"/>
              </w:rPr>
              <w:t>  </w:t>
            </w: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1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deferred issuance costs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Foreign exchange loss (gain)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expense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Pension expense</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(gain) loss on derivatives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notes and other receivables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Expenditures for property, plant and equipment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19"/>
              </w:rPr>
            </w:pPr>
            <w:r>
              <w:rPr>
                <w:rFonts w:ascii="Times New Roman;serif" w:hAnsi="Times New Roman;serif"/>
                <w:b w:val="false"/>
                <w:color w:val="000000"/>
                <w:sz w:val="19"/>
              </w:rPr>
              <w:t>Proceeds from cross-currency swap contracts</w:t>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Net cash used for investing activities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long-term debt, net of debt financing costs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long-term debt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Excise tax on Common Stock repurchase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Dividend payments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Withholdings on shares issued under stock plan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debt and revolving facility financing costs</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cash used for financing activities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cash equivalents and restricted cash</w:t>
            </w:r>
          </w:p>
        </w:tc>
        <w:tc>
          <w:tcPr>
            <w:tcW w:w="8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9"/>
              </w:rPr>
            </w:pPr>
            <w:r>
              <w:rPr>
                <w:rFonts w:ascii="Times New Roman;serif" w:hAnsi="Times New Roman;serif"/>
                <w:b w:val="false"/>
                <w:color w:val="000000"/>
                <w:sz w:val="19"/>
              </w:rPr>
              <w:t>Net (decrease) increase in cash, cash equivalents and restricted cash</w:t>
            </w:r>
          </w:p>
        </w:tc>
        <w:tc>
          <w:tcPr>
            <w:tcW w:w="8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beginning of the period</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at end of the period</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Supplemental cash flow disclosure:</w:t>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 (net of refunds)</w:t>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investing activities:</w:t>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Expenditures for property, plant and equipment in accounts payable</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32"/>
        <w:jc w:val="center"/>
        <w:rPr>
          <w:color w:val="000000"/>
        </w:rPr>
      </w:pPr>
      <w:r>
        <w:rPr>
          <w:color w:val="000000"/>
        </w:rPr>
        <w:t>    </w:t>
      </w:r>
    </w:p>
    <w:p>
      <w:pPr>
        <w:pStyle w:val="TextBody"/>
        <w:bidi w:val="0"/>
        <w:spacing w:lineRule="auto" w:line="288"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The Notes to the Consolidated Interim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GARRETT MOTION INC.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CONSOLIDATED INTERIM STATEMENTS OF EQUITY (DEFICIT)</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tbl>
      <w:tblPr>
        <w:tblW w:w="10846" w:type="dxa"/>
        <w:jc w:val="left"/>
        <w:tblInd w:w="0" w:type="dxa"/>
        <w:tblLayout w:type="fixed"/>
        <w:tblCellMar>
          <w:top w:w="28" w:type="dxa"/>
          <w:left w:w="28" w:type="dxa"/>
          <w:bottom w:w="28" w:type="dxa"/>
          <w:right w:w="28" w:type="dxa"/>
        </w:tblCellMar>
      </w:tblPr>
      <w:tblGrid>
        <w:gridCol w:w="535"/>
        <w:gridCol w:w="325"/>
        <w:gridCol w:w="326"/>
        <w:gridCol w:w="109"/>
        <w:gridCol w:w="109"/>
        <w:gridCol w:w="153"/>
        <w:gridCol w:w="153"/>
        <w:gridCol w:w="242"/>
        <w:gridCol w:w="190"/>
        <w:gridCol w:w="154"/>
        <w:gridCol w:w="109"/>
        <w:gridCol w:w="109"/>
        <w:gridCol w:w="109"/>
        <w:gridCol w:w="196"/>
        <w:gridCol w:w="406"/>
        <w:gridCol w:w="109"/>
        <w:gridCol w:w="109"/>
        <w:gridCol w:w="109"/>
        <w:gridCol w:w="109"/>
        <w:gridCol w:w="203"/>
        <w:gridCol w:w="203"/>
        <w:gridCol w:w="196"/>
        <w:gridCol w:w="109"/>
        <w:gridCol w:w="109"/>
        <w:gridCol w:w="109"/>
        <w:gridCol w:w="230"/>
        <w:gridCol w:w="512"/>
        <w:gridCol w:w="129"/>
        <w:gridCol w:w="230"/>
        <w:gridCol w:w="230"/>
        <w:gridCol w:w="231"/>
        <w:gridCol w:w="196"/>
        <w:gridCol w:w="556"/>
        <w:gridCol w:w="109"/>
        <w:gridCol w:w="109"/>
        <w:gridCol w:w="109"/>
        <w:gridCol w:w="109"/>
        <w:gridCol w:w="272"/>
        <w:gridCol w:w="792"/>
        <w:gridCol w:w="152"/>
        <w:gridCol w:w="109"/>
        <w:gridCol w:w="109"/>
        <w:gridCol w:w="109"/>
        <w:gridCol w:w="196"/>
        <w:gridCol w:w="436"/>
        <w:gridCol w:w="109"/>
        <w:gridCol w:w="109"/>
        <w:gridCol w:w="109"/>
        <w:gridCol w:w="109"/>
        <w:gridCol w:w="196"/>
        <w:gridCol w:w="436"/>
        <w:gridCol w:w="109"/>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 xml:space="preserve">Comprehensive (Loss) /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6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6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82"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2"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Income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Shares</w:t>
            </w:r>
            <w:r>
              <w:rPr>
                <w:color w:val="000000"/>
              </w:rPr>
              <w:t xml:space="preserv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69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6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82"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millions)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FF0FC" w:val="clear"/>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2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Excise tax on share repurchases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under stock plan,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32"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2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(1,517)</w:t>
            </w:r>
          </w:p>
        </w:tc>
        <w:tc>
          <w:tcPr>
            <w:tcW w:w="15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left"/>
        <w:rPr>
          <w:rFonts w:ascii="Times New Roman;serif" w:hAnsi="Times New Roman;serif"/>
          <w:b w:val="false"/>
          <w:color w:val="000000"/>
          <w:sz w:val="16"/>
        </w:rPr>
      </w:pPr>
      <w:r>
        <w:rPr>
          <w:rFonts w:ascii="Times New Roman;serif" w:hAnsi="Times New Roman;serif"/>
          <w:b w:val="false"/>
          <w:color w:val="000000"/>
          <w:sz w:val="16"/>
        </w:rPr>
        <w:t>(1) Common shares issued less treasury shares equals common shares outstanding</w:t>
      </w:r>
    </w:p>
    <w:p>
      <w:pPr>
        <w:pStyle w:val="TextBody"/>
        <w:bidi w:val="0"/>
        <w:spacing w:lineRule="auto" w:line="288" w:before="200" w:after="283"/>
        <w:ind w:left="0" w:right="0" w:firstLine="432"/>
        <w:jc w:val="center"/>
        <w:rPr>
          <w:rFonts w:ascii="Times New Roman;serif" w:hAnsi="Times New Roman;serif"/>
          <w:b w:val="false"/>
          <w:color w:val="231F20"/>
          <w:sz w:val="20"/>
        </w:rPr>
      </w:pPr>
      <w:r>
        <w:rPr>
          <w:rFonts w:ascii="Times New Roman;serif" w:hAnsi="Times New Roman;serif"/>
          <w:b w:val="false"/>
          <w:color w:val="231F20"/>
          <w:sz w:val="20"/>
        </w:rPr>
        <w:t>The Notes to the Consolidated Interim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 xml:space="preserve">GARRETT MOTION INC. </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NOTES TO CONSOLIDATED INTERIM FINANCIAL STATEMENTS</w:t>
      </w:r>
    </w:p>
    <w:p>
      <w:pPr>
        <w:pStyle w:val="TextBody"/>
        <w:bidi w:val="0"/>
        <w:spacing w:lineRule="auto" w:line="288" w:before="0" w:after="0"/>
        <w:ind w:left="0" w:right="0" w:firstLine="432"/>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83"/>
        <w:ind w:left="0" w:right="0" w:firstLine="432"/>
        <w:jc w:val="center"/>
        <w:rPr>
          <w:rFonts w:ascii="Times New Roman;serif" w:hAnsi="Times New Roman;serif"/>
          <w:b/>
          <w:color w:val="000000"/>
          <w:sz w:val="20"/>
        </w:rPr>
      </w:pPr>
      <w:r>
        <w:rPr>
          <w:rFonts w:ascii="Times New Roman;serif" w:hAnsi="Times New Roman;serif"/>
          <w:b/>
          <w:color w:val="000000"/>
          <w:sz w:val="20"/>
        </w:rPr>
        <w:t>(Dollars in millions,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 Background and Basis of Presentation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Background</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to original equipment manufacturers (“OEMs”) and independent aftermarket distributors in the mobility and industrial fields. We have significant expertise in delivering highly engineered products at scale for internal combustion engines using gasoline, diesel, natural gas, and hydrogen, as well as for zero-emission vehicles. Our products are key enablers for fuel economy, energy efficiency, thermal management, and compliance with greenhouse gas and other emission-reduction targets.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432"/>
        <w:jc w:val="both"/>
        <w:rPr/>
      </w:pPr>
      <w:r>
        <w:rPr>
          <w:rFonts w:ascii="Times New Roman;serif" w:hAnsi="Times New Roman;serif"/>
          <w:b w:val="false"/>
          <w:color w:val="000000"/>
          <w:sz w:val="20"/>
        </w:rPr>
        <w:t>The accompanying unaudited Consolidated Interim Financial Statements have been prepared in accordance with the rules and regulations of the Securities and Exchange Commission ("SEC")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2025</w:t>
      </w:r>
      <w:r>
        <w:rPr>
          <w:color w:val="000000"/>
          <w:shd w:fill="FFFFFF" w:val="clear"/>
        </w:rPr>
        <w:t xml:space="preserve"> </w:t>
      </w:r>
      <w:r>
        <w:rPr>
          <w:rFonts w:ascii="Times New Roman;serif" w:hAnsi="Times New Roman;serif"/>
          <w:b w:val="false"/>
          <w:color w:val="000000"/>
          <w:sz w:val="20"/>
          <w:shd w:fill="FFFFFF" w:val="clear"/>
        </w:rPr>
        <w:t xml:space="preserve">included in our Annual Report on Form 10-K, as filed with the SEC on February 19, 2026 (our “2025 Form 10-K”). The results of operations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and cash flows for the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should not necessarily be taken as indicative of the entire year. All amounts presented are in millions, except per share amounts. </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We evaluate segment reporting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2. Summary of Significant Accounting Policies </w:t>
      </w:r>
    </w:p>
    <w:p>
      <w:pPr>
        <w:pStyle w:val="TextBody"/>
        <w:bidi w:val="0"/>
        <w:spacing w:lineRule="auto" w:line="288" w:before="200" w:after="283"/>
        <w:ind w:left="0" w:right="0" w:firstLine="432"/>
        <w:jc w:val="both"/>
        <w:rPr/>
      </w:pPr>
      <w:r>
        <w:rPr>
          <w:rFonts w:ascii="Times New Roman;serif" w:hAnsi="Times New Roman;serif"/>
          <w:b w:val="false"/>
          <w:color w:val="000000"/>
          <w:sz w:val="20"/>
        </w:rPr>
        <w:t>The accounting policies of the Company are set forth in Note 2 to the Consolidated Financial Statements for the year ended December 31, 2025 included in our 2025 Form 10-K.</w:t>
      </w:r>
      <w:r>
        <w:rPr>
          <w:color w:val="000000"/>
        </w:rPr>
        <w:t xml:space="preserv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Accounting Standards Issued But Not Yet Adopted</w:t>
      </w:r>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In November 2024, the FASB issued ASU 2024-03, </w:t>
      </w:r>
      <w:r>
        <w:rPr>
          <w:rFonts w:ascii="Times New Roman;serif" w:hAnsi="Times New Roman;serif"/>
          <w:b w:val="false"/>
          <w:i/>
          <w:color w:val="231F20"/>
          <w:sz w:val="20"/>
        </w:rPr>
        <w:t>Income Statement</w:t>
      </w:r>
      <w:r>
        <w:rPr>
          <w:color w:val="231F20"/>
        </w:rPr>
        <w:t>—</w:t>
      </w:r>
      <w:r>
        <w:rPr>
          <w:rFonts w:ascii="Times New Roman;serif" w:hAnsi="Times New Roman;serif"/>
          <w:b w:val="false"/>
          <w:i/>
          <w:color w:val="231F20"/>
          <w:sz w:val="20"/>
        </w:rPr>
        <w:t>Reporting Comprehensive Income</w:t>
      </w:r>
      <w:r>
        <w:rPr>
          <w:color w:val="231F20"/>
        </w:rPr>
        <w:t>—</w:t>
      </w:r>
      <w:r>
        <w:rPr>
          <w:rFonts w:ascii="Times New Roman;serif" w:hAnsi="Times New Roman;serif"/>
          <w:b w:val="false"/>
          <w:i/>
          <w:color w:val="231F20"/>
          <w:sz w:val="20"/>
        </w:rPr>
        <w:t>Expense Disaggregation Disclosures (Subtopic 220-40): Disaggregation of Income Statement Expenses.</w:t>
      </w:r>
      <w:r>
        <w:rPr>
          <w:color w:val="231F20"/>
        </w:rPr>
        <w:t xml:space="preserve"> </w:t>
      </w:r>
      <w:r>
        <w:rPr>
          <w:rFonts w:ascii="Times New Roman;serif" w:hAnsi="Times New Roman;serif"/>
          <w:b w:val="false"/>
          <w:color w:val="231F20"/>
          <w:sz w:val="20"/>
        </w:rPr>
        <w:t xml:space="preserve">The amendments in this update require disclosure of specified information about certain costs and expenses. In January 2025, the FASB issued ASU 2025-01, </w:t>
      </w:r>
      <w:r>
        <w:rPr>
          <w:rFonts w:ascii="Times New Roman;serif" w:hAnsi="Times New Roman;serif"/>
          <w:b w:val="false"/>
          <w:i/>
          <w:color w:val="231F20"/>
          <w:sz w:val="20"/>
        </w:rPr>
        <w:t>Income Statement—Reporting Comprehensive Income—Expense Disaggregation Disclosures (Subtopic 220-40): Clarifying the Effective Date</w:t>
      </w:r>
      <w:r>
        <w:rPr>
          <w:rFonts w:ascii="Times New Roman;serif" w:hAnsi="Times New Roman;serif"/>
          <w:b w:val="false"/>
          <w:color w:val="231F20"/>
          <w:sz w:val="20"/>
        </w:rPr>
        <w:t xml:space="preserve">. The guidance, as clarified by ASU 2025-01, is effective for fiscal years beginning after December 15, 2026 on a prospective basis, with early adoption permitted. The Company is currently evaluating the guidance to determine the impact on its disclosures. </w:t>
      </w:r>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In September 2025, FASB issued ASU 2025-06, </w:t>
      </w:r>
      <w:r>
        <w:rPr>
          <w:rFonts w:ascii="Times New Roman;serif" w:hAnsi="Times New Roman;serif"/>
          <w:b w:val="false"/>
          <w:i/>
          <w:color w:val="231F20"/>
          <w:sz w:val="20"/>
        </w:rPr>
        <w:t>Intangibles</w:t>
      </w:r>
      <w:r>
        <w:rPr>
          <w:color w:val="231F20"/>
        </w:rPr>
        <w:t>—</w:t>
      </w:r>
      <w:r>
        <w:rPr>
          <w:rFonts w:ascii="Times New Roman;serif" w:hAnsi="Times New Roman;serif"/>
          <w:b w:val="false"/>
          <w:i/>
          <w:color w:val="231F20"/>
          <w:sz w:val="20"/>
        </w:rPr>
        <w:t>Goodwill and Other</w:t>
      </w:r>
      <w:r>
        <w:rPr>
          <w:color w:val="231F20"/>
        </w:rPr>
        <w:t>—</w:t>
      </w:r>
      <w:r>
        <w:rPr>
          <w:rFonts w:ascii="Times New Roman;serif" w:hAnsi="Times New Roman;serif"/>
          <w:b w:val="false"/>
          <w:i/>
          <w:color w:val="231F20"/>
          <w:sz w:val="20"/>
        </w:rPr>
        <w:t>Internal Use Software (Subtopic 350-40): Targeted Improvements to the Accounting for Internal-Use Software.</w:t>
      </w:r>
      <w:r>
        <w:rPr>
          <w:color w:val="231F20"/>
        </w:rPr>
        <w:t xml:space="preserve"> </w:t>
      </w:r>
      <w:r>
        <w:rPr>
          <w:rFonts w:ascii="Times New Roman;serif" w:hAnsi="Times New Roman;serif"/>
          <w:b w:val="false"/>
          <w:color w:val="231F20"/>
          <w:sz w:val="20"/>
        </w:rPr>
        <w:t xml:space="preserve">The amendments revise the 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criteria for internal-use software costs and eliminate stage-based development guidance. The update is effective for fiscal years beginning after December 15, 2027, with early adoption permitted. The Company is currently evaluating the guidance to determine the impact on its accounting policies and disclosures. </w:t>
      </w:r>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In December 2025, </w:t>
      </w:r>
      <w:r>
        <w:rPr>
          <w:rFonts w:ascii="Times New Roman;serif" w:hAnsi="Times New Roman;serif"/>
          <w:b w:val="false"/>
          <w:color w:val="000000"/>
          <w:sz w:val="20"/>
        </w:rPr>
        <w:t xml:space="preserve">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amendments in this update establish the accounting for a government grant received by a business entity. The guidance is effective for fiscal years beginning after December 15, 2029, with early adoption permitted. The Company is currently evaluating the guidance to determine the impact on its accounting policies and disclosures.</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There are no other recently issued, but not yet adopted, accounting pronouncements that are expected to have a material impact on the Company's Consolidated Interim Financial Statements and related disclosures.</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both"/>
        <w:rPr/>
      </w:pPr>
      <w:r>
        <w:rPr>
          <w:rFonts w:ascii="Times New Roman;serif" w:hAnsi="Times New Roman;serif"/>
          <w:b/>
          <w:color w:val="000000"/>
          <w:sz w:val="20"/>
        </w:rPr>
        <w:t>Note 3. Revenue Recognition and Contracts with Customers</w:t>
      </w:r>
      <w:r>
        <w:rPr>
          <w:color w:val="000000"/>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Disaggregated Revenue </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Net sales by region (determined based on country of shipment) and product line is included in Note 22, </w:t>
      </w:r>
      <w:r>
        <w:rPr>
          <w:rFonts w:ascii="Times New Roman;serif" w:hAnsi="Times New Roman;serif"/>
          <w:b w:val="false"/>
          <w:i/>
          <w:color w:val="000000"/>
          <w:sz w:val="20"/>
        </w:rPr>
        <w:t>Segments and Concentrations</w:t>
      </w:r>
      <w:r>
        <w:rPr>
          <w:rFonts w:ascii="Times New Roman;serif" w:hAnsi="Times New Roman;serif"/>
          <w:b w:val="false"/>
          <w:color w:val="000000"/>
          <w:sz w:val="20"/>
        </w:rPr>
        <w:t xml:space="preserve">. </w:t>
      </w:r>
    </w:p>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contract assets and liabilities balances: </w:t>
      </w:r>
    </w:p>
    <w:tbl>
      <w:tblPr>
        <w:tblW w:w="6053" w:type="dxa"/>
        <w:jc w:val="left"/>
        <w:tblInd w:w="0" w:type="dxa"/>
        <w:tblLayout w:type="fixed"/>
        <w:tblCellMar>
          <w:top w:w="28" w:type="dxa"/>
          <w:left w:w="28" w:type="dxa"/>
          <w:bottom w:w="28" w:type="dxa"/>
          <w:right w:w="28" w:type="dxa"/>
        </w:tblCellMar>
      </w:tblPr>
      <w:tblGrid>
        <w:gridCol w:w="1537"/>
        <w:gridCol w:w="1351"/>
        <w:gridCol w:w="1356"/>
        <w:gridCol w:w="211"/>
        <w:gridCol w:w="436"/>
        <w:gridCol w:w="109"/>
        <w:gridCol w:w="109"/>
        <w:gridCol w:w="109"/>
        <w:gridCol w:w="109"/>
        <w:gridCol w:w="211"/>
        <w:gridCol w:w="36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5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8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assets—June 30</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assets—Increase/(Decrease)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liabilities—January 1</w:t>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liabilities—June 30</w:t>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liabilities—Decrease/(Increase)</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4. Research, Development and Engineering</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 xml:space="preserve">Garrett conducts research, development, and engineering (“RD&amp;E”) activities, which consist primarily of the development of new products and product applications. RD&amp;E costs are included in Cost of goods sold. Customer reimbursements are netted against gross RD&amp;E expenditures as they are considered a recovery of cost. RD&amp;E costs are charged to expense as incurred unless the Company has a contractual guarantee of reimbursement from the customer, in which case the related costs are capitalized. Total RD&amp;E expenses, net of customer reimbursements, amounted to the following: </w:t>
      </w:r>
    </w:p>
    <w:tbl>
      <w:tblPr>
        <w:tblW w:w="7574" w:type="dxa"/>
        <w:jc w:val="left"/>
        <w:tblInd w:w="0" w:type="dxa"/>
        <w:tblLayout w:type="fixed"/>
        <w:tblCellMar>
          <w:top w:w="28" w:type="dxa"/>
          <w:left w:w="28" w:type="dxa"/>
          <w:bottom w:w="28" w:type="dxa"/>
          <w:right w:w="28" w:type="dxa"/>
        </w:tblCellMar>
      </w:tblPr>
      <w:tblGrid>
        <w:gridCol w:w="1385"/>
        <w:gridCol w:w="1218"/>
        <w:gridCol w:w="1221"/>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 costs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December 31, 2025, </w:t>
      </w:r>
      <w:r>
        <w:rPr>
          <w:rFonts w:ascii="Times New Roman;serif" w:hAnsi="Times New Roman;serif"/>
          <w:b w:val="false"/>
          <w:color w:val="000000"/>
          <w:sz w:val="20"/>
        </w:rPr>
        <w:t>$45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$52 million</w:t>
      </w:r>
      <w:r>
        <w:rPr>
          <w:rFonts w:ascii="Times New Roman;serif" w:hAnsi="Times New Roman;serif"/>
          <w:b w:val="false"/>
          <w:color w:val="231F20"/>
          <w:sz w:val="20"/>
        </w:rPr>
        <w:t xml:space="preserve">, respectively, of contractually reimbursable costs were capitalized. These amounts are recorded within Other current assets and Other assets in the Consolidated Interim Balance Sheet. </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5. Income Taxes</w:t>
      </w:r>
    </w:p>
    <w:tbl>
      <w:tblPr>
        <w:tblW w:w="5897" w:type="dxa"/>
        <w:jc w:val="left"/>
        <w:tblInd w:w="0" w:type="dxa"/>
        <w:tblLayout w:type="fixed"/>
        <w:tblCellMar>
          <w:top w:w="28" w:type="dxa"/>
          <w:left w:w="28" w:type="dxa"/>
          <w:bottom w:w="28" w:type="dxa"/>
          <w:right w:w="28" w:type="dxa"/>
        </w:tblCellMar>
      </w:tblPr>
      <w:tblGrid>
        <w:gridCol w:w="543"/>
        <w:gridCol w:w="476"/>
        <w:gridCol w:w="480"/>
        <w:gridCol w:w="211"/>
        <w:gridCol w:w="361"/>
        <w:gridCol w:w="271"/>
        <w:gridCol w:w="109"/>
        <w:gridCol w:w="109"/>
        <w:gridCol w:w="109"/>
        <w:gridCol w:w="211"/>
        <w:gridCol w:w="361"/>
        <w:gridCol w:w="271"/>
        <w:gridCol w:w="109"/>
        <w:gridCol w:w="109"/>
        <w:gridCol w:w="109"/>
        <w:gridCol w:w="211"/>
        <w:gridCol w:w="361"/>
        <w:gridCol w:w="271"/>
        <w:gridCol w:w="109"/>
        <w:gridCol w:w="109"/>
        <w:gridCol w:w="109"/>
        <w:gridCol w:w="211"/>
        <w:gridCol w:w="361"/>
        <w:gridCol w:w="31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32"/>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31F20"/>
          <w:sz w:val="20"/>
        </w:rPr>
        <w:t xml:space="preserve">The effective tax rates for the three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2025 were 19.8% and 14.7%, respectively. The effective tax rates for the six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2025 were 19.7% and 20.3%,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31F20"/>
          <w:sz w:val="20"/>
        </w:rPr>
        <w:t xml:space="preserve">The change in the effective tax rate for the three and six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compared to the prior period is primarily related to a decrease in U.S. taxes on international operations during 2026, the global mix of earnings from year-to-year, a one-time benefit related to the revaluation of deferred tax assets in China during 2025, and deductions related to employee share-based compensation during 2026.</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pPr>
      <w:r>
        <w:rPr>
          <w:rFonts w:ascii="Times New Roman;serif" w:hAnsi="Times New Roman;serif"/>
          <w:b w:val="false"/>
          <w:color w:val="231F20"/>
          <w:sz w:val="20"/>
        </w:rPr>
        <w:t xml:space="preserve">The effective tax rate for the three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was lower than the U.S. federal statutory rate of 21% primarily because of the global mix of earnings, benefits related to research and development expenses, and the release of audit reserves.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231F20"/>
          <w:sz w:val="20"/>
        </w:rPr>
        <w:t xml:space="preserve">The effective tax rate for the six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was lower than the U.S. federal statutory rate of 21% primarily because of the global mix of earnings, benefits related to research and development expenses, deductions related to employee share-based compensation, and the release of audit reserves.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Accounts, Notes and Other Receivables—Net</w:t>
      </w:r>
    </w:p>
    <w:p>
      <w:pPr>
        <w:pStyle w:val="TextBody"/>
        <w:bidi w:val="0"/>
        <w:spacing w:before="0" w:after="0"/>
        <w:jc w:val="both"/>
        <w:rPr/>
      </w:pPr>
      <w:r>
        <w:rPr/>
      </w:r>
    </w:p>
    <w:tbl>
      <w:tblPr>
        <w:tblW w:w="5883" w:type="dxa"/>
        <w:jc w:val="left"/>
        <w:tblInd w:w="0" w:type="dxa"/>
        <w:tblLayout w:type="fixed"/>
        <w:tblCellMar>
          <w:top w:w="28" w:type="dxa"/>
          <w:left w:w="28" w:type="dxa"/>
          <w:bottom w:w="28" w:type="dxa"/>
          <w:right w:w="28" w:type="dxa"/>
        </w:tblCellMar>
      </w:tblPr>
      <w:tblGrid>
        <w:gridCol w:w="1315"/>
        <w:gridCol w:w="1155"/>
        <w:gridCol w:w="1160"/>
        <w:gridCol w:w="211"/>
        <w:gridCol w:w="466"/>
        <w:gridCol w:w="109"/>
        <w:gridCol w:w="109"/>
        <w:gridCol w:w="109"/>
        <w:gridCol w:w="109"/>
        <w:gridCol w:w="289"/>
        <w:gridCol w:w="639"/>
        <w:gridCol w:w="212"/>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receivables</w:t>
            </w:r>
            <w:r>
              <w:rPr>
                <w:color w:val="000000"/>
              </w:rPr>
              <w:t xml:space="preserv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1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Less—Allowance for expected credit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1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Trade receivables include $53 million and $48 million of unbilled customer contract asset balances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and December 31, 2025, respectively. These amounts are billed in accordance with the terms of customer contracts to which they relate.</w:t>
      </w:r>
      <w:r>
        <w:rPr>
          <w:color w:val="000000"/>
        </w:rPr>
        <w:t xml:space="preserve"> </w:t>
      </w:r>
      <w:r>
        <w:rPr>
          <w:rFonts w:ascii="Times New Roman;serif" w:hAnsi="Times New Roman;serif"/>
          <w:b w:val="false"/>
          <w:color w:val="000000"/>
          <w:sz w:val="20"/>
        </w:rPr>
        <w:t>See Note 3</w:t>
      </w:r>
      <w:r>
        <w:rPr>
          <w:rFonts w:ascii="Times New Roman;serif" w:hAnsi="Times New Roman;serif"/>
          <w:b w:val="false"/>
          <w:i/>
          <w:color w:val="000000"/>
          <w:sz w:val="20"/>
        </w:rPr>
        <w:t>, Revenue Recognition and Contracts with Customers</w:t>
      </w:r>
      <w:r>
        <w:rPr>
          <w:rFonts w:ascii="Times New Roman;serif" w:hAnsi="Times New Roman;serif"/>
          <w:b w:val="false"/>
          <w:color w:val="000000"/>
          <w:sz w:val="20"/>
        </w:rPr>
        <w:t>.</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Notes receivable is related to guaranteed bank notes without recourse that the Company receives in settlement of accounts receivables, primarily in the Asia Pacific region. See Note 7, </w:t>
      </w:r>
      <w:r>
        <w:rPr>
          <w:rFonts w:ascii="Times New Roman;serif" w:hAnsi="Times New Roman;serif"/>
          <w:b w:val="false"/>
          <w:i/>
          <w:color w:val="000000"/>
          <w:sz w:val="20"/>
        </w:rPr>
        <w:t>Factoring and Notes Receivable</w:t>
      </w:r>
      <w:r>
        <w:rPr>
          <w:rFonts w:ascii="Times New Roman;serif" w:hAnsi="Times New Roman;serif"/>
          <w:b w:val="false"/>
          <w:color w:val="000000"/>
          <w:sz w:val="20"/>
        </w:rPr>
        <w:t>.</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Other receivables includes VAT receivables of $45 million and $47 million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and December 31, 2025, respectively. </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7. Factoring and Notes Receivable</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tbl>
      <w:tblPr>
        <w:tblW w:w="8534" w:type="dxa"/>
        <w:jc w:val="left"/>
        <w:tblInd w:w="0" w:type="dxa"/>
        <w:tblLayout w:type="fixed"/>
        <w:tblCellMar>
          <w:top w:w="28" w:type="dxa"/>
          <w:left w:w="28" w:type="dxa"/>
          <w:bottom w:w="28" w:type="dxa"/>
          <w:right w:w="28" w:type="dxa"/>
        </w:tblCellMar>
      </w:tblPr>
      <w:tblGrid>
        <w:gridCol w:w="1363"/>
        <w:gridCol w:w="1199"/>
        <w:gridCol w:w="1202"/>
        <w:gridCol w:w="403"/>
        <w:gridCol w:w="210"/>
        <w:gridCol w:w="211"/>
        <w:gridCol w:w="208"/>
        <w:gridCol w:w="208"/>
        <w:gridCol w:w="208"/>
        <w:gridCol w:w="403"/>
        <w:gridCol w:w="210"/>
        <w:gridCol w:w="211"/>
        <w:gridCol w:w="109"/>
        <w:gridCol w:w="109"/>
        <w:gridCol w:w="109"/>
        <w:gridCol w:w="362"/>
        <w:gridCol w:w="210"/>
        <w:gridCol w:w="211"/>
        <w:gridCol w:w="187"/>
        <w:gridCol w:w="187"/>
        <w:gridCol w:w="187"/>
        <w:gridCol w:w="362"/>
        <w:gridCol w:w="193"/>
        <w:gridCol w:w="272"/>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64"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receivables sold without recourse</w:t>
            </w:r>
          </w:p>
        </w:tc>
        <w:tc>
          <w:tcPr>
            <w:tcW w:w="40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5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342</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bank notes sold without recourse</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bl>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The expenses related to the sale of trade receivables and guaranteed bank notes are recognized within Other expense, net in the Consolidated Interim Statements of Operations, and were $1 million and $1 million for the three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and 2025, respectively, and $2 million and $2 million for the six months ended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and 2025, respectively</w:t>
      </w:r>
      <w:r>
        <w:rPr>
          <w:rFonts w:ascii="Times New Roman;serif" w:hAnsi="Times New Roman;serif"/>
          <w:b w:val="false"/>
          <w:color w:val="231F20"/>
          <w:sz w:val="20"/>
        </w:rPr>
        <w:t>.</w:t>
      </w:r>
      <w:r>
        <w:rPr>
          <w:color w:val="000000"/>
        </w:rPr>
        <w:t xml:space="preserve"> </w:t>
      </w:r>
    </w:p>
    <w:tbl>
      <w:tblPr>
        <w:tblW w:w="8786" w:type="dxa"/>
        <w:jc w:val="left"/>
        <w:tblInd w:w="0" w:type="dxa"/>
        <w:tblLayout w:type="fixed"/>
        <w:tblCellMar>
          <w:top w:w="28" w:type="dxa"/>
          <w:left w:w="28" w:type="dxa"/>
          <w:bottom w:w="28" w:type="dxa"/>
          <w:right w:w="28" w:type="dxa"/>
        </w:tblCellMar>
      </w:tblPr>
      <w:tblGrid>
        <w:gridCol w:w="2388"/>
        <w:gridCol w:w="2103"/>
        <w:gridCol w:w="2109"/>
        <w:gridCol w:w="223"/>
        <w:gridCol w:w="382"/>
        <w:gridCol w:w="115"/>
        <w:gridCol w:w="109"/>
        <w:gridCol w:w="109"/>
        <w:gridCol w:w="109"/>
        <w:gridCol w:w="311"/>
        <w:gridCol w:w="599"/>
        <w:gridCol w:w="229"/>
      </w:tblGrid>
      <w:tr>
        <w:trPr/>
        <w:tc>
          <w:tcPr>
            <w:tcW w:w="238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660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sold but not yet collected by the bank from the customer</w:t>
            </w:r>
          </w:p>
        </w:tc>
        <w:tc>
          <w:tcPr>
            <w:tcW w:w="22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bank notes sold but not yet collected by the bank from the customer</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As of June 30, 2026 and </w:t>
      </w:r>
      <w:r>
        <w:rPr>
          <w:rFonts w:ascii="Times New Roman;serif" w:hAnsi="Times New Roman;serif"/>
          <w:b w:val="false"/>
          <w:color w:val="000000"/>
          <w:sz w:val="20"/>
          <w:shd w:fill="FFFFFF" w:val="clear"/>
        </w:rPr>
        <w:t>December 31, 2025, the Company had no guaranteed bank notes pledged as collateral</w:t>
      </w:r>
      <w:r>
        <w:rPr>
          <w:rFonts w:ascii="Times New Roman;serif" w:hAnsi="Times New Roman;serif"/>
          <w:b w:val="false"/>
          <w:color w:val="000000"/>
          <w:sz w:val="20"/>
        </w:rPr>
        <w: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8. Inventories—Net </w:t>
      </w:r>
    </w:p>
    <w:tbl>
      <w:tblPr>
        <w:tblW w:w="3828" w:type="dxa"/>
        <w:jc w:val="left"/>
        <w:tblInd w:w="0" w:type="dxa"/>
        <w:tblLayout w:type="fixed"/>
        <w:tblCellMar>
          <w:top w:w="28" w:type="dxa"/>
          <w:left w:w="28" w:type="dxa"/>
          <w:bottom w:w="28" w:type="dxa"/>
          <w:right w:w="28" w:type="dxa"/>
        </w:tblCellMar>
      </w:tblPr>
      <w:tblGrid>
        <w:gridCol w:w="570"/>
        <w:gridCol w:w="501"/>
        <w:gridCol w:w="504"/>
        <w:gridCol w:w="211"/>
        <w:gridCol w:w="466"/>
        <w:gridCol w:w="109"/>
        <w:gridCol w:w="109"/>
        <w:gridCol w:w="109"/>
        <w:gridCol w:w="109"/>
        <w:gridCol w:w="289"/>
        <w:gridCol w:w="639"/>
        <w:gridCol w:w="212"/>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1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Less—Reserves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1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9. Other Current Assets</w:t>
      </w:r>
    </w:p>
    <w:p>
      <w:pPr>
        <w:pStyle w:val="TextBody"/>
        <w:bidi w:val="0"/>
        <w:spacing w:before="0" w:after="0"/>
        <w:jc w:val="both"/>
        <w:rPr/>
      </w:pPr>
      <w:r>
        <w:rPr/>
      </w:r>
    </w:p>
    <w:tbl>
      <w:tblPr>
        <w:tblW w:w="5747" w:type="dxa"/>
        <w:jc w:val="left"/>
        <w:tblInd w:w="0" w:type="dxa"/>
        <w:tblLayout w:type="fixed"/>
        <w:tblCellMar>
          <w:top w:w="28" w:type="dxa"/>
          <w:left w:w="28" w:type="dxa"/>
          <w:bottom w:w="28" w:type="dxa"/>
          <w:right w:w="28" w:type="dxa"/>
        </w:tblCellMar>
      </w:tblPr>
      <w:tblGrid>
        <w:gridCol w:w="1266"/>
        <w:gridCol w:w="1109"/>
        <w:gridCol w:w="1119"/>
        <w:gridCol w:w="211"/>
        <w:gridCol w:w="466"/>
        <w:gridCol w:w="109"/>
        <w:gridCol w:w="109"/>
        <w:gridCol w:w="109"/>
        <w:gridCol w:w="109"/>
        <w:gridCol w:w="331"/>
        <w:gridCol w:w="567"/>
        <w:gridCol w:w="242"/>
      </w:tblGrid>
      <w:tr>
        <w:trPr/>
        <w:tc>
          <w:tcPr>
            <w:tcW w:w="12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discounts to customers, current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reimbursable engineering</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10. Other Assets</w:t>
      </w:r>
    </w:p>
    <w:tbl>
      <w:tblPr>
        <w:tblW w:w="6527" w:type="dxa"/>
        <w:jc w:val="left"/>
        <w:tblInd w:w="0" w:type="dxa"/>
        <w:tblLayout w:type="fixed"/>
        <w:tblCellMar>
          <w:top w:w="28" w:type="dxa"/>
          <w:left w:w="28" w:type="dxa"/>
          <w:bottom w:w="28" w:type="dxa"/>
          <w:right w:w="28" w:type="dxa"/>
        </w:tblCellMar>
      </w:tblPr>
      <w:tblGrid>
        <w:gridCol w:w="1546"/>
        <w:gridCol w:w="1362"/>
        <w:gridCol w:w="1366"/>
        <w:gridCol w:w="211"/>
        <w:gridCol w:w="466"/>
        <w:gridCol w:w="109"/>
        <w:gridCol w:w="109"/>
        <w:gridCol w:w="109"/>
        <w:gridCol w:w="109"/>
        <w:gridCol w:w="289"/>
        <w:gridCol w:w="639"/>
        <w:gridCol w:w="212"/>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27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discounts to customers, non-current</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right-of-use assets (Note 14)</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employee related</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reimbursable engineering costs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Designated and undesignated derivatives (Note 17)</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11. Supplier Financing</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supplier financing obligations and guaranteed bank notes outstanding are recorded within Accounts payable in our Consolidated Interim Balance Sheet.</w:t>
      </w:r>
    </w:p>
    <w:tbl>
      <w:tblPr>
        <w:tblW w:w="7962" w:type="dxa"/>
        <w:jc w:val="left"/>
        <w:tblInd w:w="0" w:type="dxa"/>
        <w:tblLayout w:type="fixed"/>
        <w:tblCellMar>
          <w:top w:w="28" w:type="dxa"/>
          <w:left w:w="28" w:type="dxa"/>
          <w:bottom w:w="28" w:type="dxa"/>
          <w:right w:w="28" w:type="dxa"/>
        </w:tblCellMar>
      </w:tblPr>
      <w:tblGrid>
        <w:gridCol w:w="2092"/>
        <w:gridCol w:w="1839"/>
        <w:gridCol w:w="1844"/>
        <w:gridCol w:w="223"/>
        <w:gridCol w:w="382"/>
        <w:gridCol w:w="115"/>
        <w:gridCol w:w="109"/>
        <w:gridCol w:w="109"/>
        <w:gridCol w:w="109"/>
        <w:gridCol w:w="331"/>
        <w:gridCol w:w="567"/>
        <w:gridCol w:w="242"/>
      </w:tblGrid>
      <w:tr>
        <w:trPr/>
        <w:tc>
          <w:tcPr>
            <w:tcW w:w="209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57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financing obligations outstanding with financial institutions</w:t>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bank notes outstanding</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Note 12. Accrued Liabilities </w:t>
      </w:r>
    </w:p>
    <w:tbl>
      <w:tblPr>
        <w:tblW w:w="7967" w:type="dxa"/>
        <w:jc w:val="left"/>
        <w:tblInd w:w="0" w:type="dxa"/>
        <w:tblLayout w:type="fixed"/>
        <w:tblCellMar>
          <w:top w:w="28" w:type="dxa"/>
          <w:left w:w="28" w:type="dxa"/>
          <w:bottom w:w="28" w:type="dxa"/>
          <w:right w:w="28" w:type="dxa"/>
        </w:tblCellMar>
      </w:tblPr>
      <w:tblGrid>
        <w:gridCol w:w="2068"/>
        <w:gridCol w:w="1821"/>
        <w:gridCol w:w="1825"/>
        <w:gridCol w:w="211"/>
        <w:gridCol w:w="466"/>
        <w:gridCol w:w="109"/>
        <w:gridCol w:w="109"/>
        <w:gridCol w:w="109"/>
        <w:gridCol w:w="109"/>
        <w:gridCol w:w="289"/>
        <w:gridCol w:w="639"/>
        <w:gridCol w:w="212"/>
      </w:tblGrid>
      <w:tr>
        <w:trPr/>
        <w:tc>
          <w:tcPr>
            <w:tcW w:w="206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7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pricing reserve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benefit and other employee related</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Repositioning</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Product warranties and performance guarantees - short-term (Note 20)</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6" w:before="15" w:after="283"/>
              <w:jc w:val="left"/>
              <w:rPr/>
            </w:pPr>
            <w:r>
              <w:rPr>
                <w:rFonts w:ascii="Times New Roman;serif" w:hAnsi="Times New Roman;serif"/>
                <w:b w:val="false"/>
                <w:color w:val="000000"/>
                <w:sz w:val="20"/>
              </w:rPr>
              <w:t xml:space="preserve">Customer advances and deferred income </w:t>
            </w:r>
            <w:r>
              <w:rPr>
                <w:rFonts w:ascii="Times New Roman;serif" w:hAnsi="Times New Roman;serif"/>
                <w:b w:val="false"/>
                <w:color w:val="000000"/>
                <w:sz w:val="16"/>
              </w:rPr>
              <w:t>(1)</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Short-term lease liability (Note 14)</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Designated and undesignated derivatives (Note 17) </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 (Note 17)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reserve</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Other (primarily operating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pPr>
      <w:r>
        <w:rPr>
          <w:rFonts w:ascii="Times New Roman;serif" w:hAnsi="Times New Roman;serif"/>
          <w:b w:val="false"/>
          <w:color w:val="000000"/>
          <w:sz w:val="20"/>
        </w:rPr>
        <w:t>(1)Customer advances and deferred inco</w:t>
      </w:r>
      <w:r>
        <w:rPr>
          <w:rFonts w:ascii="Times New Roman;serif" w:hAnsi="Times New Roman;serif"/>
          <w:b w:val="false"/>
          <w:color w:val="000000"/>
          <w:sz w:val="20"/>
          <w:shd w:fill="FFFFFF" w:val="clear"/>
        </w:rPr>
        <w:t>me inc</w:t>
      </w:r>
      <w:r>
        <w:rPr>
          <w:rFonts w:ascii="Times New Roman;serif" w:hAnsi="Times New Roman;serif"/>
          <w:b w:val="false"/>
          <w:color w:val="000000"/>
          <w:sz w:val="20"/>
        </w:rPr>
        <w:t xml:space="preserve">lude $16 million </w:t>
      </w:r>
      <w:r>
        <w:rPr>
          <w:rFonts w:ascii="Times New Roman;serif" w:hAnsi="Times New Roman;serif"/>
          <w:b w:val="false"/>
          <w:color w:val="000000"/>
          <w:sz w:val="20"/>
          <w:shd w:fill="FFFFFF" w:val="clear"/>
        </w:rPr>
        <w:t>and $10 million</w:t>
      </w:r>
      <w:r>
        <w:rPr>
          <w:color w:val="000000"/>
          <w:shd w:fill="FFFFFF" w:val="clear"/>
        </w:rPr>
        <w:t xml:space="preserve"> </w:t>
      </w:r>
      <w:r>
        <w:rPr>
          <w:rFonts w:ascii="Times New Roman;serif" w:hAnsi="Times New Roman;serif"/>
          <w:b w:val="false"/>
          <w:color w:val="000000"/>
          <w:sz w:val="20"/>
          <w:shd w:fill="FFFFFF" w:val="clear"/>
        </w:rPr>
        <w:t>of</w:t>
      </w:r>
      <w:r>
        <w:rPr>
          <w:color w:val="000000"/>
        </w:rPr>
        <w:t xml:space="preserve"> </w:t>
      </w:r>
      <w:r>
        <w:rPr>
          <w:rFonts w:ascii="Times New Roman;serif" w:hAnsi="Times New Roman;serif"/>
          <w:b w:val="false"/>
          <w:color w:val="000000"/>
          <w:sz w:val="20"/>
        </w:rPr>
        <w:t xml:space="preserve">contract liabilities as of June 30, 2026 and December 31, 2025, respectively. See Note 3, </w:t>
      </w:r>
      <w:r>
        <w:rPr>
          <w:rFonts w:ascii="Times New Roman;serif" w:hAnsi="Times New Roman;serif"/>
          <w:b w:val="false"/>
          <w:i/>
          <w:color w:val="000000"/>
          <w:sz w:val="20"/>
        </w:rPr>
        <w:t>Revenue Recognition and Contracts with Customers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our repositioning accrual:</w:t>
      </w:r>
    </w:p>
    <w:tbl>
      <w:tblPr>
        <w:tblW w:w="6162" w:type="dxa"/>
        <w:jc w:val="left"/>
        <w:tblInd w:w="0" w:type="dxa"/>
        <w:tblLayout w:type="fixed"/>
        <w:tblCellMar>
          <w:top w:w="28" w:type="dxa"/>
          <w:left w:w="28" w:type="dxa"/>
          <w:bottom w:w="28" w:type="dxa"/>
          <w:right w:w="28" w:type="dxa"/>
        </w:tblCellMar>
      </w:tblPr>
      <w:tblGrid>
        <w:gridCol w:w="940"/>
        <w:gridCol w:w="826"/>
        <w:gridCol w:w="828"/>
        <w:gridCol w:w="483"/>
        <w:gridCol w:w="585"/>
        <w:gridCol w:w="251"/>
        <w:gridCol w:w="109"/>
        <w:gridCol w:w="109"/>
        <w:gridCol w:w="109"/>
        <w:gridCol w:w="283"/>
        <w:gridCol w:w="545"/>
        <w:gridCol w:w="146"/>
        <w:gridCol w:w="109"/>
        <w:gridCol w:w="109"/>
        <w:gridCol w:w="109"/>
        <w:gridCol w:w="211"/>
        <w:gridCol w:w="25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Severance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106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Usage—cash</w:t>
            </w:r>
          </w:p>
        </w:tc>
        <w:tc>
          <w:tcPr>
            <w:tcW w:w="10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67" w:type="dxa"/>
        <w:jc w:val="left"/>
        <w:tblInd w:w="0" w:type="dxa"/>
        <w:tblLayout w:type="fixed"/>
        <w:tblCellMar>
          <w:top w:w="28" w:type="dxa"/>
          <w:left w:w="28" w:type="dxa"/>
          <w:bottom w:w="28" w:type="dxa"/>
          <w:right w:w="28" w:type="dxa"/>
        </w:tblCellMar>
      </w:tblPr>
      <w:tblGrid>
        <w:gridCol w:w="940"/>
        <w:gridCol w:w="826"/>
        <w:gridCol w:w="828"/>
        <w:gridCol w:w="408"/>
        <w:gridCol w:w="698"/>
        <w:gridCol w:w="213"/>
        <w:gridCol w:w="109"/>
        <w:gridCol w:w="109"/>
        <w:gridCol w:w="109"/>
        <w:gridCol w:w="283"/>
        <w:gridCol w:w="545"/>
        <w:gridCol w:w="146"/>
        <w:gridCol w:w="109"/>
        <w:gridCol w:w="109"/>
        <w:gridCol w:w="109"/>
        <w:gridCol w:w="211"/>
        <w:gridCol w:w="36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Severance Costs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Usage—cash</w:t>
            </w:r>
          </w:p>
        </w:tc>
        <w:tc>
          <w:tcPr>
            <w:tcW w:w="110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13. Other Liabilities</w:t>
      </w:r>
    </w:p>
    <w:tbl>
      <w:tblPr>
        <w:tblW w:w="7916" w:type="dxa"/>
        <w:jc w:val="left"/>
        <w:tblInd w:w="0" w:type="dxa"/>
        <w:tblLayout w:type="fixed"/>
        <w:tblCellMar>
          <w:top w:w="28" w:type="dxa"/>
          <w:left w:w="28" w:type="dxa"/>
          <w:bottom w:w="28" w:type="dxa"/>
          <w:right w:w="28" w:type="dxa"/>
        </w:tblCellMar>
      </w:tblPr>
      <w:tblGrid>
        <w:gridCol w:w="2076"/>
        <w:gridCol w:w="1819"/>
        <w:gridCol w:w="1834"/>
        <w:gridCol w:w="223"/>
        <w:gridCol w:w="382"/>
        <w:gridCol w:w="115"/>
        <w:gridCol w:w="109"/>
        <w:gridCol w:w="109"/>
        <w:gridCol w:w="109"/>
        <w:gridCol w:w="331"/>
        <w:gridCol w:w="567"/>
        <w:gridCol w:w="242"/>
      </w:tblGrid>
      <w:tr>
        <w:trPr/>
        <w:tc>
          <w:tcPr>
            <w:tcW w:w="207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7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2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net investment hedges (Note 17)</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Designated and undesignated derivatives (Note 17)</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employee related</w:t>
            </w:r>
          </w:p>
        </w:tc>
        <w:tc>
          <w:tcPr>
            <w:tcW w:w="6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Long-term lease liability (Note 14)</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Product warranties and performance guarantees – long-term (Note 20)</w:t>
            </w:r>
          </w:p>
        </w:tc>
        <w:tc>
          <w:tcPr>
            <w:tcW w:w="6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 long term</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accounts payable</w:t>
            </w:r>
          </w:p>
        </w:tc>
        <w:tc>
          <w:tcPr>
            <w:tcW w:w="6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pPr>
      <w:r>
        <w:rPr>
          <w:rFonts w:ascii="Times New Roman;serif" w:hAnsi="Times New Roman;serif"/>
          <w:b w:val="false"/>
          <w:color w:val="000000"/>
          <w:sz w:val="20"/>
        </w:rPr>
        <w:t>(1)Certain prior period amounts have been reclassified to conform to current period presentation. This reclassification had no effect on previously reported total Other liabilities.</w:t>
      </w:r>
      <w:r>
        <w:rPr>
          <w:color w:val="000000"/>
          <w:shd w:fill="FFFFFF" w:val="clear"/>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14. Leases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have operating leases that primarily consist of real estate, machinery, and equipment. As of June 30, 2026, the Company does not have any material finance leases. Our leases have remaining lease terms of up to 12 years, some of which include options to extend the leases for up to two years, and some of which include options to terminate the leases within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tbl>
      <w:tblPr>
        <w:tblW w:w="5287" w:type="dxa"/>
        <w:jc w:val="left"/>
        <w:tblInd w:w="0" w:type="dxa"/>
        <w:tblLayout w:type="fixed"/>
        <w:tblCellMar>
          <w:top w:w="28" w:type="dxa"/>
          <w:left w:w="28" w:type="dxa"/>
          <w:bottom w:w="28" w:type="dxa"/>
          <w:right w:w="28" w:type="dxa"/>
        </w:tblCellMar>
      </w:tblPr>
      <w:tblGrid>
        <w:gridCol w:w="651"/>
        <w:gridCol w:w="572"/>
        <w:gridCol w:w="576"/>
        <w:gridCol w:w="285"/>
        <w:gridCol w:w="147"/>
        <w:gridCol w:w="147"/>
        <w:gridCol w:w="147"/>
        <w:gridCol w:w="147"/>
        <w:gridCol w:w="147"/>
        <w:gridCol w:w="285"/>
        <w:gridCol w:w="147"/>
        <w:gridCol w:w="147"/>
        <w:gridCol w:w="109"/>
        <w:gridCol w:w="109"/>
        <w:gridCol w:w="109"/>
        <w:gridCol w:w="249"/>
        <w:gridCol w:w="158"/>
        <w:gridCol w:w="158"/>
        <w:gridCol w:w="129"/>
        <w:gridCol w:w="129"/>
        <w:gridCol w:w="129"/>
        <w:gridCol w:w="249"/>
        <w:gridCol w:w="149"/>
        <w:gridCol w:w="21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8"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8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7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4"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w:t>
      </w:r>
    </w:p>
    <w:tbl>
      <w:tblPr>
        <w:tblW w:w="9317" w:type="dxa"/>
        <w:jc w:val="left"/>
        <w:tblInd w:w="0" w:type="dxa"/>
        <w:tblLayout w:type="fixed"/>
        <w:tblCellMar>
          <w:top w:w="28" w:type="dxa"/>
          <w:left w:w="28" w:type="dxa"/>
          <w:bottom w:w="28" w:type="dxa"/>
          <w:right w:w="28" w:type="dxa"/>
        </w:tblCellMar>
      </w:tblPr>
      <w:tblGrid>
        <w:gridCol w:w="2124"/>
        <w:gridCol w:w="1867"/>
        <w:gridCol w:w="1873"/>
        <w:gridCol w:w="229"/>
        <w:gridCol w:w="277"/>
        <w:gridCol w:w="118"/>
        <w:gridCol w:w="118"/>
        <w:gridCol w:w="118"/>
        <w:gridCol w:w="118"/>
        <w:gridCol w:w="229"/>
        <w:gridCol w:w="277"/>
        <w:gridCol w:w="118"/>
        <w:gridCol w:w="109"/>
        <w:gridCol w:w="109"/>
        <w:gridCol w:w="109"/>
        <w:gridCol w:w="211"/>
        <w:gridCol w:w="256"/>
        <w:gridCol w:w="109"/>
        <w:gridCol w:w="109"/>
        <w:gridCol w:w="109"/>
        <w:gridCol w:w="109"/>
        <w:gridCol w:w="211"/>
        <w:gridCol w:w="25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6" w:before="15"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2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76" w:before="15"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is as follows:</w:t>
      </w:r>
    </w:p>
    <w:tbl>
      <w:tblPr>
        <w:tblW w:w="3806" w:type="dxa"/>
        <w:jc w:val="left"/>
        <w:tblInd w:w="0" w:type="dxa"/>
        <w:tblLayout w:type="fixed"/>
        <w:tblCellMar>
          <w:top w:w="28" w:type="dxa"/>
          <w:left w:w="28" w:type="dxa"/>
          <w:bottom w:w="28" w:type="dxa"/>
          <w:right w:w="28" w:type="dxa"/>
        </w:tblCellMar>
      </w:tblPr>
      <w:tblGrid>
        <w:gridCol w:w="586"/>
        <w:gridCol w:w="514"/>
        <w:gridCol w:w="519"/>
        <w:gridCol w:w="223"/>
        <w:gridCol w:w="382"/>
        <w:gridCol w:w="115"/>
        <w:gridCol w:w="109"/>
        <w:gridCol w:w="109"/>
        <w:gridCol w:w="109"/>
        <w:gridCol w:w="331"/>
        <w:gridCol w:w="567"/>
        <w:gridCol w:w="242"/>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2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6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60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06" w:type="dxa"/>
        <w:jc w:val="left"/>
        <w:tblInd w:w="0" w:type="dxa"/>
        <w:tblLayout w:type="fixed"/>
        <w:tblCellMar>
          <w:top w:w="28" w:type="dxa"/>
          <w:left w:w="28" w:type="dxa"/>
          <w:bottom w:w="28" w:type="dxa"/>
          <w:right w:w="28" w:type="dxa"/>
        </w:tblCellMar>
      </w:tblPr>
      <w:tblGrid>
        <w:gridCol w:w="1495"/>
        <w:gridCol w:w="1312"/>
        <w:gridCol w:w="1317"/>
        <w:gridCol w:w="255"/>
        <w:gridCol w:w="256"/>
        <w:gridCol w:w="399"/>
        <w:gridCol w:w="109"/>
        <w:gridCol w:w="109"/>
        <w:gridCol w:w="109"/>
        <w:gridCol w:w="314"/>
        <w:gridCol w:w="314"/>
        <w:gridCol w:w="91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910" w:type="dxa"/>
            <w:gridSpan w:val="3"/>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32"/>
        <w:jc w:val="left"/>
        <w:rPr/>
      </w:pPr>
      <w:r>
        <w:rPr/>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June 30, 2026 were as follows:</w:t>
      </w:r>
    </w:p>
    <w:tbl>
      <w:tblPr>
        <w:tblW w:w="3464" w:type="dxa"/>
        <w:jc w:val="left"/>
        <w:tblInd w:w="0" w:type="dxa"/>
        <w:tblLayout w:type="fixed"/>
        <w:tblCellMar>
          <w:top w:w="28" w:type="dxa"/>
          <w:left w:w="28" w:type="dxa"/>
          <w:bottom w:w="28" w:type="dxa"/>
          <w:right w:w="28" w:type="dxa"/>
        </w:tblCellMar>
      </w:tblPr>
      <w:tblGrid>
        <w:gridCol w:w="667"/>
        <w:gridCol w:w="585"/>
        <w:gridCol w:w="593"/>
        <w:gridCol w:w="469"/>
        <w:gridCol w:w="803"/>
        <w:gridCol w:w="347"/>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6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4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72" w:type="dxa"/>
            <w:gridSpan w:val="2"/>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47"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47" w:type="dxa"/>
            <w:tcBorders>
              <w:top w:val="single" w:sz="6"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Long-Term Debt and Credit Agreements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are being amortized on a straight-line basis.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2032 Senior Notes are guaranteed by the Company and each of the Company's wholly owned subsidiaries that guarantee obligations under the Credit Agreement (as defined below), subject to certain exceptions. The proceeds from the sale of the 2032 Senior Notes, together with cash on hand, were used to repay approximately $800 million of term loan indebtedness and to pay related fees and expenses. The 2032 Senior Notes bear interest at a rate of 7.75% per annum. Interest on the 2032 Senior Notes is payable semi-annually in arrears on May 31 and November 30 of each year, commencing on November 30, 2024.</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2032 Senior Notes indenture contains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200" w:after="283"/>
        <w:ind w:left="0" w:right="0" w:firstLine="432"/>
        <w:jc w:val="both"/>
        <w:rPr/>
      </w:pPr>
      <w:r>
        <w:rPr>
          <w:rFonts w:ascii="Times New Roman;serif" w:hAnsi="Times New Roman;serif"/>
          <w:b w:val="false"/>
          <w:color w:val="000000"/>
          <w:sz w:val="20"/>
          <w:shd w:fill="FFFFFF" w:val="clear"/>
        </w:rPr>
        <w:t>On January 30, 2025, the Company entered into a Restatement Agreement (the "Restatement Agreement"), which amends and restates the Credit Agreement, dated as of April 30, 2021 (as amended from time to time, the "Existing Credit Agreement" and as amended and restated by the Restatement Agreement and as further amended from time to time, the "Credit Agreement"), by and among the Company, Garrett Motion Holdings Inc., Garrett Motion S</w:t>
      </w:r>
      <w:r>
        <w:rPr>
          <w:rFonts w:ascii="Times New Roman;serif" w:hAnsi="Times New Roman;serif"/>
          <w:b w:val="false"/>
          <w:color w:val="000000"/>
          <w:sz w:val="20"/>
        </w:rPr>
        <w:t xml:space="preserve">àrl and Garrett LX I S.à.r.l., as borrowers (the "Borrowers"), the lenders and issuing banks part thereto from time to time, and JPMorgan Chase Bank, N.A., as administrative agent. Under the Restatement Agreement, the Company refinanced in full its $692 million U.S. Dollar term loan facility (the "2021 Dollar Term Facility") under the Existing Credit Agreement with a new $692 million term loan (the "2025 Dollar Term Facility") in an aggregate principal amount of $692 million. The 2025 Dollar Term Facility matures on January 30, 2032. On May 18, 2026, the Company entered into Amendment No. 2 (the "Second Amendment") to the Restatement Agreement, which reduced the Applicable Rate (as defined in the Restatement Agreement) to the Adjusted Term SOFR Rate (as defined in the Restatement Agreement) plus 1.75% per annum in the case of Term Benchmark Loans (as defined in the Restatement Agreement) and the Alternate Base Rate plus 0.75% per annum in the case of ABR Loans (as defined in the Restatement Agreement).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Also on January 30, 2025, pursuant to the Restatement Agreement, the Company replaced its existing $600 million revolving commitments under the Existing Credit Agreement with new revolving commitments under the Credit Agreement in an aggregate principal amount of $630 million (the "New Revolving Facility" and, together with the 2025 Dollar Term Facility, the "Credit Facilities"). The maturity date of the New Revolving Facility is January 30, 2030. The New Revolving Facility, when drawn, will bear interest at a rate equal to the applicable benchmark plus an applicable margin that varies based on the Company's leverage ratio. Pursuant to the Second Amendment, the applicable margin for revolving borrowings ranges from 1.75% to 1.25% per annum in the case of Term Benchmark Loans and 0.75% to 0.25% per annum in the case of ABR Loans. In addition to paying interest on outstanding borrowings under the New Revolving Facility, the Company must also pay a quarterly commitment fee based on the average daily unused portion of the New Revolving Facility during such quarter, which is determined by its leverage ratio and ranges from 0.25% to 0.50% per annum.</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Concurrent with the Second Amendment, the Company made an early debt repayment of $50 million on its 2025 Dollar Term Facility. The early repayment resulted in incremental amortization of debt issuance costs of $1 million, included within Interest expense in the Consolidated Interim Statement of Operations.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affirmative and negative covenants customary for financings of this type. The Credit Agreement also contains certain customary events of default. The New Revolving Facility is subject to a financial covenant requiring the maintenance of a consolidated total leverage ratio of not greater than 4.7 to 1.00 as of the end of each fiscal quarter if, on the last day of any such fiscal quarter, the aggregate amount of loans and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(excluding backstopped or cash collateralized letters of credit and other letters of credit with an aggregate face amount not exceeding $30 million) outstanding under the New Revolving Facility exceeds 35% of the aggregate commitments in effect thereunder on such date. The Credit Facilities are secured on a first-priority basis by: (i)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was in compliance with all covenants under the 2032 Senior Notes indenture and Credit Agreement.</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principal outstanding and carrying amounts of our long-term debt as of June 30, 2026 and December 31, 2025 are as follows:</w:t>
      </w:r>
    </w:p>
    <w:tbl>
      <w:tblPr>
        <w:tblW w:w="9266" w:type="dxa"/>
        <w:jc w:val="center"/>
        <w:tblInd w:w="0" w:type="dxa"/>
        <w:tblLayout w:type="fixed"/>
        <w:tblCellMar>
          <w:top w:w="28" w:type="dxa"/>
          <w:left w:w="28" w:type="dxa"/>
          <w:bottom w:w="28" w:type="dxa"/>
          <w:right w:w="28" w:type="dxa"/>
        </w:tblCellMar>
      </w:tblPr>
      <w:tblGrid>
        <w:gridCol w:w="1299"/>
        <w:gridCol w:w="1141"/>
        <w:gridCol w:w="1145"/>
        <w:gridCol w:w="317"/>
        <w:gridCol w:w="317"/>
        <w:gridCol w:w="325"/>
        <w:gridCol w:w="109"/>
        <w:gridCol w:w="109"/>
        <w:gridCol w:w="109"/>
        <w:gridCol w:w="554"/>
        <w:gridCol w:w="554"/>
        <w:gridCol w:w="557"/>
        <w:gridCol w:w="109"/>
        <w:gridCol w:w="109"/>
        <w:gridCol w:w="109"/>
        <w:gridCol w:w="211"/>
        <w:gridCol w:w="616"/>
        <w:gridCol w:w="109"/>
        <w:gridCol w:w="109"/>
        <w:gridCol w:w="109"/>
        <w:gridCol w:w="109"/>
        <w:gridCol w:w="245"/>
        <w:gridCol w:w="716"/>
        <w:gridCol w:w="179"/>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Due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Interest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Dollar Term Facility</w:t>
            </w:r>
          </w:p>
        </w:tc>
        <w:tc>
          <w:tcPr>
            <w:tcW w:w="9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1/30/2032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SOFR plus 175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7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2032 Senior Notes </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5/31/2032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outstanding</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Separate from the New Revolving Facility, the Company has a bilateral letter of credit facility with outstanding letters of credit in the amount of $10 million and $10 million at June 30, 2026 and December 31, 2025, respectively. The letters of credit typically support customs arrangements and other obligations at our local affiliates.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Minimum scheduled principal repayments of long-term debt as of June 30, 2026 are as follow:</w:t>
      </w:r>
    </w:p>
    <w:tbl>
      <w:tblPr>
        <w:tblW w:w="3358" w:type="dxa"/>
        <w:jc w:val="left"/>
        <w:tblInd w:w="0" w:type="dxa"/>
        <w:tblLayout w:type="fixed"/>
        <w:tblCellMar>
          <w:top w:w="28" w:type="dxa"/>
          <w:left w:w="28" w:type="dxa"/>
          <w:bottom w:w="28" w:type="dxa"/>
          <w:right w:w="28" w:type="dxa"/>
        </w:tblCellMar>
      </w:tblPr>
      <w:tblGrid>
        <w:gridCol w:w="645"/>
        <w:gridCol w:w="566"/>
        <w:gridCol w:w="573"/>
        <w:gridCol w:w="338"/>
        <w:gridCol w:w="989"/>
        <w:gridCol w:w="247"/>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payments</w:t>
            </w:r>
          </w:p>
        </w:tc>
        <w:tc>
          <w:tcPr>
            <w:tcW w:w="3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16. Equity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Cash dividends paid to shareholders of our Common Stock for the three and six months ended June 30, 2026 and 2025 were as follows (in millions, except per share amounts):</w:t>
      </w:r>
    </w:p>
    <w:tbl>
      <w:tblPr>
        <w:tblW w:w="5432" w:type="dxa"/>
        <w:jc w:val="left"/>
        <w:tblInd w:w="0" w:type="dxa"/>
        <w:tblLayout w:type="fixed"/>
        <w:tblCellMar>
          <w:top w:w="28" w:type="dxa"/>
          <w:left w:w="28" w:type="dxa"/>
          <w:bottom w:w="28" w:type="dxa"/>
          <w:right w:w="28" w:type="dxa"/>
        </w:tblCellMar>
      </w:tblPr>
      <w:tblGrid>
        <w:gridCol w:w="483"/>
        <w:gridCol w:w="424"/>
        <w:gridCol w:w="427"/>
        <w:gridCol w:w="217"/>
        <w:gridCol w:w="526"/>
        <w:gridCol w:w="112"/>
        <w:gridCol w:w="109"/>
        <w:gridCol w:w="109"/>
        <w:gridCol w:w="109"/>
        <w:gridCol w:w="211"/>
        <w:gridCol w:w="361"/>
        <w:gridCol w:w="109"/>
        <w:gridCol w:w="109"/>
        <w:gridCol w:w="109"/>
        <w:gridCol w:w="109"/>
        <w:gridCol w:w="217"/>
        <w:gridCol w:w="526"/>
        <w:gridCol w:w="112"/>
        <w:gridCol w:w="109"/>
        <w:gridCol w:w="109"/>
        <w:gridCol w:w="109"/>
        <w:gridCol w:w="211"/>
        <w:gridCol w:w="36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Dividends</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Treasury stock represents shares of the Company's Common Stock that have been issued and subsequently repurchased by the Company or withheld to satisfy withholding tax obligations in connection with the vesting of equity awards, and that have not been retired or cancelled. The Company accounts for treasury stock under the cost method and includes treasury stock as a component of Equity (Deficit) on the Consolidated Interim Balance Sheet. The Company accounts for the reissuance of treasury stock using the average cost method. The Company did not reissue or retire any shares of treasury stock during the three and six months ended June 30, 2026.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 2025, the Board of Directors authorized a $250 million share repurchase program valid from January 1, 2026 until December 31, 2026.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During the six months ended June 30, 2026, the Company repurchased $115 million of Common Stock, and had $135 million remaining under the share repurchase program as of that date. These repurchases include a total of 2,500,000 shares repurchased from funds affiliated with Oaktree Capital Management, L.P., a related party, for $50 million. The repurchased shares are held as treasury stock.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Note 17. Financial Instruments and Fair Value Measures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Our credit, market, and foreign currency risk management policies are described in Note 17, </w:t>
      </w:r>
      <w:r>
        <w:rPr>
          <w:rFonts w:ascii="Times New Roman;serif" w:hAnsi="Times New Roman;serif"/>
          <w:b w:val="false"/>
          <w:i/>
          <w:color w:val="000000"/>
          <w:sz w:val="20"/>
        </w:rPr>
        <w:t>Financial Instruments and Fair Value Measures</w:t>
      </w:r>
      <w:r>
        <w:rPr>
          <w:rFonts w:ascii="Times New Roman;serif" w:hAnsi="Times New Roman;serif"/>
          <w:b w:val="false"/>
          <w:color w:val="000000"/>
          <w:sz w:val="20"/>
        </w:rPr>
        <w:t>, to the Consolidated Financial Statements for the year ended December 31, 2025 included in our 2025 Form 10-K. As of June 30, 2026 and December 31, 2025, we had contracts with aggregate gross notional amounts of $2,222 million and $1,374 million, respectively, to hedge foreign currencies, principally the U.S. Dollar, Swiss Franc, British Pound, Euro, Chinese Yuan, Japanese Yen, Mexican Peso, New Romanian Leu, Czech Koruna, Australian Dollar, and Korean Won.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June 30, 2026 and December 31, 2025:</w:t>
      </w:r>
    </w:p>
    <w:tbl>
      <w:tblPr>
        <w:tblW w:w="10205" w:type="dxa"/>
        <w:jc w:val="left"/>
        <w:tblInd w:w="0" w:type="dxa"/>
        <w:tblLayout w:type="fixed"/>
        <w:tblCellMar>
          <w:top w:w="28" w:type="dxa"/>
          <w:left w:w="28" w:type="dxa"/>
          <w:bottom w:w="28" w:type="dxa"/>
          <w:right w:w="28" w:type="dxa"/>
        </w:tblCellMar>
      </w:tblPr>
      <w:tblGrid>
        <w:gridCol w:w="879"/>
        <w:gridCol w:w="631"/>
        <w:gridCol w:w="635"/>
        <w:gridCol w:w="211"/>
        <w:gridCol w:w="616"/>
        <w:gridCol w:w="109"/>
        <w:gridCol w:w="109"/>
        <w:gridCol w:w="109"/>
        <w:gridCol w:w="109"/>
        <w:gridCol w:w="273"/>
        <w:gridCol w:w="797"/>
        <w:gridCol w:w="141"/>
        <w:gridCol w:w="109"/>
        <w:gridCol w:w="109"/>
        <w:gridCol w:w="109"/>
        <w:gridCol w:w="214"/>
        <w:gridCol w:w="367"/>
        <w:gridCol w:w="110"/>
        <w:gridCol w:w="109"/>
        <w:gridCol w:w="109"/>
        <w:gridCol w:w="109"/>
        <w:gridCol w:w="375"/>
        <w:gridCol w:w="641"/>
        <w:gridCol w:w="195"/>
        <w:gridCol w:w="109"/>
        <w:gridCol w:w="109"/>
        <w:gridCol w:w="109"/>
        <w:gridCol w:w="211"/>
        <w:gridCol w:w="466"/>
        <w:gridCol w:w="109"/>
        <w:gridCol w:w="109"/>
        <w:gridCol w:w="109"/>
        <w:gridCol w:w="109"/>
        <w:gridCol w:w="325"/>
        <w:gridCol w:w="717"/>
        <w:gridCol w:w="169"/>
        <w:gridCol w:w="109"/>
        <w:gridCol w:w="109"/>
        <w:gridCol w:w="161"/>
      </w:tblGrid>
      <w:tr>
        <w:trPr/>
        <w:tc>
          <w:tcPr>
            <w:tcW w:w="87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24"/>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7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Designated instruments: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forward currency exchange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cross-currency swaps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interest-rate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designated instruments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Undesignated instruments: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Undesignated forward currency exchange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undesignated instruments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designated and undesignated instruments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Recorded within Other current assets and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Recorded within Other assets</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Recorded within Other current assets</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Recorded within Accrued liabilities and Other liabilities</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 Recorded within Accrued liabilities</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 Recorded within Other liabilities</w:t>
      </w:r>
    </w:p>
    <w:p>
      <w:pPr>
        <w:pStyle w:val="TextBody"/>
        <w:bidi w:val="0"/>
        <w:spacing w:before="0" w:after="0"/>
        <w:ind w:left="0" w:right="0" w:hanging="360"/>
        <w:jc w:val="both"/>
        <w:rPr/>
      </w:pPr>
      <w:r>
        <w:rPr/>
      </w:r>
    </w:p>
    <w:p>
      <w:pPr>
        <w:pStyle w:val="TextBody"/>
        <w:bidi w:val="0"/>
        <w:spacing w:lineRule="auto" w:line="276" w:before="0" w:after="0"/>
        <w:ind w:left="0" w:right="0" w:hanging="450"/>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float-to-fixed interest rate swap contracts with an aggregate notional amount of $625 million and maturities in January 2028, January 2029, January 2030 and January 2031, of which an interest rate swap contract with a notional amount of $65 million was early settled during 2026. Changes in the fair value of the interest rate swap contracts are recorded in Accumulated Other Comprehensive Income ("AOCI") and will be reclassified to Interest expense in the Consolidated Interim Statement of Operations upon maturity. Amounts recognized related to the early settlement of the interest rate swap contract were immaterial.</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Company also has outstanding forward currency exchange contracts with maturities up to 18 months and an aggregate notional amount of $1,088 million and $637 million as of June 30, 2026 and December 31, 2025, respectively. These forward currency exchange contracts have been designated as cash flow hedges to mitigate foreign currency exposures primarily on our inventory purchases and manufacturing costs. The gains and losses on the forward currency exchange contracts are recorded in AOCI and reclassified to Cost of goods sold in the Consolidated Interim Statement of Operations when the underlying transactions are recognized in earnings.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foreign currency risk on its 2032 Senior Notes, the Company entered into fixed-to-fixed cross-currency swap contracts with an aggregate notional amount of €507 million ($550 million) and notional exchanges occurring in May 2027, May 2028, May 2029, and May 2030. Changes in the fair value of the cross-currency swap contracts are recognized in AOCI and reclassified to Non-operating (income) expense in the Consolidated Interim Statement of Operations, based upon changes in the spot rate remeasurement of the underlying debt. The net interest settlements on the cross-currency swap contracts are recorded in Interest expense in the Consolidated Interim Statements of Operations.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All of the Company's cash flow hedges are assessed as highly effective.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The Company has designated cross-currency swaps with aggregate notional amounts of €1,157 million ($1,225 million) as net investment hedges of its Euro-denominated operations. Changes in the fair value of the net investment hedges are recorded in AOCI until the net investment is liquidated or sold. The fair values of the net investment hedges were net liabilities of $89 million and $124 million </w:t>
      </w:r>
      <w:r>
        <w:rPr>
          <w:rFonts w:ascii="Times New Roman;serif" w:hAnsi="Times New Roman;serif"/>
          <w:b w:val="false"/>
          <w:color w:val="000000"/>
          <w:sz w:val="20"/>
          <w:shd w:fill="FFFFFF" w:val="clear"/>
        </w:rPr>
        <w:t xml:space="preserve">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 No ineffectiveness has been recorded on the net investment hedges.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Non-Designated Derivatives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The Company has outstanding forward currency exchange contracts with maturities generally up to 3 months and an aggregate notional amount of $1,134 million and $737 million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Changes in the fair value of the forward currency exchange contracts are recorded in Non-operating (income) expense in the Consolidated Interim Statements of Operations.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Company had float-to-fixed interest rate swap contracts that were early settled in 2025. Changes in the fair value of the undesignated interest rate swap contracts were recorded in Interest expense in the Consolidated Interim Statements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Effect of Derivatives on the Statements of Operations and Statements of Comprehensive Income (Loss)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pretax impact that changes in the fair values of derivatives designated as cash flow hedges and net investment hedges had on OCI, AOCI and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tbl>
      <w:tblPr>
        <w:tblW w:w="8746" w:type="dxa"/>
        <w:jc w:val="left"/>
        <w:tblInd w:w="0" w:type="dxa"/>
        <w:tblLayout w:type="fixed"/>
        <w:tblCellMar>
          <w:top w:w="28" w:type="dxa"/>
          <w:left w:w="28" w:type="dxa"/>
          <w:bottom w:w="28" w:type="dxa"/>
          <w:right w:w="28" w:type="dxa"/>
        </w:tblCellMar>
      </w:tblPr>
      <w:tblGrid>
        <w:gridCol w:w="1465"/>
        <w:gridCol w:w="1288"/>
        <w:gridCol w:w="1296"/>
        <w:gridCol w:w="280"/>
        <w:gridCol w:w="440"/>
        <w:gridCol w:w="144"/>
        <w:gridCol w:w="144"/>
        <w:gridCol w:w="144"/>
        <w:gridCol w:w="144"/>
        <w:gridCol w:w="280"/>
        <w:gridCol w:w="539"/>
        <w:gridCol w:w="144"/>
        <w:gridCol w:w="109"/>
        <w:gridCol w:w="109"/>
        <w:gridCol w:w="109"/>
        <w:gridCol w:w="255"/>
        <w:gridCol w:w="400"/>
        <w:gridCol w:w="131"/>
        <w:gridCol w:w="131"/>
        <w:gridCol w:w="131"/>
        <w:gridCol w:w="131"/>
        <w:gridCol w:w="255"/>
        <w:gridCol w:w="491"/>
        <w:gridCol w:w="186"/>
      </w:tblGrid>
      <w:tr>
        <w:trPr/>
        <w:tc>
          <w:tcPr>
            <w:tcW w:w="146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loss reclassified from AOCI to income:</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Cost of goods sold</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Interest expense </w:t>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Non-operating (income) expense</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(loss) recognized in other comprehensive </w:t>
              <w:br/>
              <w:t>   income (loss)</w:t>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(loss) recognized in other comprehensive </w:t>
              <w:br/>
              <w:t>   income (loss)</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During the next twelve months, $14 million of pretax gain on cash flow hedges is expected to be reclassified from AOCI into income.</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pretax gain (loss) that changes in the fair values of derivatives not designated as hedging instruments had on earnings:</w:t>
      </w:r>
    </w:p>
    <w:tbl>
      <w:tblPr>
        <w:tblW w:w="10205" w:type="dxa"/>
        <w:jc w:val="left"/>
        <w:tblInd w:w="0" w:type="dxa"/>
        <w:tblLayout w:type="fixed"/>
        <w:tblCellMar>
          <w:top w:w="28" w:type="dxa"/>
          <w:left w:w="28" w:type="dxa"/>
          <w:bottom w:w="28" w:type="dxa"/>
          <w:right w:w="28" w:type="dxa"/>
        </w:tblCellMar>
      </w:tblPr>
      <w:tblGrid>
        <w:gridCol w:w="1094"/>
        <w:gridCol w:w="950"/>
        <w:gridCol w:w="957"/>
        <w:gridCol w:w="109"/>
        <w:gridCol w:w="109"/>
        <w:gridCol w:w="109"/>
        <w:gridCol w:w="636"/>
        <w:gridCol w:w="631"/>
        <w:gridCol w:w="628"/>
        <w:gridCol w:w="109"/>
        <w:gridCol w:w="109"/>
        <w:gridCol w:w="109"/>
        <w:gridCol w:w="264"/>
        <w:gridCol w:w="510"/>
        <w:gridCol w:w="136"/>
        <w:gridCol w:w="136"/>
        <w:gridCol w:w="136"/>
        <w:gridCol w:w="136"/>
        <w:gridCol w:w="264"/>
        <w:gridCol w:w="510"/>
        <w:gridCol w:w="136"/>
        <w:gridCol w:w="109"/>
        <w:gridCol w:w="109"/>
        <w:gridCol w:w="109"/>
        <w:gridCol w:w="242"/>
        <w:gridCol w:w="466"/>
        <w:gridCol w:w="124"/>
        <w:gridCol w:w="124"/>
        <w:gridCol w:w="124"/>
        <w:gridCol w:w="124"/>
        <w:gridCol w:w="242"/>
        <w:gridCol w:w="466"/>
        <w:gridCol w:w="188"/>
      </w:tblGrid>
      <w:tr>
        <w:trPr/>
        <w:tc>
          <w:tcPr>
            <w:tcW w:w="109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currency exchange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Includes interest income of $6 million, partially offset by marked-to-market remeasurement losses of $6 million, for the six months ended June 30, 2025. There were no undesignated interest rate swaps outstanding during 2026.</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cash equivalents, and restricted cash, Account receivables and Notes and Other receivables contained in the Consolidated Interim Balance Sheet approximates fair value.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that were not carried at fair value:</w:t>
      </w:r>
    </w:p>
    <w:tbl>
      <w:tblPr>
        <w:tblW w:w="7082" w:type="dxa"/>
        <w:jc w:val="left"/>
        <w:tblInd w:w="0" w:type="dxa"/>
        <w:tblLayout w:type="fixed"/>
        <w:tblCellMar>
          <w:top w:w="28" w:type="dxa"/>
          <w:left w:w="28" w:type="dxa"/>
          <w:bottom w:w="28" w:type="dxa"/>
          <w:right w:w="28" w:type="dxa"/>
        </w:tblCellMar>
      </w:tblPr>
      <w:tblGrid>
        <w:gridCol w:w="651"/>
        <w:gridCol w:w="572"/>
        <w:gridCol w:w="576"/>
        <w:gridCol w:w="334"/>
        <w:gridCol w:w="738"/>
        <w:gridCol w:w="172"/>
        <w:gridCol w:w="109"/>
        <w:gridCol w:w="109"/>
        <w:gridCol w:w="109"/>
        <w:gridCol w:w="237"/>
        <w:gridCol w:w="525"/>
        <w:gridCol w:w="122"/>
        <w:gridCol w:w="109"/>
        <w:gridCol w:w="109"/>
        <w:gridCol w:w="109"/>
        <w:gridCol w:w="334"/>
        <w:gridCol w:w="738"/>
        <w:gridCol w:w="172"/>
        <w:gridCol w:w="109"/>
        <w:gridCol w:w="109"/>
        <w:gridCol w:w="109"/>
        <w:gridCol w:w="236"/>
        <w:gridCol w:w="522"/>
        <w:gridCol w:w="17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99" w:type="dxa"/>
            <w:gridSpan w:val="3"/>
            <w:tcBorders/>
            <w:shd w:fill="CFF0FC" w:val="clear"/>
            <w:tcMar>
              <w:top w:w="0" w:type="dxa"/>
              <w:left w:w="0" w:type="dxa"/>
              <w:bottom w:w="0" w:type="dxa"/>
              <w:right w:w="0" w:type="dxa"/>
            </w:tcMar>
            <w:vAlign w:val="center"/>
          </w:tcPr>
          <w:p>
            <w:pPr>
              <w:pStyle w:val="TableContents"/>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Term Loan Facilities</w:t>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Times New Roman;serif" w:hAnsi="Times New Roman;serif"/>
                <w:b w:val="false"/>
                <w:color w:val="000000"/>
                <w:sz w:val="20"/>
              </w:rPr>
              <w:t>2032 Senior Notes</w:t>
            </w:r>
          </w:p>
        </w:tc>
        <w:tc>
          <w:tcPr>
            <w:tcW w:w="10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fair value of its Term Loan Facilities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exchange traded markets and is classified as a Level 1 measurement. </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18. Accumulated Other Comprehensive Income</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changes in AOCI by component are set forth below:</w:t>
      </w:r>
    </w:p>
    <w:tbl>
      <w:tblPr>
        <w:tblW w:w="9513" w:type="dxa"/>
        <w:jc w:val="left"/>
        <w:tblInd w:w="0" w:type="dxa"/>
        <w:tblLayout w:type="fixed"/>
        <w:tblCellMar>
          <w:top w:w="28" w:type="dxa"/>
          <w:left w:w="28" w:type="dxa"/>
          <w:bottom w:w="28" w:type="dxa"/>
          <w:right w:w="28" w:type="dxa"/>
        </w:tblCellMar>
      </w:tblPr>
      <w:tblGrid>
        <w:gridCol w:w="1788"/>
        <w:gridCol w:w="1568"/>
        <w:gridCol w:w="1578"/>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Exchange Translation Adjustment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beginning of period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comprehensive (loss) income before </w:t>
              <w:br/>
              <w:t>    reclassifications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Income tax benefit (expense) associated with </w:t>
              <w:br/>
              <w:t>    comprehensive income (loss) before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Amounts reclassified from AOCI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end of period</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comprehensive income (loss) before </w:t>
              <w:br/>
              <w:t>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Income tax benefit (expense) associated with </w:t>
              <w:br/>
              <w:t>    comprehensive income (loss) before reclassifications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end of period</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Fair Value of Effective Cash Flow Hedges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comprehensive (loss) income before </w:t>
              <w:br/>
              <w:t>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Income tax benefit (expense) associated with </w:t>
              <w:br/>
              <w:t>    comprehensive income (loss) before reclassifications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Amounts reclassified from AOCI</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associated with reclassifications from AOCI</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end of period</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Fair Value of Net Investment Hedges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comprehensive (loss) income before </w:t>
              <w:br/>
              <w:t>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Income tax benefit (expense) associated with </w:t>
              <w:br/>
              <w:t>    comprehensive income (loss) before reclassifications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Balance at end of period</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(loss) income, end of </w:t>
              <w:br/>
              <w:t>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425"/>
        <w:jc w:val="both"/>
        <w:rPr/>
      </w:pPr>
      <w:r>
        <w:rPr/>
      </w:r>
    </w:p>
    <w:p>
      <w:pPr>
        <w:pStyle w:val="TextBody"/>
        <w:bidi w:val="0"/>
        <w:spacing w:before="0" w:after="0"/>
        <w:ind w:left="0" w:right="0" w:hanging="4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Reclassifications from AOCI to income were as follows:</w:t>
      </w:r>
    </w:p>
    <w:tbl>
      <w:tblPr>
        <w:tblW w:w="8733" w:type="dxa"/>
        <w:jc w:val="left"/>
        <w:tblInd w:w="0" w:type="dxa"/>
        <w:tblLayout w:type="fixed"/>
        <w:tblCellMar>
          <w:top w:w="28" w:type="dxa"/>
          <w:left w:w="28" w:type="dxa"/>
          <w:bottom w:w="28" w:type="dxa"/>
          <w:right w:w="28" w:type="dxa"/>
        </w:tblCellMar>
      </w:tblPr>
      <w:tblGrid>
        <w:gridCol w:w="1709"/>
        <w:gridCol w:w="1502"/>
        <w:gridCol w:w="1513"/>
        <w:gridCol w:w="211"/>
        <w:gridCol w:w="361"/>
        <w:gridCol w:w="109"/>
        <w:gridCol w:w="109"/>
        <w:gridCol w:w="109"/>
        <w:gridCol w:w="109"/>
        <w:gridCol w:w="211"/>
        <w:gridCol w:w="436"/>
        <w:gridCol w:w="109"/>
        <w:gridCol w:w="109"/>
        <w:gridCol w:w="109"/>
        <w:gridCol w:w="109"/>
        <w:gridCol w:w="211"/>
        <w:gridCol w:w="361"/>
        <w:gridCol w:w="109"/>
        <w:gridCol w:w="109"/>
        <w:gridCol w:w="109"/>
        <w:gridCol w:w="109"/>
        <w:gridCol w:w="211"/>
        <w:gridCol w:w="436"/>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Fair Value of Effective Cash Flow Hedges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forward currency exchange contracts to </w:t>
              <w:br/>
              <w:t>   Cost of goods sold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cross-currency swaps to Interest expense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cross-currency swaps to Non-operating </w:t>
              <w:br/>
              <w:t>   (income) expense</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reclassification to income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Amounts reclassified from AOCI, net</w:t>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19. Earnings Per Share</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is computed using the two-class method. The deferred stock units ("DSUs") related to our stock-based compensation plan contain non-forfeitable rights to dividends and are considered as participating securities. The two-class method requires an allocation of earnings to all securities that participate in dividends with common shares to the extent that each such security may share in the Company's earnings. Basic EPS is then calculated by dividing undistributed earnings allocated to common stock by the weighted average number of common shares outstanding for the period. Under the two-class method, the impact of these participating securities was immaterial for the three and six months ended June 30, 2026 and 2025.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Diluted EPS is calculated by applying the two-class method for participating securities and then incorporating the dilutive effect of other potential common shares, determined using methods such as the treasury stock method, to arrive at the most dilutive EPS.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details of the EPS calculations for the three and six months ended June 30, 2026 and 2025 are as follows:</w:t>
      </w:r>
    </w:p>
    <w:tbl>
      <w:tblPr>
        <w:tblW w:w="10205" w:type="dxa"/>
        <w:jc w:val="left"/>
        <w:tblInd w:w="0" w:type="dxa"/>
        <w:tblLayout w:type="fixed"/>
        <w:tblCellMar>
          <w:top w:w="28" w:type="dxa"/>
          <w:left w:w="28" w:type="dxa"/>
          <w:bottom w:w="28" w:type="dxa"/>
          <w:right w:w="28" w:type="dxa"/>
        </w:tblCellMar>
      </w:tblPr>
      <w:tblGrid>
        <w:gridCol w:w="1528"/>
        <w:gridCol w:w="1230"/>
        <w:gridCol w:w="1239"/>
        <w:gridCol w:w="346"/>
        <w:gridCol w:w="840"/>
        <w:gridCol w:w="109"/>
        <w:gridCol w:w="109"/>
        <w:gridCol w:w="109"/>
        <w:gridCol w:w="109"/>
        <w:gridCol w:w="346"/>
        <w:gridCol w:w="840"/>
        <w:gridCol w:w="109"/>
        <w:gridCol w:w="109"/>
        <w:gridCol w:w="109"/>
        <w:gridCol w:w="109"/>
        <w:gridCol w:w="346"/>
        <w:gridCol w:w="840"/>
        <w:gridCol w:w="109"/>
        <w:gridCol w:w="109"/>
        <w:gridCol w:w="109"/>
        <w:gridCol w:w="109"/>
        <w:gridCol w:w="346"/>
        <w:gridCol w:w="840"/>
        <w:gridCol w:w="156"/>
      </w:tblGrid>
      <w:tr>
        <w:trPr/>
        <w:tc>
          <w:tcPr>
            <w:tcW w:w="15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per share)</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202,672,945 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203,886,530 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EPS – Basic</w:t>
            </w:r>
          </w:p>
        </w:tc>
        <w:tc>
          <w:tcPr>
            <w:tcW w:w="3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187,252,451 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202,672,945 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188,244,787 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203,886,530 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RSUs and other contingently issuable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2,547,445 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190,594,777 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205,255,033 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191,970,322 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206,433,975 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EPS – Diluted</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20. Commitments and Contingencies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any potential loss. Accordingly, while we believe that appropriate accruals have been established for losses that are probable and can be reasonably estimated, it is possible that adverse outcomes from such proceedings could exceed the amounts accrued by an amount that could be material to our financial position, results of operations or cash flows.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Brazilian Tax Matter</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September 2020, the Brazilian tax authorities issued an infraction notice against Garrett Motion Industria Automotiva Brasil Ltda, challenging the use of certain tax credits between January 2017 and February 2020. The estimated total amount of the loss contingency arising from this matter as of June 30, 2026 was $29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Warranties and Guarantees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tbl>
      <w:tblPr>
        <w:tblW w:w="9465" w:type="dxa"/>
        <w:jc w:val="left"/>
        <w:tblInd w:w="0" w:type="dxa"/>
        <w:tblLayout w:type="fixed"/>
        <w:tblCellMar>
          <w:top w:w="28" w:type="dxa"/>
          <w:left w:w="28" w:type="dxa"/>
          <w:bottom w:w="28" w:type="dxa"/>
          <w:right w:w="28" w:type="dxa"/>
        </w:tblCellMar>
      </w:tblPr>
      <w:tblGrid>
        <w:gridCol w:w="2071"/>
        <w:gridCol w:w="1817"/>
        <w:gridCol w:w="1827"/>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21"/>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and product performance guarantees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Accruals for warranties/guarantees issued during the period</w:t>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warranty/guarantee claims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Warranty and product performance guarantees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Commitments and Contingencies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are subject to other lawsuits, investigations, and disputes arising out of the conduct of our business, including matters relating to commercial transactions, government contracts, product liability, prior acquisitions and divestitures, employment and employee benefit plans, intellectual property, and environmental, health and safety matters. We recognize a liability for any contingency that is probable of occurring and reasonably estimable. We regularly assess the likelihood of adverse judgments or outcomes in these matters, as well as potential ranges of possible losses (taking into consideration any insurance recoveries), based on a careful analysis of each matter with the assistance of outside legal counsel and, if applicable, other experts.</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Note 21. Pension Benefits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sponsor several funded U.S. and non-U.S. defined benefit pension plans. Significant plans outside the U.S. are in Switzerland and Ireland. Other pension plans outside the U.S. are not material to the Company, either individually or in the aggregate.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general funding policy for qualified defined benefit pension plans is to contribute amounts at least sufficient to satisfy regulatory funding standards. We are not required to make any contributions to our U.S. pension plan in 2026. We expect to make contributions of cash and/or marketable securities of approximately $5 million to our non-U.S. pension plans to satisfy regulatory funding standards in 2026, of which $2 million has been contributed as of June 30, 2026.</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our significant defined benefit plans include the following components:</w:t>
      </w:r>
    </w:p>
    <w:tbl>
      <w:tblPr>
        <w:tblW w:w="10205" w:type="dxa"/>
        <w:jc w:val="left"/>
        <w:tblInd w:w="0" w:type="dxa"/>
        <w:tblLayout w:type="fixed"/>
        <w:tblCellMar>
          <w:top w:w="28" w:type="dxa"/>
          <w:left w:w="28" w:type="dxa"/>
          <w:bottom w:w="28" w:type="dxa"/>
          <w:right w:w="28" w:type="dxa"/>
        </w:tblCellMar>
      </w:tblPr>
      <w:tblGrid>
        <w:gridCol w:w="993"/>
        <w:gridCol w:w="761"/>
        <w:gridCol w:w="758"/>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256"/>
        <w:gridCol w:w="109"/>
        <w:gridCol w:w="109"/>
        <w:gridCol w:w="109"/>
        <w:gridCol w:w="109"/>
        <w:gridCol w:w="211"/>
        <w:gridCol w:w="406"/>
        <w:gridCol w:w="109"/>
        <w:gridCol w:w="109"/>
        <w:gridCol w:w="109"/>
        <w:gridCol w:w="109"/>
        <w:gridCol w:w="211"/>
        <w:gridCol w:w="406"/>
        <w:gridCol w:w="109"/>
        <w:gridCol w:w="109"/>
        <w:gridCol w:w="109"/>
        <w:gridCol w:w="109"/>
        <w:gridCol w:w="211"/>
        <w:gridCol w:w="256"/>
        <w:gridCol w:w="109"/>
        <w:gridCol w:w="109"/>
        <w:gridCol w:w="109"/>
        <w:gridCol w:w="109"/>
        <w:gridCol w:w="211"/>
        <w:gridCol w:w="256"/>
        <w:gridCol w:w="155"/>
      </w:tblGrid>
      <w:tr>
        <w:trPr/>
        <w:tc>
          <w:tcPr>
            <w:tcW w:w="99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21"/>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21"/>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U.S. Plans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Non-U.S. Plan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U.S. Plans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9"/>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Non-U.S. Plan </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3" w:type="dxa"/>
            <w:gridSpan w:val="4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pStyle w:val="TextBody"/>
        <w:bidi w:val="0"/>
        <w:spacing w:before="200" w:after="283"/>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22. Segments and Concentrations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accounting policies of our operating segment are the same as those described in the Company's summary of significant accounting policies.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derives revenues from customers through sales of turbocharging, air and fluid compression, and high-speed electric motor technologies for OEMs and independent aftermarket distributors in the mobility and industrial fields. </w:t>
      </w:r>
    </w:p>
    <w:p>
      <w:pPr>
        <w:pStyle w:val="TextBody"/>
        <w:bidi w:val="0"/>
        <w:spacing w:lineRule="auto" w:line="288" w:before="200" w:after="283"/>
        <w:ind w:left="0" w:right="0" w:firstLine="432"/>
        <w:jc w:val="both"/>
        <w:rPr/>
      </w:pPr>
      <w:r>
        <w:rPr>
          <w:rFonts w:ascii="Times New Roman;serif" w:hAnsi="Times New Roman;serif"/>
          <w:b/>
          <w:color w:val="000000"/>
          <w:sz w:val="20"/>
        </w:rPr>
        <w:t>Sales concentration</w:t>
      </w:r>
      <w:r>
        <w:rPr>
          <w:color w:val="000000"/>
        </w:rPr>
        <w:t xml:space="preserve"> </w:t>
      </w:r>
      <w:r>
        <w:rPr>
          <w:rFonts w:ascii="Times New Roman;serif" w:hAnsi="Times New Roman;serif"/>
          <w:b w:val="false"/>
          <w:color w:val="000000"/>
          <w:sz w:val="20"/>
        </w:rPr>
        <w:t>- Net sales by region (determined based on country of shipment) and product line are as follows:</w:t>
      </w:r>
    </w:p>
    <w:tbl>
      <w:tblPr>
        <w:tblW w:w="6619" w:type="dxa"/>
        <w:jc w:val="left"/>
        <w:tblInd w:w="0" w:type="dxa"/>
        <w:tblLayout w:type="fixed"/>
        <w:tblCellMar>
          <w:top w:w="28" w:type="dxa"/>
          <w:left w:w="28" w:type="dxa"/>
          <w:bottom w:w="28" w:type="dxa"/>
          <w:right w:w="28" w:type="dxa"/>
        </w:tblCellMar>
      </w:tblPr>
      <w:tblGrid>
        <w:gridCol w:w="647"/>
        <w:gridCol w:w="567"/>
        <w:gridCol w:w="570"/>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Kingdom</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 of Europe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 of Asia</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tbl>
      <w:tblPr>
        <w:tblW w:w="7624" w:type="dxa"/>
        <w:jc w:val="left"/>
        <w:tblInd w:w="0" w:type="dxa"/>
        <w:tblLayout w:type="fixed"/>
        <w:tblCellMar>
          <w:top w:w="28" w:type="dxa"/>
          <w:left w:w="28" w:type="dxa"/>
          <w:bottom w:w="28" w:type="dxa"/>
          <w:right w:w="28" w:type="dxa"/>
        </w:tblCellMar>
      </w:tblPr>
      <w:tblGrid>
        <w:gridCol w:w="1007"/>
        <w:gridCol w:w="886"/>
        <w:gridCol w:w="896"/>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Vehicles / Industrial</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table below provides segment information about the Company:</w:t>
      </w:r>
    </w:p>
    <w:tbl>
      <w:tblPr>
        <w:tblW w:w="8419" w:type="dxa"/>
        <w:jc w:val="left"/>
        <w:tblInd w:w="0" w:type="dxa"/>
        <w:tblLayout w:type="fixed"/>
        <w:tblCellMar>
          <w:top w:w="28" w:type="dxa"/>
          <w:left w:w="28" w:type="dxa"/>
          <w:bottom w:w="28" w:type="dxa"/>
          <w:right w:w="28" w:type="dxa"/>
        </w:tblCellMar>
      </w:tblPr>
      <w:tblGrid>
        <w:gridCol w:w="1296"/>
        <w:gridCol w:w="1135"/>
        <w:gridCol w:w="1153"/>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Material costs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Variable manufacturing costs </w:t>
            </w:r>
            <w:r>
              <w:rPr>
                <w:rFonts w:ascii="Times New Roman;serif" w:hAnsi="Times New Roman;serif"/>
                <w:b w:val="false"/>
                <w:color w:val="000000"/>
                <w:sz w:val="13"/>
              </w:rPr>
              <w:t>(1)</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Fixed manufacturing costs </w:t>
            </w:r>
            <w:r>
              <w:rPr>
                <w:rFonts w:ascii="Times New Roman;serif" w:hAnsi="Times New Roman;serif"/>
                <w:b w:val="false"/>
                <w:color w:val="000000"/>
                <w:sz w:val="13"/>
              </w:rPr>
              <w:t>(2)</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RD&amp;E costs</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 costs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Variable manufacturing costs include freight, duties and tariffs, direct and indirect labor costs, repairs and maintenance, and variable overhead costs.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Fixed manufacturing costs include depreciation and amortization, rent, overhead labor costs, repositioning costs, utilities, and other fixed costs.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Other segment items consist of non-service components of net periodic pension expense, interest income, equity income and other non-operating income items (if any).</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Consolidated Interim Balance Sheet as total consolidated assets. The Company had capital expenditures of $17 million and $15 million for the three months ended June 30, 2026 and 2025, respectively, and $46 million and $41 million for the six months ended June 30, 2026 and 2025, respectively.</w:t>
      </w:r>
    </w:p>
    <w:p>
      <w:pPr>
        <w:pStyle w:val="TextBody"/>
        <w:bidi w:val="0"/>
        <w:spacing w:before="200" w:after="283"/>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Note 23. Subsequent Events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On July 29, 2026, the Board of Directors declared a cash dividend of $0.08 per share of Common Stock, payable on September 15, 2026, to shareholders of record as of September 1, 2026.</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00" w:after="283"/>
        <w:ind w:left="0" w:right="0" w:firstLine="432"/>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2025, included in our 2025 Form 10-K. Some of the information contained in this MD&amp;A or set forth elsewhere in this Quarterly Report on Form 10-Q, including information with respect to our plans and strategy for our business, includes forward-looking statements that involve various risks and uncertainties. Please refer to the "Special Note Regarding Forward-Looking Statements" below.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MD&amp;A is intended to help you understand the results of operations and financial condition of Garrett Motion Inc.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00" w:after="283"/>
        <w:ind w:left="0" w:right="0" w:firstLine="432"/>
        <w:jc w:val="both"/>
        <w:rPr/>
      </w:pPr>
      <w:r>
        <w:rPr>
          <w:rFonts w:ascii="Times New Roman;serif" w:hAnsi="Times New Roman;serif"/>
          <w:b w:val="false"/>
          <w:color w:val="000000"/>
          <w:sz w:val="20"/>
        </w:rPr>
        <w:t>During the second quarter of 2026, we outperformed the light vehicle industry and saw growth across all verticals. This was primarily driven by increased gasoline volumes from new program launches, strong demand in light commercial vehicle as well as continued industrial growth. Aftermarket growth further contributed to a favorable product mix. We delivered strong operating performance year-over-year, resulting in Net income for the quarter of $101 million and Adjusted EBIT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$152 million. As the broader macroeconomic and geopolitical conditions evolve, we continue to actively monitor developments and their potential impacts on the industry and our operations.</w:t>
      </w:r>
    </w:p>
    <w:p>
      <w:pPr>
        <w:pStyle w:val="TextBody"/>
        <w:bidi w:val="0"/>
        <w:spacing w:before="0" w:after="0"/>
        <w:ind w:left="0" w:right="0" w:firstLine="72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have success across our differentiated technologies by winning business in both turbo and zero emission offerings. We secured light vehicle turbo, commercial vehicle and industrial awards across multiple regions, including turbo technology for data centers. We have also received favorable feedback from mobility and industrial customers related to expected efficiency gains from our E-Cooling oil-free compressor over existing recognized technologies. We also kicked off pre-development of a commercial vehicle E-powertrain with a Japanese truck maker.</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repurchased $28 million of Common Stock under our share repurchase program. As of June 30, 2026, we had $135 million of the authorized amount remaining under our share repurchase program. The repurchased shares are held as treasury stock.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On April 30, 2026, the Board of Directors declared a cash dividend of $0.08 per share of Common Stock, payable on June 15, 2026, to shareholders of record as of June 1, 2026. The total amount of dividends paid on June 15, 2026 amounted to $15 million. On July 29, 2026, the Board of Directors declared a cash dividend of $0.08 per share of Common Stock, payable on September 15, 2026, to shareholders of record as of September 1, 2026.</w:t>
      </w:r>
    </w:p>
    <w:p>
      <w:pPr>
        <w:pStyle w:val="TextBody"/>
        <w:bidi w:val="0"/>
        <w:spacing w:lineRule="auto" w:line="288" w:before="200" w:after="283"/>
        <w:ind w:left="0" w:right="0" w:hanging="270"/>
        <w:jc w:val="both"/>
        <w:rPr/>
      </w:pPr>
      <w:r>
        <w:rPr>
          <w:rFonts w:ascii="Times New Roman;serif" w:hAnsi="Times New Roman;serif"/>
          <w:b w:val="false"/>
          <w:color w:val="000000"/>
          <w:sz w:val="20"/>
        </w:rPr>
        <w:t xml:space="preserve">(1) Adjusted EBIT is a non-GAAP measure. Refer to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 for a definition of Adjusted EBIT and a reconciliation of Adjusted EBIT to net income, the most directly comparable GAAP financial measure.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Disaggregated Revenue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following tables show our revenues by geographic region and product line for the three and six months ended June 30, 2026 and 2025,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By Region</w:t>
      </w:r>
    </w:p>
    <w:tbl>
      <w:tblPr>
        <w:tblW w:w="8897" w:type="dxa"/>
        <w:jc w:val="left"/>
        <w:tblInd w:w="0" w:type="dxa"/>
        <w:tblLayout w:type="fixed"/>
        <w:tblCellMar>
          <w:top w:w="28" w:type="dxa"/>
          <w:left w:w="28" w:type="dxa"/>
          <w:bottom w:w="28" w:type="dxa"/>
          <w:right w:w="28" w:type="dxa"/>
        </w:tblCellMar>
      </w:tblPr>
      <w:tblGrid>
        <w:gridCol w:w="435"/>
        <w:gridCol w:w="381"/>
        <w:gridCol w:w="383"/>
        <w:gridCol w:w="211"/>
        <w:gridCol w:w="466"/>
        <w:gridCol w:w="109"/>
        <w:gridCol w:w="109"/>
        <w:gridCol w:w="109"/>
        <w:gridCol w:w="109"/>
        <w:gridCol w:w="160"/>
        <w:gridCol w:w="160"/>
        <w:gridCol w:w="160"/>
        <w:gridCol w:w="109"/>
        <w:gridCol w:w="109"/>
        <w:gridCol w:w="109"/>
        <w:gridCol w:w="211"/>
        <w:gridCol w:w="466"/>
        <w:gridCol w:w="109"/>
        <w:gridCol w:w="109"/>
        <w:gridCol w:w="109"/>
        <w:gridCol w:w="109"/>
        <w:gridCol w:w="160"/>
        <w:gridCol w:w="160"/>
        <w:gridCol w:w="160"/>
        <w:gridCol w:w="109"/>
        <w:gridCol w:w="109"/>
        <w:gridCol w:w="109"/>
        <w:gridCol w:w="211"/>
        <w:gridCol w:w="616"/>
        <w:gridCol w:w="109"/>
        <w:gridCol w:w="109"/>
        <w:gridCol w:w="109"/>
        <w:gridCol w:w="109"/>
        <w:gridCol w:w="160"/>
        <w:gridCol w:w="160"/>
        <w:gridCol w:w="160"/>
        <w:gridCol w:w="109"/>
        <w:gridCol w:w="109"/>
        <w:gridCol w:w="109"/>
        <w:gridCol w:w="211"/>
        <w:gridCol w:w="616"/>
        <w:gridCol w:w="109"/>
        <w:gridCol w:w="109"/>
        <w:gridCol w:w="109"/>
        <w:gridCol w:w="109"/>
        <w:gridCol w:w="154"/>
        <w:gridCol w:w="154"/>
        <w:gridCol w:w="21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9"/>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9"/>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9"/>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8" w:type="dxa"/>
            <w:gridSpan w:val="45"/>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11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By Product Line </w:t>
      </w:r>
    </w:p>
    <w:tbl>
      <w:tblPr>
        <w:tblW w:w="10205" w:type="dxa"/>
        <w:jc w:val="left"/>
        <w:tblInd w:w="0" w:type="dxa"/>
        <w:tblLayout w:type="fixed"/>
        <w:tblCellMar>
          <w:top w:w="28" w:type="dxa"/>
          <w:left w:w="28" w:type="dxa"/>
          <w:bottom w:w="28" w:type="dxa"/>
          <w:right w:w="28" w:type="dxa"/>
        </w:tblCellMar>
      </w:tblPr>
      <w:tblGrid>
        <w:gridCol w:w="932"/>
        <w:gridCol w:w="820"/>
        <w:gridCol w:w="829"/>
        <w:gridCol w:w="211"/>
        <w:gridCol w:w="466"/>
        <w:gridCol w:w="109"/>
        <w:gridCol w:w="109"/>
        <w:gridCol w:w="109"/>
        <w:gridCol w:w="109"/>
        <w:gridCol w:w="153"/>
        <w:gridCol w:w="153"/>
        <w:gridCol w:w="153"/>
        <w:gridCol w:w="109"/>
        <w:gridCol w:w="109"/>
        <w:gridCol w:w="109"/>
        <w:gridCol w:w="211"/>
        <w:gridCol w:w="466"/>
        <w:gridCol w:w="109"/>
        <w:gridCol w:w="109"/>
        <w:gridCol w:w="109"/>
        <w:gridCol w:w="109"/>
        <w:gridCol w:w="153"/>
        <w:gridCol w:w="153"/>
        <w:gridCol w:w="153"/>
        <w:gridCol w:w="109"/>
        <w:gridCol w:w="109"/>
        <w:gridCol w:w="109"/>
        <w:gridCol w:w="211"/>
        <w:gridCol w:w="616"/>
        <w:gridCol w:w="109"/>
        <w:gridCol w:w="109"/>
        <w:gridCol w:w="109"/>
        <w:gridCol w:w="109"/>
        <w:gridCol w:w="153"/>
        <w:gridCol w:w="153"/>
        <w:gridCol w:w="153"/>
        <w:gridCol w:w="109"/>
        <w:gridCol w:w="109"/>
        <w:gridCol w:w="109"/>
        <w:gridCol w:w="211"/>
        <w:gridCol w:w="616"/>
        <w:gridCol w:w="109"/>
        <w:gridCol w:w="109"/>
        <w:gridCol w:w="109"/>
        <w:gridCol w:w="109"/>
        <w:gridCol w:w="148"/>
        <w:gridCol w:w="148"/>
        <w:gridCol w:w="218"/>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4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Diesel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Gas</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5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Vehicles / Industrial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5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5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Six Months Ended June 30, 2026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Sales</w:t>
      </w:r>
    </w:p>
    <w:tbl>
      <w:tblPr>
        <w:tblW w:w="7959" w:type="dxa"/>
        <w:jc w:val="left"/>
        <w:tblInd w:w="0" w:type="dxa"/>
        <w:tblLayout w:type="fixed"/>
        <w:tblCellMar>
          <w:top w:w="28" w:type="dxa"/>
          <w:left w:w="28" w:type="dxa"/>
          <w:bottom w:w="28" w:type="dxa"/>
          <w:right w:w="28" w:type="dxa"/>
        </w:tblCellMar>
      </w:tblPr>
      <w:tblGrid>
        <w:gridCol w:w="1144"/>
        <w:gridCol w:w="1002"/>
        <w:gridCol w:w="1019"/>
        <w:gridCol w:w="211"/>
        <w:gridCol w:w="466"/>
        <w:gridCol w:w="271"/>
        <w:gridCol w:w="109"/>
        <w:gridCol w:w="109"/>
        <w:gridCol w:w="109"/>
        <w:gridCol w:w="211"/>
        <w:gridCol w:w="466"/>
        <w:gridCol w:w="109"/>
        <w:gridCol w:w="109"/>
        <w:gridCol w:w="109"/>
        <w:gridCol w:w="109"/>
        <w:gridCol w:w="211"/>
        <w:gridCol w:w="616"/>
        <w:gridCol w:w="271"/>
        <w:gridCol w:w="109"/>
        <w:gridCol w:w="109"/>
        <w:gridCol w:w="109"/>
        <w:gridCol w:w="211"/>
        <w:gridCol w:w="61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61"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79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change compared with prior period</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Net Sales for the Three Months Ended June 30, 2026</w:t>
      </w:r>
    </w:p>
    <w:p>
      <w:pPr>
        <w:pStyle w:val="TextBody"/>
        <w:bidi w:val="0"/>
        <w:spacing w:before="200" w:after="283"/>
        <w:jc w:val="left"/>
        <w:rPr/>
      </w:pPr>
      <w:r>
        <w:rPr/>
        <w:drawing>
          <wp:inline distT="0" distB="0" distL="0" distR="0">
            <wp:extent cx="6286500" cy="140017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286500" cy="1400175"/>
                    </a:xfrm>
                    <a:prstGeom prst="rect">
                      <a:avLst/>
                    </a:prstGeom>
                  </pic:spPr>
                </pic:pic>
              </a:graphicData>
            </a:graphic>
          </wp:inline>
        </w:drawing>
      </w:r>
      <w:bookmarkStart w:id="0" w:name="i-1"/>
      <w:bookmarkEnd w:id="0"/>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net sales compared to the prior period increased by $63 million or 7% (including a favorable impact of $15 million or 2% due to foreign currency fluctuation). The increase was primarily related to higher demand across all verticals, favorable price net of inflation pass-through, and foreign currency impacts, partially offset by lower customer recoveries on import tariffs.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Gasoline product sales increased by $18 million or 5% (including a favorable impact of $7 million or 2% due to foreign currency translation), primarily driven by new application launches and program ramp-ups in Europe, India, and South America. </w:t>
      </w:r>
    </w:p>
    <w:p>
      <w:pPr>
        <w:pStyle w:val="TextBody"/>
        <w:bidi w:val="0"/>
        <w:spacing w:lineRule="auto" w:line="26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Diesel product sales increased by $18 million or 8% (including a favorable impact of $6 million or 2% due to foreign currency translation), primarily driven by strong demand for light commercial vehicles and pickup trucks in Europe, Asia, and South America, and program ramp-ups in India.</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Commercial vehicle and Industrial sales increased by $18 million or 10% (with no impact from foreign currency translation), primarily driven by volume recovery in China and continued industrial growth in China and North America stationary power generation ("Gensets") for data centers.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Aftermarket sales increased by $8 million or 8% (including a favorable impact of $2 million or 1% due to foreign currency translation), primarily due to stronger demand for replacement parts in Europe, China, and Australia, partially offset by softer demand for off-highway replacement parts in North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27"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Net Sales for the Six Months Ended June 30, 2026</w:t>
      </w:r>
    </w:p>
    <w:p>
      <w:pPr>
        <w:pStyle w:val="TextBody"/>
        <w:bidi w:val="0"/>
        <w:spacing w:before="200" w:after="283"/>
        <w:jc w:val="left"/>
        <w:rPr/>
      </w:pPr>
      <w:r>
        <w:rPr/>
        <w:drawing>
          <wp:inline distT="0" distB="0" distL="0" distR="0">
            <wp:extent cx="6286500" cy="14668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286500" cy="1466850"/>
                    </a:xfrm>
                    <a:prstGeom prst="rect">
                      <a:avLst/>
                    </a:prstGeom>
                  </pic:spPr>
                </pic:pic>
              </a:graphicData>
            </a:graphic>
          </wp:inline>
        </w:drawing>
      </w:r>
      <w:bookmarkStart w:id="1" w:name="i-2"/>
      <w:bookmarkEnd w:id="1"/>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sales compared to the prior period increased by $170 million or 9% (including a favorable impact of $73 million or 4% due to foreign currency translation). The increase was primarily related to higher demand across all verticals, and favorable foreign currency impacts, partially offset by unfavorable price net of inflation pass-through and lower customer recoveries on import tariffs.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Gasoline product sales increased by $58 million or 7% (including a favorable impact of $34 million or 4% due to foreign currency translation), primarily driven by new application launches and program ramp-ups in Europe, India, and South America.</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Diesel product sales increased by $42 million or 10% (including a favorable impact of $24 million or 6% due to foreign currency translation), primarily driven by strong demand for light commercial vehicles and pickup trucks in Europe, Asia, and South America and program ramp-ups in India.</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Commercial vehicle and Industrial sales increased by $44 million or 14% (including a favorable impact of $6 million or 2% due to foreign currency translation), primarily driven by volume recovery in China and continued industrial growth in China and North America Gensets for data centers.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Aftermarket sales increased by $24 million or 11% (including a favorable impact of $8 million or 3% due to foreign currency translation), primarily due to stronger demand for replacement parts in Europe, India, China, and Australia, while North America remains stable compared with the prior period.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tbl>
      <w:tblPr>
        <w:tblW w:w="8282" w:type="dxa"/>
        <w:jc w:val="left"/>
        <w:tblInd w:w="0" w:type="dxa"/>
        <w:tblLayout w:type="fixed"/>
        <w:tblCellMar>
          <w:top w:w="28" w:type="dxa"/>
          <w:left w:w="28" w:type="dxa"/>
          <w:bottom w:w="28" w:type="dxa"/>
          <w:right w:w="28" w:type="dxa"/>
        </w:tblCellMar>
      </w:tblPr>
      <w:tblGrid>
        <w:gridCol w:w="1146"/>
        <w:gridCol w:w="1006"/>
        <w:gridCol w:w="1012"/>
        <w:gridCol w:w="211"/>
        <w:gridCol w:w="466"/>
        <w:gridCol w:w="271"/>
        <w:gridCol w:w="109"/>
        <w:gridCol w:w="109"/>
        <w:gridCol w:w="109"/>
        <w:gridCol w:w="211"/>
        <w:gridCol w:w="466"/>
        <w:gridCol w:w="271"/>
        <w:gridCol w:w="109"/>
        <w:gridCol w:w="109"/>
        <w:gridCol w:w="109"/>
        <w:gridCol w:w="211"/>
        <w:gridCol w:w="616"/>
        <w:gridCol w:w="271"/>
        <w:gridCol w:w="109"/>
        <w:gridCol w:w="109"/>
        <w:gridCol w:w="109"/>
        <w:gridCol w:w="211"/>
        <w:gridCol w:w="616"/>
        <w:gridCol w:w="316"/>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223"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change compared with prior period</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29"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Cost of Goods Sold and Gross Profit for the Three Months Ended June 30, 2026</w:t>
      </w:r>
    </w:p>
    <w:tbl>
      <w:tblPr>
        <w:tblW w:w="9055" w:type="dxa"/>
        <w:jc w:val="left"/>
        <w:tblInd w:w="0" w:type="dxa"/>
        <w:tblLayout w:type="fixed"/>
        <w:tblCellMar>
          <w:top w:w="28" w:type="dxa"/>
          <w:left w:w="28" w:type="dxa"/>
          <w:bottom w:w="28" w:type="dxa"/>
          <w:right w:w="28" w:type="dxa"/>
        </w:tblCellMar>
      </w:tblPr>
      <w:tblGrid>
        <w:gridCol w:w="2237"/>
        <w:gridCol w:w="1963"/>
        <w:gridCol w:w="1980"/>
        <w:gridCol w:w="402"/>
        <w:gridCol w:w="889"/>
        <w:gridCol w:w="208"/>
        <w:gridCol w:w="109"/>
        <w:gridCol w:w="109"/>
        <w:gridCol w:w="109"/>
        <w:gridCol w:w="266"/>
        <w:gridCol w:w="589"/>
        <w:gridCol w:w="194"/>
      </w:tblGrid>
      <w:tr>
        <w:trPr/>
        <w:tc>
          <w:tcPr>
            <w:tcW w:w="223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r>
      <w:tr>
        <w:trPr/>
        <w:tc>
          <w:tcPr>
            <w:tcW w:w="618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6180"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 / Gross Profit for the three months ended June 30, 2025</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Increase/(decrease) due to:</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mix</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net of inflation pass-through</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transportation &amp; energy inflation</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 tariffs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&amp; engineering</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 impacts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 / Gross Profit for the three months ended June 30, 2026</w:t>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cost of goods sold increased by $32 million, primarily driven by $35 million from higher sales volumes, $18 million of unfavorable mix, $15 million from foreign currency impacts, and $8 million of commodity, transportation, and energy inflation. These increases were partially offset by $24 million productivity net of labor inflation and repositioning costs, $16 million of lower import tariffs, and $4 million of lower RD&amp;E costs.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gross profit increased by $31 million, primarily driven by $16 million from higher sales volumes, $8 million productivity net of labor inflation and repositioning costs, $8 million of price net of inflation pass-through, $4 million of lower RD&amp;E costs, and $3 million of favorable product mix. These increases were partially offset by $8 million of commodity, transportation, and energy inflation. There was no impact from import tariffs for the three months ended June 30, 2026.</w:t>
      </w:r>
    </w:p>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Cost of Goods Sold and Gross Profit for the Six Months Ended June 30, 2026</w:t>
      </w:r>
    </w:p>
    <w:tbl>
      <w:tblPr>
        <w:tblW w:w="8889" w:type="dxa"/>
        <w:jc w:val="left"/>
        <w:tblInd w:w="0" w:type="dxa"/>
        <w:tblLayout w:type="fixed"/>
        <w:tblCellMar>
          <w:top w:w="28" w:type="dxa"/>
          <w:left w:w="28" w:type="dxa"/>
          <w:bottom w:w="28" w:type="dxa"/>
          <w:right w:w="28" w:type="dxa"/>
        </w:tblCellMar>
      </w:tblPr>
      <w:tblGrid>
        <w:gridCol w:w="2177"/>
        <w:gridCol w:w="1910"/>
        <w:gridCol w:w="1927"/>
        <w:gridCol w:w="338"/>
        <w:gridCol w:w="987"/>
        <w:gridCol w:w="174"/>
        <w:gridCol w:w="109"/>
        <w:gridCol w:w="109"/>
        <w:gridCol w:w="109"/>
        <w:gridCol w:w="266"/>
        <w:gridCol w:w="589"/>
        <w:gridCol w:w="194"/>
      </w:tblGrid>
      <w:tr>
        <w:trPr/>
        <w:tc>
          <w:tcPr>
            <w:tcW w:w="217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r>
      <w:tr>
        <w:trPr/>
        <w:tc>
          <w:tcPr>
            <w:tcW w:w="60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6014"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 / Gross Profit for the six months ended June 30, 2025</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Increase/(decrease) due to:</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mix</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net of inflation pass-through</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transportation &amp; energy inflation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 net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 tariffs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&amp; engineering</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rate impacts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 / Gross Profit for the six months ended June 30, 2026</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cost of goods sold increased by $122 million, primarily driven by $77 million from higher sales volumes, $55 million of foreign currency impacts, $22 million of favorable mix, and $6 million of commodity, transportation, and energy inflation. These increases were partially offset by $17 million productivity net of labor inflation and repositioning costs, $11 million of lower RD&amp;E costs, and $10 million of lower import tariffs.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gross profit increased by $48 million, primarily driven by $35 million from higher sales volumes, $18 million from favorable foreign currency impacts, $11 million of lower RD&amp;E costs, and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0"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million of favorable product mix. These increases were partially offset by $13 million of lower productivity net of labor inflation and repositioning costs, $6 million of commodity, transportation, and energy inflation, $3 million of price net of inflation pass-through, and $1 million of import tariffs.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tbl>
      <w:tblPr>
        <w:tblW w:w="8268" w:type="dxa"/>
        <w:jc w:val="left"/>
        <w:tblInd w:w="0" w:type="dxa"/>
        <w:tblLayout w:type="fixed"/>
        <w:tblCellMar>
          <w:top w:w="28" w:type="dxa"/>
          <w:left w:w="28" w:type="dxa"/>
          <w:bottom w:w="28" w:type="dxa"/>
          <w:right w:w="28" w:type="dxa"/>
        </w:tblCellMar>
      </w:tblPr>
      <w:tblGrid>
        <w:gridCol w:w="1327"/>
        <w:gridCol w:w="1165"/>
        <w:gridCol w:w="1168"/>
        <w:gridCol w:w="211"/>
        <w:gridCol w:w="361"/>
        <w:gridCol w:w="271"/>
        <w:gridCol w:w="109"/>
        <w:gridCol w:w="109"/>
        <w:gridCol w:w="109"/>
        <w:gridCol w:w="211"/>
        <w:gridCol w:w="361"/>
        <w:gridCol w:w="271"/>
        <w:gridCol w:w="109"/>
        <w:gridCol w:w="109"/>
        <w:gridCol w:w="109"/>
        <w:gridCol w:w="211"/>
        <w:gridCol w:w="466"/>
        <w:gridCol w:w="271"/>
        <w:gridCol w:w="109"/>
        <w:gridCol w:w="109"/>
        <w:gridCol w:w="109"/>
        <w:gridCol w:w="211"/>
        <w:gridCol w:w="466"/>
        <w:gridCol w:w="316"/>
      </w:tblGrid>
      <w:tr>
        <w:trPr/>
        <w:tc>
          <w:tcPr>
            <w:tcW w:w="132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13"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0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6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for the three months ended June 30, 2026 increased by $4 million compared with the prior period, primarily driven by $3 million of higher personnel costs and $2 million of unfavorable foreign currency impact, partially offset by $1 million of lower bad debt expense.</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SG&amp;A expenses for the six months ended June 30, 2026 increased by $3 million compared with the prior period, primarily driven by $6 million of unfavorable foreign currency impact, partially offset by $3 million of lower bad debt expense.</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Other Expense, Net</w:t>
      </w:r>
    </w:p>
    <w:tbl>
      <w:tblPr>
        <w:tblW w:w="5120" w:type="dxa"/>
        <w:jc w:val="left"/>
        <w:tblInd w:w="0" w:type="dxa"/>
        <w:tblLayout w:type="fixed"/>
        <w:tblCellMar>
          <w:top w:w="28" w:type="dxa"/>
          <w:left w:w="28" w:type="dxa"/>
          <w:bottom w:w="28" w:type="dxa"/>
          <w:right w:w="28" w:type="dxa"/>
        </w:tblCellMar>
      </w:tblPr>
      <w:tblGrid>
        <w:gridCol w:w="586"/>
        <w:gridCol w:w="516"/>
        <w:gridCol w:w="518"/>
        <w:gridCol w:w="229"/>
        <w:gridCol w:w="277"/>
        <w:gridCol w:w="118"/>
        <w:gridCol w:w="118"/>
        <w:gridCol w:w="118"/>
        <w:gridCol w:w="118"/>
        <w:gridCol w:w="229"/>
        <w:gridCol w:w="277"/>
        <w:gridCol w:w="118"/>
        <w:gridCol w:w="109"/>
        <w:gridCol w:w="109"/>
        <w:gridCol w:w="109"/>
        <w:gridCol w:w="218"/>
        <w:gridCol w:w="264"/>
        <w:gridCol w:w="112"/>
        <w:gridCol w:w="112"/>
        <w:gridCol w:w="112"/>
        <w:gridCol w:w="112"/>
        <w:gridCol w:w="218"/>
        <w:gridCol w:w="264"/>
        <w:gridCol w:w="159"/>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for the three months ended June 30, 2026 was consistent with the prior period.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Other expense, net for the six months ended June 30, 2026 decreased by $6 million compared to the prior period, primarily driven by $6 million in professional fees incurred in the prior year related to our Restatement Agreement.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5174" w:type="dxa"/>
        <w:jc w:val="left"/>
        <w:tblInd w:w="0" w:type="dxa"/>
        <w:tblLayout w:type="fixed"/>
        <w:tblCellMar>
          <w:top w:w="28" w:type="dxa"/>
          <w:left w:w="28" w:type="dxa"/>
          <w:bottom w:w="28" w:type="dxa"/>
          <w:right w:w="28" w:type="dxa"/>
        </w:tblCellMar>
      </w:tblPr>
      <w:tblGrid>
        <w:gridCol w:w="516"/>
        <w:gridCol w:w="452"/>
        <w:gridCol w:w="456"/>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689"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5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2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interest expense decreased by $1 million compared to the prior period. This decrease was primarily due to $3 million in lower interest expense due to a different notional amount of debt outstanding during the period. In addition, we recorded net gains of $2 million on our interest derivatives in the current year, in comparison to net gains of $4 million in the prior year.</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interest expense decreased by $3 million compared to the prior period. This decrease was primarily due to $5 million in lower interest expense due to a different notional amount of debt outstanding during the period and the repricing of our Credit Agreement. In addition, we recorded net gains of $1 million on our interest derivatives in the current year, in comparison to net gains of $4 million in the prior year.</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Non-Operating Income, Net</w:t>
      </w:r>
    </w:p>
    <w:tbl>
      <w:tblPr>
        <w:tblW w:w="6030" w:type="dxa"/>
        <w:jc w:val="left"/>
        <w:tblInd w:w="0" w:type="dxa"/>
        <w:tblLayout w:type="fixed"/>
        <w:tblCellMar>
          <w:top w:w="28" w:type="dxa"/>
          <w:left w:w="28" w:type="dxa"/>
          <w:bottom w:w="28" w:type="dxa"/>
          <w:right w:w="28" w:type="dxa"/>
        </w:tblCellMar>
      </w:tblPr>
      <w:tblGrid>
        <w:gridCol w:w="831"/>
        <w:gridCol w:w="731"/>
        <w:gridCol w:w="733"/>
        <w:gridCol w:w="211"/>
        <w:gridCol w:w="331"/>
        <w:gridCol w:w="109"/>
        <w:gridCol w:w="109"/>
        <w:gridCol w:w="109"/>
        <w:gridCol w:w="109"/>
        <w:gridCol w:w="211"/>
        <w:gridCol w:w="331"/>
        <w:gridCol w:w="109"/>
        <w:gridCol w:w="109"/>
        <w:gridCol w:w="109"/>
        <w:gridCol w:w="109"/>
        <w:gridCol w:w="211"/>
        <w:gridCol w:w="436"/>
        <w:gridCol w:w="109"/>
        <w:gridCol w:w="109"/>
        <w:gridCol w:w="109"/>
        <w:gridCol w:w="109"/>
        <w:gridCol w:w="211"/>
        <w:gridCol w:w="33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629"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9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7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6"/>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35" w:type="dxa"/>
            <w:gridSpan w:val="21"/>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2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1"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had non-operating income of $2 million versus $6 million in the prior period. The decrease in non-operating income was primarily driven by a decrease in foreign exchange transactional gains.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had non-operating income of $10 million versus $7 million in the prior period. The increase in non-operating income was primarily driven by the resolution of certain environmental liabilities, partially offset by a decrease in foreign exchange transactional gains.</w:t>
      </w:r>
    </w:p>
    <w:p>
      <w:pPr>
        <w:pStyle w:val="TextBody"/>
        <w:bidi w:val="0"/>
        <w:spacing w:lineRule="auto" w:line="288" w:before="200" w:after="20"/>
        <w:jc w:val="both"/>
        <w:rPr>
          <w:rFonts w:ascii="Times New Roman;serif" w:hAnsi="Times New Roman;serif"/>
          <w:b/>
          <w:i/>
          <w:color w:val="000000"/>
          <w:sz w:val="20"/>
        </w:rPr>
      </w:pPr>
      <w:r>
        <w:rPr>
          <w:rFonts w:ascii="Times New Roman;serif" w:hAnsi="Times New Roman;serif"/>
          <w:b/>
          <w:i/>
          <w:color w:val="000000"/>
          <w:sz w:val="20"/>
        </w:rPr>
        <w:t xml:space="preserve">Tax Expense </w:t>
      </w:r>
    </w:p>
    <w:tbl>
      <w:tblPr>
        <w:tblW w:w="5897" w:type="dxa"/>
        <w:jc w:val="left"/>
        <w:tblInd w:w="0" w:type="dxa"/>
        <w:tblLayout w:type="fixed"/>
        <w:tblCellMar>
          <w:top w:w="28" w:type="dxa"/>
          <w:left w:w="28" w:type="dxa"/>
          <w:bottom w:w="28" w:type="dxa"/>
          <w:right w:w="28" w:type="dxa"/>
        </w:tblCellMar>
      </w:tblPr>
      <w:tblGrid>
        <w:gridCol w:w="543"/>
        <w:gridCol w:w="476"/>
        <w:gridCol w:w="480"/>
        <w:gridCol w:w="211"/>
        <w:gridCol w:w="361"/>
        <w:gridCol w:w="271"/>
        <w:gridCol w:w="109"/>
        <w:gridCol w:w="109"/>
        <w:gridCol w:w="109"/>
        <w:gridCol w:w="211"/>
        <w:gridCol w:w="361"/>
        <w:gridCol w:w="271"/>
        <w:gridCol w:w="109"/>
        <w:gridCol w:w="109"/>
        <w:gridCol w:w="109"/>
        <w:gridCol w:w="211"/>
        <w:gridCol w:w="361"/>
        <w:gridCol w:w="271"/>
        <w:gridCol w:w="109"/>
        <w:gridCol w:w="109"/>
        <w:gridCol w:w="109"/>
        <w:gridCol w:w="211"/>
        <w:gridCol w:w="361"/>
        <w:gridCol w:w="31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13"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39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three months ended June 30, 2026 and 2025 were 19.8% and 14.7%, respectively. The effective tax rates for the six months ended June 30, 2026 and 2025 were 19.7% and 20.3%, respectively.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erif" w:hAnsi="Times New Roman;serif"/>
          <w:b w:val="false"/>
          <w:color w:val="231F20"/>
          <w:sz w:val="20"/>
        </w:rPr>
        <w:t xml:space="preserve">The change in the effective tax rate for the three and six months ended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compared to the prior period is primarily related to a decrease in U.S. taxes on international operations during 2026, the global mix of earnings from year-to-year, a one-time benefit related to the revaluation of deferred tax assets in China during 2025, and deductions related to employee share-based compensation during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 xml:space="preserve">The effective tax rate can vary from quarter to quarter due to changes in the Company’s global mix of earnings, the resolution of income tax audits, changes in tax laws (including updated guidance on U.S. tax reform), deductions related to employee share-based compensation, internal restructurings, and pension mark-to-market adjustments.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w:t>
      </w:r>
    </w:p>
    <w:tbl>
      <w:tblPr>
        <w:tblW w:w="6377" w:type="dxa"/>
        <w:jc w:val="left"/>
        <w:tblInd w:w="0" w:type="dxa"/>
        <w:tblLayout w:type="fixed"/>
        <w:tblCellMar>
          <w:top w:w="28" w:type="dxa"/>
          <w:left w:w="28" w:type="dxa"/>
          <w:bottom w:w="28" w:type="dxa"/>
          <w:right w:w="28" w:type="dxa"/>
        </w:tblCellMar>
      </w:tblPr>
      <w:tblGrid>
        <w:gridCol w:w="603"/>
        <w:gridCol w:w="528"/>
        <w:gridCol w:w="533"/>
        <w:gridCol w:w="211"/>
        <w:gridCol w:w="466"/>
        <w:gridCol w:w="271"/>
        <w:gridCol w:w="109"/>
        <w:gridCol w:w="109"/>
        <w:gridCol w:w="109"/>
        <w:gridCol w:w="211"/>
        <w:gridCol w:w="361"/>
        <w:gridCol w:w="271"/>
        <w:gridCol w:w="109"/>
        <w:gridCol w:w="109"/>
        <w:gridCol w:w="109"/>
        <w:gridCol w:w="211"/>
        <w:gridCol w:w="466"/>
        <w:gridCol w:w="271"/>
        <w:gridCol w:w="109"/>
        <w:gridCol w:w="109"/>
        <w:gridCol w:w="109"/>
        <w:gridCol w:w="211"/>
        <w:gridCol w:w="466"/>
        <w:gridCol w:w="316"/>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118"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4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71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margin</w:t>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June 30, 2026 increased by $14 million compared with the prior period, primarily due to $31 million of higher gross profit and $1 million of lower interest expense, partially offset by $10 million of higher tax expense, $4 million of lower non-operating income, and $4 million of higher SG&amp;A expense.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six months ended June 30, 2026 increased by $47 million compared with the prior period, primarily due to $48 million of higher gross profit, $6 million lower other expense, net, $3 million lower interest expense, and $3 million higher non-operating income, partially offset by $10 million higher tax expense and $3 million higher SG&amp;A expense. </w:t>
      </w:r>
    </w:p>
    <w:p>
      <w:pPr>
        <w:pStyle w:val="TextBody"/>
        <w:bidi w:val="0"/>
        <w:spacing w:before="0" w:after="0"/>
        <w:ind w:left="0" w:right="0" w:firstLine="432"/>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from, or as a substitute for, an analysis of the Company’s operating results as reported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2"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EBIT and Adjusted EBIT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“EBIT” as our net income calculated in accordance with GAAP, plus the sum of (i) interest expense net of interest income and (ii) tax expense. We define “Adjusted EBIT” as EBIT, plus the sum of (i) repositioning costs, (ii) foreign exchange (gain) loss on debt net of related hedging (gains) losses, (iii) discounting costs on factoring, (iv) gain on sale of equity investment, (v) acquisition and divestiture expenses, (vi) other non-operating income, and (vii) debt refinancing and redemption costs, if any. </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EBIT and Adjusted EBIT are important indicators of operating performance and provide useful information for investors because EBIT and Adjusted EBIT exclude the effects of income taxes, as well as the effects of financing activities by eliminating the effects of interest. Certain adjustment items, while periodically affecting our results, may also vary significantly from period to period and have disproportionate effect in a given period, which affects the comparability of our results.</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under GAAP to Adjusted EBIT:</w:t>
      </w:r>
    </w:p>
    <w:tbl>
      <w:tblPr>
        <w:tblW w:w="9045" w:type="dxa"/>
        <w:jc w:val="left"/>
        <w:tblInd w:w="0" w:type="dxa"/>
        <w:tblLayout w:type="fixed"/>
        <w:tblCellMar>
          <w:top w:w="28" w:type="dxa"/>
          <w:left w:w="28" w:type="dxa"/>
          <w:bottom w:w="28" w:type="dxa"/>
          <w:right w:w="28" w:type="dxa"/>
        </w:tblCellMar>
      </w:tblPr>
      <w:tblGrid>
        <w:gridCol w:w="1763"/>
        <w:gridCol w:w="1549"/>
        <w:gridCol w:w="1563"/>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1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Interest expense, net of interest income </w:t>
            </w:r>
            <w:r>
              <w:rPr>
                <w:rFonts w:ascii="Times New Roman;serif" w:hAnsi="Times New Roman;serif"/>
                <w:b w:val="false"/>
                <w:color w:val="000000"/>
                <w:sz w:val="13"/>
              </w:rPr>
              <w:t xml:space="preserve">(1)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15" w:after="283"/>
              <w:jc w:val="left"/>
              <w:rPr/>
            </w:pPr>
            <w:r>
              <w:rPr>
                <w:rFonts w:ascii="Times New Roman;serif" w:hAnsi="Times New Roman;serif"/>
                <w:b w:val="false"/>
                <w:color w:val="000000"/>
                <w:sz w:val="20"/>
              </w:rPr>
              <w:t xml:space="preserve">Repositioning costs </w:t>
            </w:r>
            <w:r>
              <w:rPr>
                <w:rFonts w:ascii="Times New Roman;serif" w:hAnsi="Times New Roman;serif"/>
                <w:b w:val="false"/>
                <w:color w:val="000000"/>
                <w:sz w:val="16"/>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on debt, net of related hedging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Factoring and notes receivables discount fees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erif" w:hAnsi="Times New Roman;serif"/>
                <w:b w:val="false"/>
                <w:color w:val="000000"/>
                <w:sz w:val="20"/>
              </w:rPr>
              <w:t xml:space="preserve">Other non-operating income </w:t>
            </w:r>
            <w:r>
              <w:rPr>
                <w:rFonts w:ascii="Times New Roman;serif" w:hAnsi="Times New Roman;serif"/>
                <w:b w:val="false"/>
                <w:color w:val="000000"/>
                <w:sz w:val="16"/>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erif" w:hAnsi="Times New Roman;serif"/>
                <w:b w:val="false"/>
                <w:color w:val="000000"/>
                <w:sz w:val="20"/>
              </w:rPr>
              <w:t xml:space="preserve">Debt refinancing and redemption costs </w:t>
            </w:r>
            <w:r>
              <w:rPr>
                <w:rFonts w:ascii="Times New Roman;serif" w:hAnsi="Times New Roman;serif"/>
                <w:b w:val="false"/>
                <w:color w:val="000000"/>
                <w:sz w:val="16"/>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(1)Reflects interest income of $0 million and $2 million for the three months ended June 30, 2026 and 2025, respectively, and $0 million and $2 million for the six months ended June 30, 2026 and 2025, respectively.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(2)Repositioning costs includes severance costs related to restructuring projects to improve future productivity.</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(3)Reflects the non-service component of net periodic pension income and, for the six months ended June 30, 2026, also includes $5 million related to the resolution of certain environmental liabilities not directly related to the Company's operations.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(4)Reflects third-party costs directly attributable to the refinancing of our credit facilities and any amendments thereto.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3"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 xml:space="preserve">Adjusted EBIT for the Three Months Ended June 30, 2026 </w:t>
      </w:r>
    </w:p>
    <w:p>
      <w:pPr>
        <w:pStyle w:val="TextBody"/>
        <w:bidi w:val="0"/>
        <w:spacing w:before="0" w:after="0"/>
        <w:ind w:left="0" w:right="0" w:hanging="556"/>
        <w:jc w:val="left"/>
        <w:rPr/>
      </w:pPr>
      <w:r>
        <w:rPr/>
      </w:r>
    </w:p>
    <w:p>
      <w:pPr>
        <w:pStyle w:val="TextBody"/>
        <w:bidi w:val="0"/>
        <w:spacing w:before="0" w:after="0"/>
        <w:ind w:left="0" w:right="0" w:hanging="556"/>
        <w:jc w:val="left"/>
        <w:rPr/>
      </w:pPr>
      <w:r>
        <w:rPr/>
        <w:drawing>
          <wp:inline distT="0" distB="0" distL="0" distR="0">
            <wp:extent cx="6286500" cy="1600200"/>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6286500" cy="1600200"/>
                    </a:xfrm>
                    <a:prstGeom prst="rect">
                      <a:avLst/>
                    </a:prstGeom>
                  </pic:spPr>
                </pic:pic>
              </a:graphicData>
            </a:graphic>
          </wp:inline>
        </w:drawing>
      </w:r>
      <w:bookmarkStart w:id="2" w:name="i-3"/>
      <w:bookmarkEnd w:id="2"/>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31F20"/>
          <w:sz w:val="20"/>
        </w:rPr>
        <w:t xml:space="preserve">, net income increased by </w:t>
      </w:r>
      <w:r>
        <w:rPr>
          <w:rFonts w:ascii="Times New Roman;serif" w:hAnsi="Times New Roman;serif"/>
          <w:b w:val="false"/>
          <w:color w:val="000000"/>
          <w:sz w:val="20"/>
        </w:rPr>
        <w:t>$14 million</w:t>
      </w:r>
      <w:r>
        <w:rPr>
          <w:color w:val="231F20"/>
        </w:rPr>
        <w:t xml:space="preserve"> </w:t>
      </w:r>
      <w:r>
        <w:rPr>
          <w:rFonts w:ascii="Times New Roman;serif" w:hAnsi="Times New Roman;serif"/>
          <w:b w:val="false"/>
          <w:color w:val="231F20"/>
          <w:sz w:val="20"/>
        </w:rPr>
        <w:t xml:space="preserve">versus the prior period as discussed above within </w:t>
      </w:r>
      <w:r>
        <w:rPr>
          <w:rFonts w:ascii="Times New Roman;serif" w:hAnsi="Times New Roman;serif"/>
          <w:b w:val="false"/>
          <w:i/>
          <w:color w:val="231F20"/>
          <w:sz w:val="20"/>
        </w:rPr>
        <w:t>Results of Operations for</w:t>
      </w:r>
      <w:r>
        <w:rPr>
          <w:color w:val="000000"/>
          <w:shd w:fill="FFFFFF" w:val="clear"/>
        </w:rPr>
        <w:t xml:space="preserve"> </w:t>
      </w:r>
      <w:r>
        <w:rPr>
          <w:rFonts w:ascii="Times New Roman;serif" w:hAnsi="Times New Roman;serif"/>
          <w:b w:val="false"/>
          <w:i/>
          <w:color w:val="000000"/>
          <w:sz w:val="20"/>
          <w:shd w:fill="FFFFFF" w:val="clear"/>
        </w:rPr>
        <w:t>Three and Six Months Ended June 30, 2026</w:t>
      </w:r>
      <w:r>
        <w:rPr>
          <w:rFonts w:ascii="Times New Roman;serif" w:hAnsi="Times New Roman;serif"/>
          <w:b w:val="false"/>
          <w:color w:val="231F20"/>
          <w:sz w:val="20"/>
        </w:rPr>
        <w:t>.</w:t>
      </w:r>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 June 30, 2026</w:t>
      </w:r>
      <w:r>
        <w:rPr>
          <w:rFonts w:ascii="Times New Roman;serif" w:hAnsi="Times New Roman;serif"/>
          <w:b w:val="false"/>
          <w:color w:val="231F20"/>
          <w:sz w:val="20"/>
        </w:rPr>
        <w:t xml:space="preserve">, Adjusted EBIT increased by $28 million compared to the prior period, driven primarily by $16 million of higher volumes, $10 million of higher productivity, $8 million of pricing net of inflation pass-through, $4 million of lower RD&amp;E costs, and $3 million of favorable product mix. These increases were partially offset by $8 million of commodity, transportation, and energy inflation and $5 million of unfavorable foreign currency impacts. </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During the three months ended June 30, 2026, we saw volume growth across all verticals. Gasoline growth was driven by new application launches and program ramp-ups in Europe, India, and South America. Diesel growth was due to strong demand for light commercial vehicles and pickup trucks in Europe, Asia and South America, and program ramp-ups in India. Commercial vehicle and industrials growth was driven by strong on-highway demand in China following launches and North America Gensets for data centers. Aftermarket volumes increased in Europe, China, and Australia, resulting in a favorable product mix.</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 xml:space="preserve">The strong operational productivity from our ability to flex our variable cost structure while driving sustained fixed cost productivity was partially offset by year-over-year labor inflation and higher stock based compensation. </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Losses in foreign currency for the three months ended June 30, 2026 were primarily driven by a strong Chinese Yuan and Japanese Yen, partially offset by gains from our derivatives for a $5 million decrease in Adjusted EBIT.</w:t>
      </w:r>
    </w:p>
    <w:p>
      <w:pPr>
        <w:pStyle w:val="TextBody"/>
        <w:bidi w:val="0"/>
        <w:spacing w:lineRule="auto" w:line="288" w:before="200" w:after="283"/>
        <w:ind w:left="0" w:right="0" w:hanging="556"/>
        <w:jc w:val="left"/>
        <w:rPr>
          <w:rFonts w:ascii="Times New Roman;serif" w:hAnsi="Times New Roman;serif"/>
          <w:b/>
          <w:i/>
          <w:color w:val="000000"/>
          <w:sz w:val="20"/>
        </w:rPr>
      </w:pPr>
      <w:r>
        <w:rPr>
          <w:rFonts w:ascii="Times New Roman;serif" w:hAnsi="Times New Roman;serif"/>
          <w:b/>
          <w:i/>
          <w:color w:val="000000"/>
          <w:sz w:val="20"/>
        </w:rPr>
        <w:t>Adjusted EBIT for the Six Months Ended June 30, 2026</w:t>
      </w:r>
    </w:p>
    <w:p>
      <w:pPr>
        <w:pStyle w:val="TextBody"/>
        <w:bidi w:val="0"/>
        <w:spacing w:before="200" w:after="283"/>
        <w:ind w:left="0" w:right="0" w:hanging="556"/>
        <w:jc w:val="left"/>
        <w:rPr/>
      </w:pPr>
      <w:r>
        <w:rPr/>
        <w:drawing>
          <wp:inline distT="0" distB="0" distL="0" distR="0">
            <wp:extent cx="6286500" cy="1600200"/>
            <wp:effectExtent l="0" t="0" r="0" b="0"/>
            <wp:docPr id="3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4" descr=""/>
                    <pic:cNvPicPr>
                      <a:picLocks noChangeAspect="1" noChangeArrowheads="1"/>
                    </pic:cNvPicPr>
                  </pic:nvPicPr>
                  <pic:blipFill>
                    <a:blip r:embed="rId5"/>
                    <a:stretch>
                      <a:fillRect/>
                    </a:stretch>
                  </pic:blipFill>
                  <pic:spPr bwMode="auto">
                    <a:xfrm>
                      <a:off x="0" y="0"/>
                      <a:ext cx="6286500" cy="1600200"/>
                    </a:xfrm>
                    <a:prstGeom prst="rect">
                      <a:avLst/>
                    </a:prstGeom>
                  </pic:spPr>
                </pic:pic>
              </a:graphicData>
            </a:graphic>
          </wp:inline>
        </w:drawing>
      </w:r>
      <w:bookmarkStart w:id="3" w:name="i-4"/>
      <w:bookmarkEnd w:id="3"/>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231F20"/>
          <w:sz w:val="20"/>
        </w:rPr>
        <w:t xml:space="preserve">, net income increased by </w:t>
      </w:r>
      <w:r>
        <w:rPr>
          <w:rFonts w:ascii="Times New Roman;serif" w:hAnsi="Times New Roman;serif"/>
          <w:b w:val="false"/>
          <w:color w:val="000000"/>
          <w:sz w:val="20"/>
        </w:rPr>
        <w:t>$47 million</w:t>
      </w:r>
      <w:r>
        <w:rPr>
          <w:color w:val="231F20"/>
        </w:rPr>
        <w:t xml:space="preserve"> </w:t>
      </w:r>
      <w:r>
        <w:rPr>
          <w:rFonts w:ascii="Times New Roman;serif" w:hAnsi="Times New Roman;serif"/>
          <w:b w:val="false"/>
          <w:color w:val="231F20"/>
          <w:sz w:val="20"/>
        </w:rPr>
        <w:t xml:space="preserve">versus the prior period as discussed above within </w:t>
      </w:r>
      <w:r>
        <w:rPr>
          <w:rFonts w:ascii="Times New Roman;serif" w:hAnsi="Times New Roman;serif"/>
          <w:b w:val="false"/>
          <w:i/>
          <w:color w:val="231F20"/>
          <w:sz w:val="20"/>
        </w:rPr>
        <w:t>Results of Operations for</w:t>
      </w:r>
      <w:r>
        <w:rPr>
          <w:color w:val="000000"/>
          <w:shd w:fill="FFFFFF" w:val="clear"/>
        </w:rPr>
        <w:t xml:space="preserve"> </w:t>
      </w:r>
      <w:r>
        <w:rPr>
          <w:rFonts w:ascii="Times New Roman;serif" w:hAnsi="Times New Roman;serif"/>
          <w:b w:val="false"/>
          <w:i/>
          <w:color w:val="000000"/>
          <w:sz w:val="20"/>
          <w:shd w:fill="FFFFFF" w:val="clear"/>
        </w:rPr>
        <w:t>Three and Six Months Ended June 30, 2026</w:t>
      </w:r>
      <w:r>
        <w:rPr>
          <w:rFonts w:ascii="Times New Roman;serif" w:hAnsi="Times New Roman;serif"/>
          <w:b w:val="false"/>
          <w:color w:val="231F20"/>
          <w:sz w:val="20"/>
        </w:rPr>
        <w:t>.</w:t>
      </w:r>
    </w:p>
    <w:p>
      <w:pPr>
        <w:pStyle w:val="TextBody"/>
        <w:bidi w:val="0"/>
        <w:spacing w:lineRule="auto" w:line="288" w:before="200" w:after="283"/>
        <w:ind w:left="0" w:right="0" w:firstLine="432"/>
        <w:jc w:val="both"/>
        <w:rPr/>
      </w:pPr>
      <w:r>
        <w:rPr>
          <w:rFonts w:ascii="Times New Roman;serif" w:hAnsi="Times New Roman;serif"/>
          <w:b w:val="false"/>
          <w:color w:val="231F20"/>
          <w:sz w:val="20"/>
        </w:rPr>
        <w:t xml:space="preserve">For the </w:t>
      </w:r>
      <w:r>
        <w:rPr>
          <w:rFonts w:ascii="Times New Roman;serif" w:hAnsi="Times New Roman;serif"/>
          <w:b w:val="false"/>
          <w:color w:val="000000"/>
          <w:sz w:val="20"/>
        </w:rPr>
        <w:t>six months ended June 30, 2026,</w:t>
      </w:r>
      <w:r>
        <w:rPr>
          <w:color w:val="231F20"/>
        </w:rPr>
        <w:t xml:space="preserve"> </w:t>
      </w:r>
      <w:r>
        <w:rPr>
          <w:rFonts w:ascii="Times New Roman;serif" w:hAnsi="Times New Roman;serif"/>
          <w:b w:val="false"/>
          <w:color w:val="231F20"/>
          <w:sz w:val="20"/>
        </w:rPr>
        <w:t xml:space="preserve">Adjusted EBIT increased by $48 million compared to the prior period, driven primarily by $35 million of higher volumes, $11 million of lower RD&amp;E costs, $8 million of favorable foreign currency impacts, and $7 million of favorable product mix. These increases were partially offset by $6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commodity, transportation, and energy inflation, $4 million of lower productivity, and $3 million of pricing net of inflation pass-through. </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During the six months ended June 30, 2026, we saw volume growth across all verticals. Gasoline growth was driven by new application launches and program ramp-ups in Europe, India, and South America. Diesel growth was due to strong demand for light commercial vehicles and pickup trucks in Europe, Asia, and South America and program ramp-ups in India. Commercial vehicle volume growth was driven by higher on-highway demand in Asia from new launches and following low volumes in the prior period and strong demand in China and North America for Gensets for data centers. Aftermarket volumes increased in Europe, India, China, and Australia for commercial vehicle parts, resulting in favorable mix.</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 xml:space="preserve">The increased productivity from our ability to flex our variable cost structure while driving sustained fixed cost productivity was offset by year-over-year labor inflation, higher stock-based compensation, and one-time expenses. </w:t>
      </w:r>
    </w:p>
    <w:p>
      <w:pPr>
        <w:pStyle w:val="TextBody"/>
        <w:bidi w:val="0"/>
        <w:spacing w:lineRule="auto" w:line="288" w:before="200" w:after="283"/>
        <w:ind w:left="0" w:right="0" w:firstLine="432"/>
        <w:jc w:val="both"/>
        <w:rPr>
          <w:rFonts w:ascii="Times New Roman;serif" w:hAnsi="Times New Roman;serif"/>
          <w:b w:val="false"/>
          <w:color w:val="231F20"/>
          <w:sz w:val="20"/>
        </w:rPr>
      </w:pPr>
      <w:r>
        <w:rPr>
          <w:rFonts w:ascii="Times New Roman;serif" w:hAnsi="Times New Roman;serif"/>
          <w:b w:val="false"/>
          <w:color w:val="231F20"/>
          <w:sz w:val="20"/>
        </w:rPr>
        <w:t>Gains in foreign currency from translational, transactional, and hedging effects in the six months ended June 30, 2026 were primarily driven by a stronger Chinese Yuan-to-U.S. dollar versus the prior period, accounting for an $8 million increase in Adjusted EBIT.</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tbl>
      <w:tblPr>
        <w:tblW w:w="7473" w:type="dxa"/>
        <w:jc w:val="left"/>
        <w:tblInd w:w="0" w:type="dxa"/>
        <w:tblLayout w:type="fixed"/>
        <w:tblCellMar>
          <w:top w:w="28" w:type="dxa"/>
          <w:left w:w="28" w:type="dxa"/>
          <w:bottom w:w="28" w:type="dxa"/>
          <w:right w:w="28" w:type="dxa"/>
        </w:tblCellMar>
      </w:tblPr>
      <w:tblGrid>
        <w:gridCol w:w="1891"/>
        <w:gridCol w:w="1660"/>
        <w:gridCol w:w="1669"/>
        <w:gridCol w:w="211"/>
        <w:gridCol w:w="466"/>
        <w:gridCol w:w="109"/>
        <w:gridCol w:w="109"/>
        <w:gridCol w:w="109"/>
        <w:gridCol w:w="109"/>
        <w:gridCol w:w="289"/>
        <w:gridCol w:w="639"/>
        <w:gridCol w:w="212"/>
      </w:tblGrid>
      <w:tr>
        <w:trPr/>
        <w:tc>
          <w:tcPr>
            <w:tcW w:w="1891"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2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22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Facility - available borrowing capacity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Facility - borrowings or letters of credit outstanding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Facilities - principal outstanding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 principal outstanding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Bilateral letter of credit facility - utilized capacity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18, 2026, we entered into the Second Amendment to the Restatement Agreement, which reduced the Applicable Rate to the Adjusted Term SOFR Rate plus 1.75% per annum in the case of Term Benchmark Loans and the Alternate Base Rate plus 0.75% per annum in the case of ABR Loans. Additionally, the Second Amendment reduced the applicable margin for revolving borrowings to a range of 1.75% to 1.25% per annum in the case of Term Benchmark Loans and 0.75% to 0.25% per annum in the case of ABR loans. We also made an early debt repayment of $50 million on our 2025 Dollar Term Facility.</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paid cash dividends of $31 million. On July 29, 2026, we declared a cash dividend of $0.08 per share of Common Stock, payable on September 15, 2026, to shareholders of record as of September 1, 2026.</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employ several means to manage our liquidity, and our sources of financing include cash flows from operations, cash and cash equivalents on hand, the 2032 Senior Notes, and our Credit Agreement, including our 2025 Dollar Term Facility and our New Revolving Facility. We expect to continue investing in our facilities as we expand our manufacturing capacity for new product launches and invest in new technologies and strategic growth opportunities, in particular in connection with our zero-emission technologies. We believe the combination of expected cash flows, the term loan borrowings, the 2032 Senior Notes, and the New Revolving Facility, will provide us with adequate liquidity to support the Company's operations and investments in strategic growth opportunities through at least the next 12 months. From time-to-time, we may opportunistically access the debt or equity capital markets, or otherwise pursue financing transactions, to supplement our sources of liquidity.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 2025, the Board of Directors authorized a $250 million share repurchase program valid from January 1, 2026, until December 31, 2026. During the six months ended June 30, 2026, we repurchased $115 million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both"/>
        <w:rPr/>
      </w:pPr>
      <w:r>
        <w:rPr>
          <w:rFonts w:ascii="Times New Roman;serif" w:hAnsi="Times New Roman;serif"/>
          <w:b w:val="false"/>
          <w:color w:val="000000"/>
          <w:sz w:val="20"/>
        </w:rPr>
        <w:t xml:space="preserve">Stock, with $135 million remaining under the share repurchase program as of that date. These repurchases include a total of 2,500,000 shares repurchased from funds affiliated with Oaktree Capital Management, L.P., a related party, for $50 million. We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We are not obligated to purchase any shares under the share repurchase program, and the program may be suspended, modified, or discontinued at any time without prior notice. For more information, see Item 2. </w:t>
      </w:r>
      <w:r>
        <w:rPr>
          <w:rFonts w:ascii="Times New Roman;serif" w:hAnsi="Times New Roman;serif"/>
          <w:b w:val="false"/>
          <w:i/>
          <w:color w:val="000000"/>
          <w:sz w:val="20"/>
        </w:rPr>
        <w:t>Unregistered Sales of Equity Securities and Use of Proceeds</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Cash Flow Summary for the Six Months Ended June 30, 2026 </w:t>
      </w:r>
    </w:p>
    <w:tbl>
      <w:tblPr>
        <w:tblW w:w="7509" w:type="dxa"/>
        <w:jc w:val="left"/>
        <w:tblInd w:w="0" w:type="dxa"/>
        <w:tblLayout w:type="fixed"/>
        <w:tblCellMar>
          <w:top w:w="28" w:type="dxa"/>
          <w:left w:w="28" w:type="dxa"/>
          <w:bottom w:w="28" w:type="dxa"/>
          <w:right w:w="28" w:type="dxa"/>
        </w:tblCellMar>
      </w:tblPr>
      <w:tblGrid>
        <w:gridCol w:w="2016"/>
        <w:gridCol w:w="1768"/>
        <w:gridCol w:w="1781"/>
        <w:gridCol w:w="211"/>
        <w:gridCol w:w="466"/>
        <w:gridCol w:w="109"/>
        <w:gridCol w:w="109"/>
        <w:gridCol w:w="109"/>
        <w:gridCol w:w="109"/>
        <w:gridCol w:w="211"/>
        <w:gridCol w:w="46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76" w:before="15" w:after="283"/>
              <w:jc w:val="center"/>
              <w:rPr>
                <w:color w:val="000000"/>
                <w:shd w:fill="FFFFFF" w:val="clear"/>
              </w:rPr>
            </w:pPr>
            <w:r>
              <w:rPr>
                <w:color w:val="000000"/>
                <w:shd w:fill="FFFFFF" w:val="clear"/>
              </w:rPr>
              <w:t> </w:t>
            </w:r>
          </w:p>
          <w:p>
            <w:pPr>
              <w:pStyle w:val="TableContents"/>
              <w:bidi w:val="0"/>
              <w:spacing w:lineRule="auto" w:line="276" w:before="15" w:after="283"/>
              <w:jc w:val="center"/>
              <w:rPr>
                <w:color w:val="000000"/>
                <w:shd w:fill="FFFFFF" w:val="clear"/>
              </w:rPr>
            </w:pPr>
            <w:r>
              <w:rPr>
                <w:color w:val="000000"/>
                <w:shd w:fill="FFFFFF" w:val="clear"/>
              </w:rPr>
              <w:t> </w:t>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(Dollars in millions) </w:t>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w:t>
            </w:r>
          </w:p>
        </w:tc>
        <w:tc>
          <w:tcPr>
            <w:tcW w:w="7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7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55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7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556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restricted cash</w:t>
            </w:r>
          </w:p>
        </w:tc>
        <w:tc>
          <w:tcPr>
            <w:tcW w:w="78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increased by $29 million for the six months ended June 30, 2026 compared to the prior period. The increase was primarily driven by $32 million of higher net income net of non-cash charges and $63 million of favorable impact from changes in other assets and liabilities, partially offset by $66 million of unfavorable impacts from working capital changes.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Cash flow used for investing activities increased by $12 million for the six months ended June 30, 2026 compared to the prior period. The increase was driven by $5 million in higher capital expenditures on property, plant and equipment versus the prior period and $7 million in reduced proceeds from our cross currency swaps.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Cash used for financing activities was $222 million for the six months ended June 30, 2026 compared with $89 million in the prior period. During the six months ended June 30, 2026, we made payments of $115 million for the repurchase of Common Stock under our share repurchase program, debt repayments of $110 million, and payments of $31 million for dividends on our Common Stock. These payments were partially offset by $56 million of proceeds from our Credit Facilities.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In comparison, cash used for financing activities was $89 million for the six months ended June 30, 2025, primarily driven by debt repayments of $73 million, payments of $52 million for Common Stock repurchases, and payments of $25 million for dividends on our Common Stock. These payments were partially offset by proceeds of $68 million from the Credit Facilities. </w:t>
      </w:r>
    </w:p>
    <w:p>
      <w:pPr>
        <w:pStyle w:val="TextBody"/>
        <w:bidi w:val="0"/>
        <w:spacing w:before="200" w:after="283"/>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 </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The preparation of our Consolidated Interim Financial Statements in accordance with GAAP is based on the selection and application of accounting policies that require us to make significant estimates and assumptions about the effects of matters that are inherently uncertain. Actual results could differ from our estimates and assumptions, and any such differences could be material to our financial statements.</w:t>
      </w:r>
      <w:r>
        <w:rPr>
          <w:color w:val="000000"/>
        </w:rPr>
        <w:t xml:space="preserve"> </w:t>
      </w:r>
      <w:r>
        <w:rPr>
          <w:rFonts w:ascii="Times New Roman;serif" w:hAnsi="Times New Roman;serif"/>
          <w:b w:val="false"/>
          <w:color w:val="000000"/>
          <w:sz w:val="20"/>
        </w:rPr>
        <w:t xml:space="preserve">Our critical accounting policies and estimates are summarized in the “Management’s Discussion and Analysis of Financial Condition and Results of Operations” section of our 2025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the Consolidated Interim Financial Statements for further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This Quarterly Report on Form 10-Q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w:t>
      </w:r>
      <w:r>
        <w:rPr>
          <w:rFonts w:ascii="Times New Roman;serif" w:hAnsi="Times New Roman;serif"/>
          <w:b w:val="false"/>
          <w:color w:val="000000"/>
          <w:sz w:val="20"/>
          <w:shd w:fill="FFFFFF" w:val="clear"/>
        </w:rPr>
        <w:t>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w:t>
      </w:r>
      <w:r>
        <w:rPr>
          <w:rFonts w:ascii="Times New Roman;serif" w:hAnsi="Times New Roman;serif"/>
          <w:b w:val="false"/>
          <w:color w:val="000000"/>
          <w:sz w:val="20"/>
        </w:rPr>
        <w:t>.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 (13) 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 (19) 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information technology and data privacy considerations, including cybersecurity and other security concerns; (24) our substantial indebtedness and restrictive covenants related to such indebtedness; (25) tax considerations; (26) our ability to raise capital; (27) our pension funding obligations; or (28) payment of dividends and share repurchases. For a further discussion of these and other risks, refer to Part I, Item 1A. "Risk Factors" of our 2025 Form 10-K.</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firstLine="432"/>
        <w:jc w:val="both"/>
        <w:rPr/>
      </w:pPr>
      <w:r>
        <w:rPr/>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net fair value of all financial instruments with exposure to currency risk was $90 million. The potential loss or gain in fair value for such financial instruments from a hypothetical 10% adverse or favorable change in quoted currency exchange rates would be $291 million and $(327) million, respectively, at June 30, 2026,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50"/>
        <w:jc w:val="both"/>
        <w:rPr/>
      </w:pPr>
      <w:r>
        <w:rPr>
          <w:rFonts w:ascii="Times New Roman;serif" w:hAnsi="Times New Roman;serif"/>
          <w:b w:val="false"/>
          <w:color w:val="000000"/>
          <w:sz w:val="20"/>
        </w:rPr>
        <w:t xml:space="preserve">There have been no other material changes to the Company’s quantitative and qualitative disclosures about interest rate or commodity price risks as disclosed in Part II, Item 7A, </w:t>
      </w:r>
      <w:r>
        <w:rPr>
          <w:rFonts w:ascii="Times New Roman;serif" w:hAnsi="Times New Roman;serif"/>
          <w:b w:val="false"/>
          <w:i/>
          <w:color w:val="000000"/>
          <w:sz w:val="20"/>
        </w:rPr>
        <w:t>Quantitative and Qualitative Disclosures About Market Risks</w:t>
      </w:r>
      <w:r>
        <w:rPr>
          <w:rFonts w:ascii="Times New Roman;serif" w:hAnsi="Times New Roman;serif"/>
          <w:b w:val="false"/>
          <w:color w:val="000000"/>
          <w:sz w:val="20"/>
        </w:rPr>
        <w:t xml:space="preserve">, in our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Form 10-K. The Company does not use financial instruments for trading or other speculative purposes.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June 30, 2026.</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200" w:after="283"/>
        <w:ind w:left="0" w:right="0" w:firstLine="432"/>
        <w:jc w:val="both"/>
        <w:rPr/>
      </w:pPr>
      <w:r>
        <w:rPr/>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ind w:left="0" w:right="0" w:firstLine="432"/>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lawsuits, claims, and proceedings incident to the operation of our businesses, including those pertaining to government contracts, product liability, prior acquisitions and divestitures, product safety, environmental, safety and health, intellectual property, employment and employee benefit plans, intellectual property,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pStyle w:val="TextBody"/>
        <w:bidi w:val="0"/>
        <w:spacing w:lineRule="auto" w:line="288" w:before="200" w:after="283"/>
        <w:ind w:left="0" w:right="0" w:firstLine="432"/>
        <w:jc w:val="both"/>
        <w:rPr/>
      </w:pPr>
      <w:r>
        <w:rPr>
          <w:rFonts w:ascii="Times New Roman;serif" w:hAnsi="Times New Roman;serif"/>
          <w:b w:val="false"/>
          <w:color w:val="000000"/>
          <w:sz w:val="20"/>
        </w:rPr>
        <w:t xml:space="preserve">For additional information regarding our legal proceedings, see the discussion under Note 20,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231F20"/>
          <w:sz w:val="20"/>
        </w:rPr>
        <w:t>of the Notes to the Consolidated Interim Financial Statements, which is incorporated by reference into this Part II, Item 1.</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risks described under "Risk Factors” in our 2025 Form 10-K. In addition to the other information set forth in this Quarterly Report on Form 10-Q, you should carefully consider the factors discussed under “Risk Factors” in our 2025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 </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On December 3, 2025, the Board of Directors authorized a $250 million share repurchase program valid from January 1, 2026, until December 31, 2026. The Company may repurchase shares from time to time under the program through various methods, including in open market transactions, block trades, privately negotiated transactions, and otherwise.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 The following table summarizes our share repurchase activity for the three months ended June 30, 2026, and additional information regarding our share repurchase program:</w:t>
      </w:r>
    </w:p>
    <w:tbl>
      <w:tblPr>
        <w:tblW w:w="10205" w:type="dxa"/>
        <w:jc w:val="left"/>
        <w:tblInd w:w="0" w:type="dxa"/>
        <w:tblLayout w:type="fixed"/>
        <w:tblCellMar>
          <w:top w:w="28" w:type="dxa"/>
          <w:left w:w="28" w:type="dxa"/>
          <w:bottom w:w="28" w:type="dxa"/>
          <w:right w:w="28" w:type="dxa"/>
        </w:tblCellMar>
      </w:tblPr>
      <w:tblGrid>
        <w:gridCol w:w="362"/>
        <w:gridCol w:w="319"/>
        <w:gridCol w:w="324"/>
        <w:gridCol w:w="109"/>
        <w:gridCol w:w="109"/>
        <w:gridCol w:w="109"/>
        <w:gridCol w:w="770"/>
        <w:gridCol w:w="432"/>
        <w:gridCol w:w="434"/>
        <w:gridCol w:w="109"/>
        <w:gridCol w:w="109"/>
        <w:gridCol w:w="109"/>
        <w:gridCol w:w="261"/>
        <w:gridCol w:w="762"/>
        <w:gridCol w:w="134"/>
        <w:gridCol w:w="109"/>
        <w:gridCol w:w="109"/>
        <w:gridCol w:w="109"/>
        <w:gridCol w:w="109"/>
        <w:gridCol w:w="109"/>
        <w:gridCol w:w="109"/>
        <w:gridCol w:w="109"/>
        <w:gridCol w:w="903"/>
        <w:gridCol w:w="598"/>
        <w:gridCol w:w="600"/>
        <w:gridCol w:w="109"/>
        <w:gridCol w:w="109"/>
        <w:gridCol w:w="109"/>
        <w:gridCol w:w="336"/>
        <w:gridCol w:w="1891"/>
        <w:gridCol w:w="173"/>
        <w:gridCol w:w="162"/>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Common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 or Program</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595,168 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595,168 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151,476,895 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151,476,895 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503,162 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503,162 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134,727,636 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1,098,330 </w:t>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1,098,330 </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134,727,636 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Excludes shares withheld to satisfy tax withholding obligations in connection with the vesting of equity awards.</w:t>
      </w:r>
    </w:p>
    <w:p>
      <w:pPr>
        <w:pStyle w:val="TextBody"/>
        <w:bidi w:val="0"/>
        <w:spacing w:lineRule="auto" w:line="288" w:before="200" w:after="283"/>
        <w:ind w:left="0" w:right="0" w:firstLine="432"/>
        <w:jc w:val="both"/>
        <w:rPr/>
      </w:pPr>
      <w:r>
        <w:rPr>
          <w:rFonts w:ascii="Times New Roman;serif" w:hAnsi="Times New Roman;serif"/>
          <w:b w:val="false"/>
          <w:color w:val="000000"/>
          <w:sz w:val="20"/>
        </w:rPr>
        <w:t>Other than the repurchases reflected in the table above,</w:t>
      </w:r>
      <w:r>
        <w:rPr>
          <w:color w:val="231F20"/>
        </w:rPr>
        <w:t xml:space="preserve"> </w:t>
      </w:r>
      <w:r>
        <w:rPr>
          <w:rFonts w:ascii="Times New Roman;serif" w:hAnsi="Times New Roman;serif"/>
          <w:b w:val="false"/>
          <w:color w:val="000000"/>
          <w:sz w:val="20"/>
        </w:rPr>
        <w:t>there were no purchases of equity securities by the issuer or affiliated purchasers during the quarter ended June 30, 2026.</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43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Trading Agreements</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On June 2, 2026, Daniel Deiro, Senior Vice President, Global Customer Management &amp; General Manager, Japan/Korea, adopted a "Rule 10b5-1 trading arrangement" as such term is defined in Item 408(a) of Regulation S-K intended to satisfy Rule 10b5-1(c), to sell up to 50,000 shares of Common Stock between September 1, 2026 and May 21, 2027.</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On June 11, 2026, Julia Steyn, Director, adopted a "Rule 10b5-1 trading arrangement" as such term is defined in Item 408(a) of Regulation S-K intended to satisfy Rule 10b5-1(c), to sell up to 13,417 shares of Common Stock between September 10, 2026 and April 22, 2027.</w:t>
      </w:r>
    </w:p>
    <w:p>
      <w:pPr>
        <w:pStyle w:val="TextBody"/>
        <w:bidi w:val="0"/>
        <w:spacing w:lineRule="auto" w:line="288" w:before="200" w:after="283"/>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other director or Section 16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98"/>
        <w:gridCol w:w="1344"/>
        <w:gridCol w:w="1357"/>
        <w:gridCol w:w="109"/>
        <w:gridCol w:w="109"/>
        <w:gridCol w:w="109"/>
        <w:gridCol w:w="170"/>
        <w:gridCol w:w="170"/>
        <w:gridCol w:w="171"/>
        <w:gridCol w:w="109"/>
        <w:gridCol w:w="109"/>
        <w:gridCol w:w="109"/>
        <w:gridCol w:w="231"/>
        <w:gridCol w:w="231"/>
        <w:gridCol w:w="192"/>
        <w:gridCol w:w="109"/>
        <w:gridCol w:w="109"/>
        <w:gridCol w:w="109"/>
        <w:gridCol w:w="210"/>
        <w:gridCol w:w="210"/>
        <w:gridCol w:w="211"/>
        <w:gridCol w:w="109"/>
        <w:gridCol w:w="109"/>
        <w:gridCol w:w="109"/>
        <w:gridCol w:w="113"/>
        <w:gridCol w:w="113"/>
        <w:gridCol w:w="113"/>
        <w:gridCol w:w="113"/>
        <w:gridCol w:w="113"/>
        <w:gridCol w:w="113"/>
        <w:gridCol w:w="109"/>
        <w:gridCol w:w="109"/>
        <w:gridCol w:w="109"/>
        <w:gridCol w:w="251"/>
        <w:gridCol w:w="251"/>
        <w:gridCol w:w="36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455" w:type="dxa"/>
            <w:gridSpan w:val="24"/>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78" w:type="dxa"/>
            <w:gridSpan w:val="6"/>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Filed/ Furnished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20"/>
                  <w:u w:val="single"/>
                </w:rPr>
                <w:t>Third Amended and Restated Certificate of Incorporation of Garrett Motion Inc., dated May 29,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07/25/2024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erif" w:hAnsi="Times New Roman;serif"/>
                  <w:b w:val="false"/>
                  <w:color w:val="000080"/>
                  <w:sz w:val="20"/>
                  <w:u w:val="single"/>
                </w:rPr>
                <w:t>Sixth</w:t>
              </w:r>
            </w:hyperlink>
            <w:hyperlink r:id="rId8">
              <w:r>
                <w:rPr>
                  <w:rStyle w:val="InternetLink"/>
                  <w:rFonts w:ascii="Times New Roman;serif" w:hAnsi="Times New Roman;serif"/>
                  <w:b w:val="false"/>
                  <w:color w:val="000080"/>
                  <w:sz w:val="20"/>
                  <w:u w:val="single"/>
                </w:rPr>
                <w:t xml:space="preserve"> Amended and Restated By-Laws of Garrett Motion Inc., dated </w:t>
              </w:r>
            </w:hyperlink>
            <w:hyperlink r:id="rId9">
              <w:r>
                <w:rPr>
                  <w:rStyle w:val="InternetLink"/>
                  <w:rFonts w:ascii="Times New Roman;serif" w:hAnsi="Times New Roman;serif"/>
                  <w:b w:val="false"/>
                  <w:color w:val="000080"/>
                  <w:sz w:val="20"/>
                  <w:u w:val="single"/>
                </w:rPr>
                <w:t>J</w:t>
              </w:r>
            </w:hyperlink>
            <w:hyperlink r:id="rId10">
              <w:r>
                <w:rPr>
                  <w:rStyle w:val="InternetLink"/>
                  <w:rFonts w:ascii="Times New Roman;serif" w:hAnsi="Times New Roman;serif"/>
                  <w:b w:val="false"/>
                  <w:color w:val="000080"/>
                  <w:sz w:val="20"/>
                  <w:u w:val="single"/>
                </w:rPr>
                <w:t>uly 22, 202</w:t>
              </w:r>
            </w:hyperlink>
            <w:hyperlink r:id="rId11">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07/27/2026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80"/>
                  <w:sz w:val="20"/>
                  <w:u w:val="single"/>
                </w:rPr>
                <w:t>Second</w:t>
              </w:r>
            </w:hyperlink>
            <w:hyperlink r:id="rId13">
              <w:r>
                <w:rPr>
                  <w:rStyle w:val="InternetLink"/>
                  <w:rFonts w:ascii="Times New Roman;serif" w:hAnsi="Times New Roman;serif"/>
                  <w:b w:val="false"/>
                  <w:color w:val="000080"/>
                  <w:sz w:val="20"/>
                  <w:u w:val="single"/>
                </w:rPr>
                <w:t xml:space="preserve"> Amendment, dated as of </w:t>
              </w:r>
            </w:hyperlink>
            <w:hyperlink r:id="rId14">
              <w:r>
                <w:rPr>
                  <w:rStyle w:val="InternetLink"/>
                  <w:rFonts w:ascii="Times New Roman;serif" w:hAnsi="Times New Roman;serif"/>
                  <w:b w:val="false"/>
                  <w:color w:val="000080"/>
                  <w:sz w:val="20"/>
                  <w:u w:val="single"/>
                </w:rPr>
                <w:t>May</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18</w:t>
              </w:r>
            </w:hyperlink>
            <w:hyperlink r:id="rId17">
              <w:r>
                <w:rPr>
                  <w:rStyle w:val="InternetLink"/>
                  <w:rFonts w:ascii="Times New Roman;serif" w:hAnsi="Times New Roman;serif"/>
                  <w:b w:val="false"/>
                  <w:color w:val="000080"/>
                  <w:sz w:val="20"/>
                  <w:u w:val="single"/>
                </w:rPr>
                <w:t>, 202</w:t>
              </w:r>
            </w:hyperlink>
            <w:hyperlink r:id="rId18">
              <w:r>
                <w:rPr>
                  <w:rStyle w:val="InternetLink"/>
                  <w:rFonts w:ascii="Times New Roman;serif" w:hAnsi="Times New Roman;serif"/>
                  <w:b w:val="false"/>
                  <w:color w:val="000080"/>
                  <w:sz w:val="20"/>
                  <w:u w:val="single"/>
                </w:rPr>
                <w:t>6</w:t>
              </w:r>
            </w:hyperlink>
            <w:hyperlink r:id="rId19">
              <w:r>
                <w:rPr>
                  <w:rStyle w:val="InternetLink"/>
                  <w:rFonts w:ascii="Times New Roman;serif" w:hAnsi="Times New Roman;serif"/>
                  <w:b w:val="false"/>
                  <w:color w:val="000080"/>
                  <w:sz w:val="20"/>
                  <w:u w:val="single"/>
                </w:rPr>
                <w:t>, to Amended and Restated Credit Agreement, dated as of January 30, 2025, among Garrett Motion Inc., Garrett LX I S.à r.l., Garrett Motion Holdings, Inc., Garrett Motion Sàrl, the lenders and issuing banks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05/20/2026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10_2-garrettboardco.htm">
              <w:r>
                <w:rPr>
                  <w:rStyle w:val="InternetLink"/>
                  <w:rFonts w:ascii="Times New Roman;serif" w:hAnsi="Times New Roman;serif"/>
                  <w:b w:val="false"/>
                  <w:color w:val="0000FF"/>
                  <w:sz w:val="20"/>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exhibit31_1-exx3112026q2.htm">
              <w:r>
                <w:rPr>
                  <w:rStyle w:val="InternetLink"/>
                  <w:rFonts w:ascii="Times New Roman;serif" w:hAnsi="Times New Roman;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8" w:type="dxa"/>
            <w:gridSpan w:val="6"/>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exhibit31_2-exx3122026q2.htm">
              <w:r>
                <w:rPr>
                  <w:rStyle w:val="InternetLink"/>
                  <w:rFonts w:ascii="Times New Roman;serif" w:hAnsi="Times New Roman;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5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78" w:type="dxa"/>
            <w:gridSpan w:val="6"/>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exhibit32_1-exx3212026q2.htm">
              <w:r>
                <w:rPr>
                  <w:rStyle w:val="InternetLink"/>
                  <w:rFonts w:ascii="Times New Roman;serif" w:hAnsi="Times New Roman;serif"/>
                  <w:b w:val="false"/>
                  <w:color w:val="000000"/>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exhibit32_2-exx3222026q2.htm">
              <w:r>
                <w:rPr>
                  <w:rStyle w:val="InternetLink"/>
                  <w:rFonts w:ascii="Times New Roman;serif" w:hAnsi="Times New Roman;serif"/>
                  <w:b w:val="false"/>
                  <w:color w:val="000000"/>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June 30, 2026, formatted in Inline Extensible Business Reporting Language (iXBRL) includes: (i) the Consolidated Interim Statements of Operations, (ii) the Consolidated Interim Statements of Comprehensive Income, (iii) the Consolidated Interim Balance Sheets, (iv) the Consolidated Interim Statements of Cash Flows, (v) the Consolidated Interim Statements of Equity (Deficit) and (vi) Notes to the Consolidated Interim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752" w:type="dxa"/>
        <w:jc w:val="left"/>
        <w:tblInd w:w="0" w:type="dxa"/>
        <w:tblLayout w:type="fixed"/>
        <w:tblCellMar>
          <w:top w:w="28" w:type="dxa"/>
          <w:left w:w="28" w:type="dxa"/>
          <w:bottom w:w="28" w:type="dxa"/>
          <w:right w:w="28" w:type="dxa"/>
        </w:tblCellMar>
      </w:tblPr>
      <w:tblGrid>
        <w:gridCol w:w="124"/>
        <w:gridCol w:w="109"/>
        <w:gridCol w:w="109"/>
        <w:gridCol w:w="413"/>
        <w:gridCol w:w="413"/>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bl>
    <w:tbl>
      <w:tblPr>
        <w:tblW w:w="2129" w:type="dxa"/>
        <w:jc w:val="left"/>
        <w:tblInd w:w="0" w:type="dxa"/>
        <w:tblLayout w:type="fixed"/>
        <w:tblCellMar>
          <w:top w:w="28" w:type="dxa"/>
          <w:left w:w="28" w:type="dxa"/>
          <w:bottom w:w="28" w:type="dxa"/>
          <w:right w:w="28" w:type="dxa"/>
        </w:tblCellMar>
      </w:tblPr>
      <w:tblGrid>
        <w:gridCol w:w="136"/>
        <w:gridCol w:w="119"/>
        <w:gridCol w:w="119"/>
        <w:gridCol w:w="513"/>
        <w:gridCol w:w="513"/>
        <w:gridCol w:w="72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17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ind w:left="0" w:right="0" w:firstLine="432"/>
                        <w:jc w:val="center"/>
                        <w:rPr/>
                      </w:pPr>
                      <w:r>
                        <w:rPr/>
                      </w:r>
                    </w:p>
                  </w:txbxContent>
                </v:textbox>
                <w10:wrap type="none"/>
              </v:rect>
            </w:pict>
          </mc:Fallback>
        </mc:AlternateContent>
      </w:r>
    </w:p>
    <w:p>
      <w:pPr>
        <w:pStyle w:val="TextBody"/>
        <w:bidi w:val="0"/>
        <w:spacing w:before="0" w:after="0"/>
        <w:ind w:left="0" w:right="0" w:firstLine="432"/>
        <w:jc w:val="left"/>
        <w:rPr/>
      </w:pPr>
      <w:r>
        <w:rPr/>
      </w:r>
    </w:p>
    <w:p>
      <w:pPr>
        <w:pStyle w:val="TextBody"/>
        <w:bidi w:val="0"/>
        <w:spacing w:before="200" w:after="283"/>
        <w:ind w:left="0" w:right="0" w:firstLine="432"/>
        <w:jc w:val="center"/>
        <w:rPr/>
      </w:pPr>
      <w:r>
        <w:rPr/>
      </w:r>
    </w:p>
    <w:p>
      <w:pPr>
        <w:pStyle w:val="TextBody"/>
        <w:bidi w:val="0"/>
        <w:spacing w:lineRule="auto" w:line="288" w:before="200" w:after="283"/>
        <w:ind w:left="0" w:right="0" w:firstLine="43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24" w:type="dxa"/>
        <w:jc w:val="left"/>
        <w:tblInd w:w="0" w:type="dxa"/>
        <w:tblLayout w:type="fixed"/>
        <w:tblCellMar>
          <w:top w:w="28" w:type="dxa"/>
          <w:left w:w="28" w:type="dxa"/>
          <w:bottom w:w="28" w:type="dxa"/>
          <w:right w:w="28" w:type="dxa"/>
        </w:tblCellMar>
      </w:tblPr>
      <w:tblGrid>
        <w:gridCol w:w="618"/>
        <w:gridCol w:w="544"/>
        <w:gridCol w:w="547"/>
        <w:gridCol w:w="265"/>
        <w:gridCol w:w="265"/>
        <w:gridCol w:w="265"/>
        <w:gridCol w:w="1256"/>
        <w:gridCol w:w="1256"/>
        <w:gridCol w:w="180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Garrett Motion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Olivier Rabiller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Olivier Rabiller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Deason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Sean Deason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ind w:left="0" w:right="0" w:firstLine="432"/>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NON-EMPLOYEE DIRECTOR COMPENSATION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1.0 Scope of application</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Eligible Directors (as defined below) on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Garrett Motion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shall be eligible to receive cash and equity compensation as set forth in this Non-Employee Director Compensation Program (this “</w:t>
      </w:r>
      <w:r>
        <w:rPr>
          <w:rFonts w:ascii="Times New Roman;serif" w:hAnsi="Times New Roman;serif"/>
          <w:b/>
          <w:i/>
          <w:color w:val="000000"/>
          <w:sz w:val="24"/>
        </w:rPr>
        <w:t>Program</w:t>
      </w:r>
      <w:r>
        <w:rPr>
          <w:color w:val="000000"/>
        </w:rPr>
        <w:t>”</w:t>
      </w:r>
      <w:r>
        <w:rPr>
          <w:rFonts w:ascii="Times New Roman;serif" w:hAnsi="Times New Roman;serif"/>
          <w:b w:val="false"/>
          <w:color w:val="000000"/>
          <w:sz w:val="24"/>
        </w:rPr>
        <w:t xml:space="preserv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2.0 Introduction and purpose</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(each, an “</w:t>
      </w:r>
      <w:r>
        <w:rPr>
          <w:rFonts w:ascii="Times New Roman;serif" w:hAnsi="Times New Roman;serif"/>
          <w:b/>
          <w:i/>
          <w:color w:val="000000"/>
          <w:sz w:val="24"/>
        </w:rPr>
        <w:t>Eligible Director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Program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w:t>
      </w:r>
    </w:p>
    <w:p>
      <w:pPr>
        <w:pStyle w:val="TextBody"/>
        <w:bidi w:val="0"/>
        <w:spacing w:lineRule="auto" w:line="288" w:before="360" w:after="283"/>
        <w:ind w:left="0" w:right="0" w:hanging="360"/>
        <w:jc w:val="left"/>
        <w:rPr>
          <w:rFonts w:ascii="Times New Roman;serif" w:hAnsi="Times New Roman;serif"/>
          <w:b/>
          <w:color w:val="000000"/>
          <w:sz w:val="24"/>
        </w:rPr>
      </w:pPr>
      <w:r>
        <w:rPr>
          <w:rFonts w:ascii="Times New Roman;serif" w:hAnsi="Times New Roman;serif"/>
          <w:b/>
          <w:color w:val="000000"/>
          <w:sz w:val="24"/>
        </w:rPr>
        <w:t>3.0Policies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3.1 Cash Fees</w:t>
      </w:r>
      <w:r>
        <w:rPr>
          <w:rFonts w:ascii="Times New Roman;serif" w:hAnsi="Times New Roman;serif"/>
          <w:b w:val="false"/>
          <w:color w:val="000000"/>
          <w:sz w:val="24"/>
          <w:u w:val="single"/>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The annual cash retainer fees (the “</w:t>
      </w:r>
      <w:r>
        <w:rPr>
          <w:rFonts w:ascii="Times New Roman;serif" w:hAnsi="Times New Roman;serif"/>
          <w:b/>
          <w:i/>
          <w:color w:val="000000"/>
          <w:sz w:val="24"/>
        </w:rPr>
        <w:t>Fees</w:t>
      </w:r>
      <w:r>
        <w:rPr>
          <w:color w:val="000000"/>
        </w:rPr>
        <w:t>”</w:t>
      </w:r>
      <w:r>
        <w:rPr>
          <w:rFonts w:ascii="Times New Roman;serif" w:hAnsi="Times New Roman;serif"/>
          <w:b w:val="false"/>
          <w:color w:val="000000"/>
          <w:sz w:val="24"/>
        </w:rPr>
        <w:t xml:space="preserve">) will be as follows: </w:t>
      </w:r>
    </w:p>
    <w:tbl>
      <w:tblPr>
        <w:tblW w:w="5915" w:type="dxa"/>
        <w:jc w:val="left"/>
        <w:tblInd w:w="0" w:type="dxa"/>
        <w:tblLayout w:type="fixed"/>
        <w:tblCellMar>
          <w:top w:w="28" w:type="dxa"/>
          <w:left w:w="28" w:type="dxa"/>
          <w:bottom w:w="28" w:type="dxa"/>
          <w:right w:w="28" w:type="dxa"/>
        </w:tblCellMar>
      </w:tblPr>
      <w:tblGrid>
        <w:gridCol w:w="1662"/>
        <w:gridCol w:w="1459"/>
        <w:gridCol w:w="1468"/>
        <w:gridCol w:w="226"/>
        <w:gridCol w:w="94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4"/>
                <w:u w:val="single"/>
              </w:rPr>
            </w:pPr>
            <w:r>
              <w:rPr>
                <w:rFonts w:ascii="Times New Roman;serif" w:hAnsi="Times New Roman;serif"/>
                <w:b/>
                <w:color w:val="000000"/>
                <w:sz w:val="24"/>
                <w:u w:val="single"/>
              </w:rPr>
              <w:t>Board Service</w:t>
            </w:r>
          </w:p>
        </w:tc>
        <w:tc>
          <w:tcPr>
            <w:tcW w:w="1326"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Base Retainer for each Eligible Director:</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100,000 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Additional Retainer for Independent Chairman:</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140,000 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4"/>
                <w:u w:val="single"/>
              </w:rPr>
            </w:pPr>
            <w:r>
              <w:rPr>
                <w:rFonts w:ascii="Times New Roman;serif" w:hAnsi="Times New Roman;serif"/>
                <w:b/>
                <w:color w:val="000000"/>
                <w:sz w:val="24"/>
                <w:u w:val="single"/>
              </w:rPr>
              <w:t>Committee Service</w:t>
            </w:r>
          </w:p>
        </w:tc>
        <w:tc>
          <w:tcPr>
            <w:tcW w:w="13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i/>
                <w:color w:val="000000"/>
                <w:sz w:val="24"/>
              </w:rPr>
            </w:pPr>
            <w:r>
              <w:rPr>
                <w:rFonts w:ascii="Times New Roman;serif" w:hAnsi="Times New Roman;serif"/>
                <w:b w:val="false"/>
                <w:i/>
                <w:color w:val="000000"/>
                <w:sz w:val="24"/>
              </w:rPr>
              <w:t>Committee Chair Annual Retainer:</w:t>
            </w:r>
          </w:p>
        </w:tc>
        <w:tc>
          <w:tcPr>
            <w:tcW w:w="13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Audit</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25,000 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Compensation</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20,000 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Nominating and Governance</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15,000 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i/>
                <w:color w:val="000000"/>
                <w:sz w:val="24"/>
              </w:rPr>
            </w:pPr>
            <w:r>
              <w:rPr>
                <w:rFonts w:ascii="Times New Roman;serif" w:hAnsi="Times New Roman;serif"/>
                <w:b w:val="false"/>
                <w:i/>
                <w:color w:val="000000"/>
                <w:sz w:val="24"/>
              </w:rPr>
              <w:t>Committee Member Annual Retainer:</w:t>
            </w:r>
          </w:p>
        </w:tc>
        <w:tc>
          <w:tcPr>
            <w:tcW w:w="13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Audit</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10,000 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Compensation</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firstLine="694"/>
              <w:jc w:val="left"/>
              <w:rPr>
                <w:rFonts w:ascii="Times New Roman;serif" w:hAnsi="Times New Roman;serif"/>
                <w:b w:val="false"/>
                <w:color w:val="000000"/>
                <w:sz w:val="24"/>
              </w:rPr>
            </w:pPr>
            <w:r>
              <w:rPr>
                <w:rFonts w:ascii="Times New Roman;serif" w:hAnsi="Times New Roman;serif"/>
                <w:b w:val="false"/>
                <w:color w:val="000000"/>
                <w:sz w:val="24"/>
              </w:rPr>
              <w:t>Nominating and Governance</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226"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946" w:type="dxa"/>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4"/>
              </w:rPr>
            </w:pPr>
            <w:r>
              <w:rPr>
                <w:rFonts w:ascii="Times New Roman;serif" w:hAnsi="Times New Roman;serif"/>
                <w:b w:val="false"/>
                <w:color w:val="000000"/>
                <w:sz w:val="24"/>
              </w:rPr>
              <w:t>7,500 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There will be no separate consideration for attendance at or participation in Board or Committee meetings or discussions or other activities undertaken in the course of Board service.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Fees will be paid in four equal quarterly installments in advance, on or about the first business day of January, April, July and October, except to the extent an Eligible Director has timely elected to defer such Fees in accordance with the terms of any Fee deferral program established by the Board. Fees will be prorated for partial quarters of service as a director, including to (a) a new director joining the Board as an Eligible Director, for the quarter in which the director joins the Board; (b) a director who becomes an Eligible Director during Board service, for the quarter in which Eligible Director status is attained; and (c) for the quarter in which an Eligible Director leaves the Board. Fees for partial quarters of service on committees will not be prorated but will reflect the committee assignments as of the date of payment. </w: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 xml:space="preserve">3.2 Equity Awards. </w:t>
      </w:r>
    </w:p>
    <w:p>
      <w:pPr>
        <w:pStyle w:val="TextBody"/>
        <w:bidi w:val="0"/>
        <w:spacing w:lineRule="auto" w:line="288" w:before="0" w:after="240"/>
        <w:jc w:val="both"/>
        <w:rPr/>
      </w:pPr>
      <w:r>
        <w:rPr>
          <w:rFonts w:ascii="Times New Roman;serif" w:hAnsi="Times New Roman;serif"/>
          <w:b w:val="false"/>
          <w:color w:val="000000"/>
          <w:sz w:val="24"/>
          <w:u w:val="single"/>
        </w:rPr>
        <w:t>3.2.1 General</w:t>
      </w:r>
      <w:r>
        <w:rPr>
          <w:rFonts w:ascii="Times New Roman;serif" w:hAnsi="Times New Roman;serif"/>
          <w:b w:val="false"/>
          <w:color w:val="000000"/>
          <w:sz w:val="24"/>
        </w:rPr>
        <w:t>. Eligible Directors shall be granted the equity awards described below. The awards described below shall be granted under and shall be subject to the terms and provisions of the Garrett Motion Inc. 2021 Long-Term Incentive Plan (such plan, as may be amended from time to time, the “</w:t>
      </w:r>
      <w:r>
        <w:rPr>
          <w:rFonts w:ascii="Times New Roman;serif" w:hAnsi="Times New Roman;serif"/>
          <w:b/>
          <w:i/>
          <w:color w:val="000000"/>
          <w:sz w:val="24"/>
        </w:rPr>
        <w:t>Equity Plan</w:t>
      </w:r>
      <w:r>
        <w:rPr>
          <w:color w:val="000000"/>
        </w:rPr>
        <w:t>”</w:t>
      </w:r>
      <w:r>
        <w:rPr>
          <w:rFonts w:ascii="Times New Roman;serif" w:hAnsi="Times New Roman;serif"/>
          <w:b w:val="false"/>
          <w:color w:val="000000"/>
          <w:sz w:val="24"/>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pStyle w:val="TextBody"/>
        <w:bidi w:val="0"/>
        <w:spacing w:lineRule="auto" w:line="288" w:before="0" w:after="240"/>
        <w:jc w:val="both"/>
        <w:rPr/>
      </w:pPr>
      <w:r>
        <w:rPr>
          <w:rFonts w:ascii="Times New Roman;serif" w:hAnsi="Times New Roman;serif"/>
          <w:b w:val="false"/>
          <w:color w:val="000000"/>
          <w:sz w:val="24"/>
          <w:u w:val="single"/>
        </w:rPr>
        <w:t>3.2.2 Annual Awards</w:t>
      </w:r>
      <w:r>
        <w:rPr>
          <w:rFonts w:ascii="Times New Roman;serif" w:hAnsi="Times New Roman;serif"/>
          <w:b w:val="false"/>
          <w:color w:val="000000"/>
          <w:sz w:val="24"/>
        </w:rPr>
        <w:t>. An Eligible Director who is serving on the Board as of the date of any annual meeting of the Company’s stockholders (the “</w:t>
      </w:r>
      <w:r>
        <w:rPr>
          <w:rFonts w:ascii="Times New Roman;serif" w:hAnsi="Times New Roman;serif"/>
          <w:b/>
          <w:i/>
          <w:color w:val="000000"/>
          <w:sz w:val="24"/>
        </w:rPr>
        <w:t>Annual Meeting</w:t>
      </w:r>
      <w:r>
        <w:rPr>
          <w:color w:val="000000"/>
        </w:rPr>
        <w:t>”</w:t>
      </w:r>
      <w:r>
        <w:rPr>
          <w:rFonts w:ascii="Times New Roman;serif" w:hAnsi="Times New Roman;serif"/>
          <w:b w:val="false"/>
          <w:color w:val="000000"/>
          <w:sz w:val="24"/>
        </w:rPr>
        <w:t>) and will continue to serve as an Eligible Director immediately following such Annual Meeting shall be automatically granted, on such date of the applicable Annual Meeting, a number of restricted stock units (“</w:t>
      </w:r>
      <w:r>
        <w:rPr>
          <w:rFonts w:ascii="Times New Roman;serif" w:hAnsi="Times New Roman;serif"/>
          <w:b/>
          <w:i/>
          <w:color w:val="000000"/>
          <w:sz w:val="24"/>
        </w:rPr>
        <w:t>RSUs</w:t>
      </w:r>
      <w:r>
        <w:rPr>
          <w:color w:val="000000"/>
        </w:rPr>
        <w:t>”</w:t>
      </w:r>
      <w:r>
        <w:rPr>
          <w:rFonts w:ascii="Times New Roman;serif" w:hAnsi="Times New Roman;serif"/>
          <w:b w:val="false"/>
          <w:color w:val="000000"/>
          <w:sz w:val="24"/>
        </w:rPr>
        <w:t>) with a total target value equal to $150,000 (the “</w:t>
      </w:r>
      <w:r>
        <w:rPr>
          <w:rFonts w:ascii="Times New Roman;serif" w:hAnsi="Times New Roman;serif"/>
          <w:b/>
          <w:i/>
          <w:color w:val="000000"/>
          <w:sz w:val="24"/>
        </w:rPr>
        <w:t>Target Value</w:t>
      </w:r>
      <w:r>
        <w:rPr>
          <w:color w:val="000000"/>
        </w:rPr>
        <w:t>”</w:t>
      </w:r>
      <w:r>
        <w:rPr>
          <w:rFonts w:ascii="Times New Roman;serif" w:hAnsi="Times New Roman;serif"/>
          <w:b w:val="false"/>
          <w:color w:val="000000"/>
          <w:sz w:val="24"/>
        </w:rPr>
        <w:t>). The RSUs described in this Section 2(b) shall be referred to herein as the “</w:t>
      </w:r>
      <w:r>
        <w:rPr>
          <w:rFonts w:ascii="Times New Roman;serif" w:hAnsi="Times New Roman;serif"/>
          <w:b/>
          <w:i/>
          <w:color w:val="000000"/>
          <w:sz w:val="24"/>
        </w:rPr>
        <w:t>Annual Awards</w:t>
      </w:r>
      <w:r>
        <w:rPr>
          <w:color w:val="000000"/>
        </w:rPr>
        <w:t>”</w:t>
      </w:r>
      <w:r>
        <w:rPr>
          <w:rFonts w:ascii="Times New Roman;serif" w:hAnsi="Times New Roman;serif"/>
          <w:b w:val="false"/>
          <w:color w:val="000000"/>
          <w:sz w:val="24"/>
        </w:rPr>
        <w:t>. Each Annual Award shall vest in full on the earlier of (i) the one-year anniversary of the grant date, (ii) the next Annual Meeting, (iii) death, (iv) disability or (v) the Eligible Director’s removal from the Board coincident with the occurrence of a Change in Control (such date, the “</w:t>
      </w:r>
      <w:r>
        <w:rPr>
          <w:rFonts w:ascii="Times New Roman;serif" w:hAnsi="Times New Roman;serif"/>
          <w:b/>
          <w:i/>
          <w:color w:val="000000"/>
          <w:sz w:val="24"/>
        </w:rPr>
        <w:t>Vesting Date</w:t>
      </w:r>
      <w:r>
        <w:rPr>
          <w:color w:val="000000"/>
        </w:rPr>
        <w:t>”</w:t>
      </w:r>
      <w:r>
        <w:rPr>
          <w:rFonts w:ascii="Times New Roman;serif" w:hAnsi="Times New Roman;serif"/>
          <w:b w:val="false"/>
          <w:color w:val="000000"/>
          <w:sz w:val="24"/>
        </w:rPr>
        <w:t xml:space="preserve">), subject to the Eligible Director continuing in service as an Eligible Director through the Vesting Date. The actual number of RSUs granted shall be determined by dividing the Target Value by the Fair Market Value of Shares on the date of the Annual Meeting. In the event the Eligible Director experiences a separation from service for any reason other than as described in clauses (iii) through (v) above, any unvested RSUs held by the Eligible Director as of the Eligible Director’s separation date shall be immediately forfeited to the Company without consideration. </w:t>
      </w:r>
    </w:p>
    <w:p>
      <w:pPr>
        <w:pStyle w:val="TextBody"/>
        <w:bidi w:val="0"/>
        <w:spacing w:lineRule="auto" w:line="288" w:before="0" w:after="240"/>
        <w:jc w:val="both"/>
        <w:rPr/>
      </w:pPr>
      <w:r>
        <w:rPr>
          <w:rFonts w:ascii="Times New Roman;serif" w:hAnsi="Times New Roman;serif"/>
          <w:b w:val="false"/>
          <w:color w:val="000000"/>
          <w:sz w:val="24"/>
          <w:u w:val="single"/>
        </w:rPr>
        <w:t>3.2.3 Pro-Rata Annual Awards</w:t>
      </w:r>
      <w:r>
        <w:rPr>
          <w:rFonts w:ascii="Times New Roman;serif" w:hAnsi="Times New Roman;serif"/>
          <w:b w:val="false"/>
          <w:color w:val="000000"/>
          <w:sz w:val="24"/>
        </w:rPr>
        <w:t xml:space="preserve">. Notwithstanding the foregoing, if a person is subsequently appointed as an Eligible Director or attains Eligible Director status between Annual Meetings, then such Eligible Director will be granted, on the date such person attains Eligible Director status, an Annual Award under Section 2(b), subject to a pro-rata reduction of the Target Value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applicable Annual Award) based on the quotient of (A) a number equal to (i) 365 minus (ii) the number of days elapsed from such Eligible Director’s initial appointment to the Board and the anticipated date of the next Annual Meeting (if the next annual meeting has not yet been scheduled, assuming the next Annual Meeting is scheduled to be held on the same month and day as the immediately preceding Annual Meeting) divided by (B) 365 (the “</w:t>
      </w:r>
      <w:r>
        <w:rPr>
          <w:rFonts w:ascii="Times New Roman;serif" w:hAnsi="Times New Roman;serif"/>
          <w:b/>
          <w:i/>
          <w:color w:val="000000"/>
          <w:sz w:val="24"/>
        </w:rPr>
        <w:t>Pro-Rata Annual Awards</w:t>
      </w:r>
      <w:r>
        <w:rPr>
          <w:color w:val="000000"/>
        </w:rPr>
        <w:t xml:space="preserve">” </w:t>
      </w:r>
      <w:r>
        <w:rPr>
          <w:rFonts w:ascii="Times New Roman;serif" w:hAnsi="Times New Roman;serif"/>
          <w:b w:val="false"/>
          <w:color w:val="000000"/>
          <w:sz w:val="24"/>
        </w:rPr>
        <w:t>and together with the Annual Awards, the “</w:t>
      </w:r>
      <w:r>
        <w:rPr>
          <w:rFonts w:ascii="Times New Roman;serif" w:hAnsi="Times New Roman;serif"/>
          <w:b/>
          <w:i/>
          <w:color w:val="000000"/>
          <w:sz w:val="24"/>
        </w:rPr>
        <w:t>Equity</w:t>
      </w:r>
      <w:r>
        <w:rPr>
          <w:color w:val="000000"/>
        </w:rPr>
        <w:t xml:space="preserve"> </w:t>
      </w:r>
      <w:r>
        <w:rPr>
          <w:rFonts w:ascii="Times New Roman;serif" w:hAnsi="Times New Roman;serif"/>
          <w:b/>
          <w:i/>
          <w:color w:val="000000"/>
          <w:sz w:val="24"/>
        </w:rPr>
        <w:t>Awards</w:t>
      </w:r>
      <w:r>
        <w:rPr>
          <w:color w:val="000000"/>
        </w:rPr>
        <w:t>”</w:t>
      </w:r>
      <w:r>
        <w:rPr>
          <w:rFonts w:ascii="Times New Roman;serif" w:hAnsi="Times New Roman;serif"/>
          <w:b w:val="false"/>
          <w:color w:val="000000"/>
          <w:sz w:val="24"/>
        </w:rPr>
        <w:t>). Each Pro-Rata Annual Award shall vest in full on the earlier of (i) the next Annual Meeting, (ii) death, (iii) disability or (iv) the Eligible Director’s removal from the Board coincident with the occurrence of a Change in Control (such date, the “</w:t>
      </w:r>
      <w:r>
        <w:rPr>
          <w:rFonts w:ascii="Times New Roman;serif" w:hAnsi="Times New Roman;serif"/>
          <w:b/>
          <w:i/>
          <w:color w:val="000000"/>
          <w:sz w:val="24"/>
        </w:rPr>
        <w:t>Vesting Date</w:t>
      </w:r>
      <w:r>
        <w:rPr>
          <w:color w:val="000000"/>
        </w:rPr>
        <w:t>”</w:t>
      </w:r>
      <w:r>
        <w:rPr>
          <w:rFonts w:ascii="Times New Roman;serif" w:hAnsi="Times New Roman;serif"/>
          <w:b w:val="false"/>
          <w:color w:val="000000"/>
          <w:sz w:val="24"/>
        </w:rPr>
        <w:t>), subject to the Eligible Director continuing in service as an Eligible Director through the Vesting Date. In the event the Eligible Director experiences a separation from service for any reason other than as described in clauses (ii) through (iv) above, any unvested RSUs held by the Eligible Director as of the Eligible Director’s separation date shall be immediately forfeited to the Company without consideration.</w:t>
      </w:r>
    </w:p>
    <w:p>
      <w:pPr>
        <w:pStyle w:val="TextBody"/>
        <w:bidi w:val="0"/>
        <w:spacing w:lineRule="auto" w:line="288" w:before="0" w:after="240"/>
        <w:jc w:val="both"/>
        <w:rPr/>
      </w:pPr>
      <w:r>
        <w:rPr>
          <w:rFonts w:ascii="Times New Roman;serif" w:hAnsi="Times New Roman;serif"/>
          <w:b w:val="false"/>
          <w:color w:val="000000"/>
          <w:sz w:val="24"/>
          <w:u w:val="single"/>
        </w:rPr>
        <w:t>3.2.4 Stock Ownership Guidelines</w:t>
      </w:r>
      <w:r>
        <w:rPr>
          <w:rFonts w:ascii="Times New Roman;serif" w:hAnsi="Times New Roman;serif"/>
          <w:b w:val="false"/>
          <w:color w:val="000000"/>
          <w:sz w:val="24"/>
        </w:rPr>
        <w:t>. Under our non-employee director stock ownership guidelines, each non-employee director is required to hold a number of shares of Company common stock having a market value equal to or greater than five times the annual base cash retainer payable to the non-employee director. In the case of the Chairman the holding requirement is equal to or greater than 6 times the annual base cash retainer. Until the applicable ownership guideline is achieved, each non-employee director is required to retain at least 50% of the shares acquired from Company restricted stock unit grants, other than any shares required to be sold to pay applicable taxes. Once the applicable ownership guideline is achieved, the aforementioned retention ratio will no longer apply. If a non-employee director’s share ownership subsequently falls back below the applicable ownership, the non-employee director will be required to comply again with the retention ratio until such time as the non-employee director again achieves the ownership guideline. Any deferred fully vested stock units granted to non-employee directors under the Equity Plan in respect of any deferred cash Fees will count towards the applicable stock ownership guideline holding requirement.</w:t>
      </w:r>
    </w:p>
    <w:p>
      <w:pPr>
        <w:pStyle w:val="TextBody"/>
        <w:bidi w:val="0"/>
        <w:spacing w:lineRule="auto" w:line="288" w:before="0" w:after="240"/>
        <w:jc w:val="both"/>
        <w:rPr/>
      </w:pPr>
      <w:r>
        <w:rPr>
          <w:rFonts w:ascii="Times New Roman;serif" w:hAnsi="Times New Roman;serif"/>
          <w:b/>
          <w:color w:val="000000"/>
          <w:sz w:val="24"/>
          <w:u w:val="single"/>
        </w:rPr>
        <w:t>3.3 Education Reimbursement</w:t>
      </w:r>
      <w:r>
        <w:rPr>
          <w:rFonts w:ascii="Times New Roman;serif" w:hAnsi="Times New Roman;serif"/>
          <w:b/>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Eligible Directors shall also be entitled to reimbursement for attendance at continuing professional education programs in the ordinary course; provided that (i) the program is directly related to the role of serving as a public company director; (ii) the reimbursement cost does not exceed $10,000 in the aggregate; and (iii) attendance is pre-approved by the SVP, Chief Human Resources Officer and the SVP, Corporate Secretary &amp; General Counsel of the Company. The Company shall make reimbursement to an Eligible Director within a reasonable amount of time following submission by such Eligible Director of reasonable written substantiation for the expenses and approval by the SVP, Chief Human Resources Officer and the SVP, Corporate Secretary &amp; General Counsel of the Company.</w:t>
      </w:r>
    </w:p>
    <w:p>
      <w:pPr>
        <w:pStyle w:val="TextBody"/>
        <w:bidi w:val="0"/>
        <w:spacing w:lineRule="auto" w:line="288" w:before="0" w:after="240"/>
        <w:jc w:val="both"/>
        <w:rPr/>
      </w:pPr>
      <w:r>
        <w:rPr>
          <w:rFonts w:ascii="Times New Roman;serif" w:hAnsi="Times New Roman;serif"/>
          <w:b/>
          <w:color w:val="000000"/>
          <w:sz w:val="24"/>
          <w:u w:val="single"/>
        </w:rPr>
        <w:t>3.4 Compensation Limits</w:t>
      </w:r>
      <w:r>
        <w:rPr>
          <w:rFonts w:ascii="Times New Roman;serif" w:hAnsi="Times New Roman;serif"/>
          <w:b/>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Program, all compensation payable under this Program will be subject to any limits on the maximum amount of non-employee director compensation set forth in the Equity Plan, as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u w:val="single"/>
        </w:rPr>
        <w:t>3.5 Expenses</w:t>
      </w:r>
      <w:r>
        <w:rPr>
          <w:rFonts w:ascii="Times New Roman;serif" w:hAnsi="Times New Roman;serif"/>
          <w:b/>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Eligible Directors will be reimbursed for their reasonable expenses to attend meetings of the Board and related committees and otherwise attend to Company business.</w:t>
      </w:r>
    </w:p>
    <w:p>
      <w:pPr>
        <w:pStyle w:val="TextBody"/>
        <w:bidi w:val="0"/>
        <w:spacing w:lineRule="auto" w:line="288" w:before="0" w:after="240"/>
        <w:jc w:val="both"/>
        <w:rPr/>
      </w:pPr>
      <w:r>
        <w:rPr>
          <w:rFonts w:ascii="Times New Roman;serif" w:hAnsi="Times New Roman;serif"/>
          <w:b/>
          <w:color w:val="000000"/>
          <w:sz w:val="24"/>
          <w:u w:val="single"/>
        </w:rPr>
        <w:t>3.6 Amendment and Termination</w:t>
      </w:r>
      <w:r>
        <w:rPr>
          <w:rFonts w:ascii="Times New Roman;serif" w:hAnsi="Times New Roman;serif"/>
          <w:b/>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Board may amend or terminate this Program at any time. The grant of Equity Awards will cease without any further action if the Equity Plan expires, or there are insufficient authorized and available Shares under the Equity Plan to cover the Equity Awards, and the Board does not designate a successor plan or arrangement pursuant to which the Equity Awards are to be made.</w:t>
      </w:r>
    </w:p>
    <w:p>
      <w:pPr>
        <w:pStyle w:val="TextBody"/>
        <w:bidi w:val="0"/>
        <w:spacing w:before="0" w:after="240"/>
        <w:jc w:val="both"/>
        <w:rPr/>
      </w:pPr>
      <w:r>
        <w:rPr/>
      </w:r>
    </w:p>
    <w:p>
      <w:pPr>
        <w:pStyle w:val="TextBody"/>
        <w:bidi w:val="0"/>
        <w:spacing w:before="0" w:after="240"/>
        <w:jc w:val="both"/>
        <w:rPr/>
      </w:pPr>
      <w:r>
        <w:rPr/>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Olivier Rabiller,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Garrett Motion Inc.;</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32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939"/>
        <w:gridCol w:w="939"/>
        <w:gridCol w:w="133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Olivier Rabiller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Olivier Rabiller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120"/>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Deason,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Garrett Motion Inc.;</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252"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1208"/>
        <w:gridCol w:w="1208"/>
        <w:gridCol w:w="17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Sean Deason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Deason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Garrett Motion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569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950"/>
        <w:gridCol w:w="950"/>
        <w:gridCol w:w="13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Olivier Rabiller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Olivier Rabiller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Garrett Motion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579"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34"/>
        <w:gridCol w:w="134"/>
        <w:gridCol w:w="136"/>
        <w:gridCol w:w="1208"/>
        <w:gridCol w:w="1208"/>
        <w:gridCol w:w="172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Sean Deason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Deason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735707/000173570724000044/exhibit3_1-garrettmotionxt.htm" TargetMode="External"/><Relationship Id="rId7" Type="http://schemas.openxmlformats.org/officeDocument/2006/relationships/hyperlink" Target="https://www.sec.gov/Archives/edgar/data/1735707/000095015726000817/ex3-1.htm" TargetMode="External"/><Relationship Id="rId8" Type="http://schemas.openxmlformats.org/officeDocument/2006/relationships/hyperlink" Target="https://www.sec.gov/Archives/edgar/data/1735707/000095015726000817/ex3-1.htm" TargetMode="External"/><Relationship Id="rId9" Type="http://schemas.openxmlformats.org/officeDocument/2006/relationships/hyperlink" Target="https://www.sec.gov/Archives/edgar/data/1735707/000095015726000817/ex3-1.htm" TargetMode="External"/><Relationship Id="rId10" Type="http://schemas.openxmlformats.org/officeDocument/2006/relationships/hyperlink" Target="https://www.sec.gov/Archives/edgar/data/1735707/000095015726000817/ex3-1.htm" TargetMode="External"/><Relationship Id="rId11" Type="http://schemas.openxmlformats.org/officeDocument/2006/relationships/hyperlink" Target="https://www.sec.gov/Archives/edgar/data/1735707/000095015726000817/ex3-1.htm" TargetMode="External"/><Relationship Id="rId12" Type="http://schemas.openxmlformats.org/officeDocument/2006/relationships/hyperlink" Target="https://www.sec.gov/Archives/edgar/data/1735707/000095014226001458/eh260781731_ex1001.htm" TargetMode="External"/><Relationship Id="rId13" Type="http://schemas.openxmlformats.org/officeDocument/2006/relationships/hyperlink" Target="https://www.sec.gov/Archives/edgar/data/1735707/000095014226001458/eh260781731_ex1001.htm" TargetMode="External"/><Relationship Id="rId14" Type="http://schemas.openxmlformats.org/officeDocument/2006/relationships/hyperlink" Target="https://www.sec.gov/Archives/edgar/data/1735707/000095014226001458/eh260781731_ex1001.htm" TargetMode="External"/><Relationship Id="rId15" Type="http://schemas.openxmlformats.org/officeDocument/2006/relationships/hyperlink" Target="https://www.sec.gov/Archives/edgar/data/1735707/000095014226001458/eh260781731_ex1001.htm" TargetMode="External"/><Relationship Id="rId16" Type="http://schemas.openxmlformats.org/officeDocument/2006/relationships/hyperlink" Target="https://www.sec.gov/Archives/edgar/data/1735707/000095014226001458/eh260781731_ex1001.htm" TargetMode="External"/><Relationship Id="rId17" Type="http://schemas.openxmlformats.org/officeDocument/2006/relationships/hyperlink" Target="https://www.sec.gov/Archives/edgar/data/1735707/000095014226001458/eh260781731_ex1001.htm" TargetMode="External"/><Relationship Id="rId18" Type="http://schemas.openxmlformats.org/officeDocument/2006/relationships/hyperlink" Target="https://www.sec.gov/Archives/edgar/data/1735707/000095014226001458/eh260781731_ex1001.htm" TargetMode="External"/><Relationship Id="rId19" Type="http://schemas.openxmlformats.org/officeDocument/2006/relationships/hyperlink" Target="https://www.sec.gov/Archives/edgar/data/1735707/000095014226001458/eh260781731_ex100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18980</Words>
  <Characters>101651</Characters>
  <CharactersWithSpaces>119626</CharactersWithSpaces>
  <Paragraphs>3195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