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98"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11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14A INFORMATION</w:t>
      </w:r>
    </w:p>
    <w:p>
      <w:pPr>
        <w:sectPr>
          <w:pgSz w:w="11900" w:h="16838" w:orient="portrait"/>
          <w:cols w:equalWidth="0" w:num="1">
            <w:col w:w="11120"/>
          </w:cols>
          <w:pgMar w:left="320" w:top="230" w:right="459" w:bottom="1440" w:gutter="0" w:footer="0" w:header="0"/>
        </w:sectPr>
      </w:pPr>
    </w:p>
    <w:p>
      <w:pPr>
        <w:spacing w:after="0" w:line="108" w:lineRule="exact"/>
        <w:rPr>
          <w:sz w:val="24"/>
          <w:szCs w:val="24"/>
          <w:color w:val="auto"/>
        </w:rPr>
      </w:pPr>
    </w:p>
    <w:p>
      <w:pPr>
        <w:ind w:left="3100" w:firstLine="590"/>
        <w:spacing w:after="0" w:line="300" w:lineRule="auto"/>
        <w:rPr>
          <w:sz w:val="20"/>
          <w:szCs w:val="20"/>
          <w:color w:val="auto"/>
        </w:rPr>
      </w:pPr>
      <w:r>
        <w:rPr>
          <w:rFonts w:ascii="Arial" w:cs="Arial" w:eastAsia="Arial" w:hAnsi="Arial"/>
          <w:sz w:val="17"/>
          <w:szCs w:val="17"/>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80" w:lineRule="exact"/>
        <w:rPr>
          <w:sz w:val="24"/>
          <w:szCs w:val="24"/>
          <w:color w:val="auto"/>
        </w:rPr>
      </w:pPr>
    </w:p>
    <w:p>
      <w:pPr>
        <w:sectPr>
          <w:pgSz w:w="11900" w:h="16838" w:orient="portrait"/>
          <w:cols w:equalWidth="0" w:num="2">
            <w:col w:w="7680" w:space="400"/>
            <w:col w:w="3040"/>
          </w:cols>
          <w:pgMar w:left="320" w:top="230" w:right="459" w:bottom="1440" w:gutter="0" w:footer="0" w:header="0"/>
          <w:type w:val="continuous"/>
        </w:sectPr>
      </w:pPr>
    </w:p>
    <w:p>
      <w:pPr>
        <w:spacing w:after="0" w:line="45" w:lineRule="exact"/>
        <w:rPr>
          <w:sz w:val="24"/>
          <w:szCs w:val="24"/>
          <w:color w:val="auto"/>
        </w:rPr>
      </w:pPr>
    </w:p>
    <w:p>
      <w:pPr>
        <w:jc w:val="center"/>
        <w:ind w:left="12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0" w:lineRule="exact"/>
        <w:rPr>
          <w:sz w:val="20"/>
          <w:szCs w:val="20"/>
          <w:color w:val="auto"/>
        </w:rPr>
      </w:pPr>
      <w:r>
        <w:rPr>
          <w:rFonts w:ascii="MS PGothic" w:cs="MS PGothic" w:eastAsia="MS PGothic" w:hAnsi="MS PGothic"/>
          <w:sz w:val="16"/>
          <w:szCs w:val="16"/>
          <w:color w:val="auto"/>
        </w:rPr>
        <w:t>☐</w:t>
      </w:r>
    </w:p>
    <w:p>
      <w:pPr>
        <w:spacing w:after="0" w:line="281" w:lineRule="exact"/>
        <w:rPr>
          <w:sz w:val="24"/>
          <w:szCs w:val="24"/>
          <w:color w:val="auto"/>
        </w:rPr>
      </w:pPr>
    </w:p>
    <w:p>
      <w:pPr>
        <w:sectPr>
          <w:pgSz w:w="11900" w:h="16838" w:orient="portrait"/>
          <w:cols w:equalWidth="0" w:num="4">
            <w:col w:w="1920" w:space="100"/>
            <w:col w:w="940" w:space="720"/>
            <w:col w:w="3280" w:space="100"/>
            <w:col w:w="4060"/>
          </w:cols>
          <w:pgMar w:left="320" w:top="230" w:right="459" w:bottom="1440" w:gutter="0" w:footer="0" w:header="0"/>
          <w:type w:val="continuous"/>
        </w:sectPr>
      </w:pPr>
    </w:p>
    <w:p>
      <w:pPr>
        <w:spacing w:after="0" w:line="3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6" w:lineRule="exact"/>
        <w:rPr>
          <w:rFonts w:ascii="MS PGothic" w:cs="MS PGothic" w:eastAsia="MS PGothic" w:hAnsi="MS PGothic"/>
          <w:sz w:val="18"/>
          <w:szCs w:val="18"/>
          <w:color w:val="auto"/>
        </w:rPr>
      </w:pPr>
    </w:p>
    <w:p>
      <w:pPr>
        <w:ind w:left="120" w:right="4300" w:hanging="4"/>
        <w:spacing w:after="0" w:line="240" w:lineRule="exact"/>
        <w:tabs>
          <w:tab w:leader="none" w:pos="4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6" w:lineRule="exact"/>
        <w:rPr>
          <w:rFonts w:ascii="MS PGothic" w:cs="MS PGothic" w:eastAsia="MS PGothic" w:hAnsi="MS PGothic"/>
          <w:sz w:val="18"/>
          <w:szCs w:val="18"/>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Garrett Motion Inc.</w:t>
      </w:r>
    </w:p>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17"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1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0" w:hanging="34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34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900" w:right="260" w:hanging="433"/>
        <w:spacing w:after="0" w:line="246"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0" w:lineRule="exact"/>
        <w:rPr>
          <w:rFonts w:ascii="Arial" w:cs="Arial" w:eastAsia="Arial" w:hAnsi="Arial"/>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460" w:hanging="34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hanging="344"/>
        <w:spacing w:after="0" w:line="246"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8" w:lineRule="exact"/>
        <w:rPr>
          <w:rFonts w:ascii="MS PGothic" w:cs="MS PGothic" w:eastAsia="MS PGothic" w:hAnsi="MS PGothic"/>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900" w:hanging="433"/>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160655</wp:posOffset>
            </wp:positionV>
            <wp:extent cx="65665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-139065</wp:posOffset>
            </wp:positionV>
            <wp:extent cx="6566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-438785</wp:posOffset>
            </wp:positionV>
            <wp:extent cx="65665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-739140</wp:posOffset>
            </wp:positionV>
            <wp:extent cx="6566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-1553210</wp:posOffset>
            </wp:positionV>
            <wp:extent cx="6566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-1853565</wp:posOffset>
            </wp:positionV>
            <wp:extent cx="6566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-2153285</wp:posOffset>
            </wp:positionV>
            <wp:extent cx="6566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-2581910</wp:posOffset>
            </wp:positionV>
            <wp:extent cx="6566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-2882265</wp:posOffset>
            </wp:positionV>
            <wp:extent cx="6566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205740</wp:posOffset>
            </wp:positionV>
            <wp:extent cx="82296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23114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436880</wp:posOffset>
            </wp:positionV>
            <wp:extent cx="133731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Garrett Stockholder:</w:t>
      </w:r>
    </w:p>
    <w:p>
      <w:pPr>
        <w:spacing w:after="0" w:line="194"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Thank you for your investment in Garrett Motion. We made great progress evolving Garret’s governance structure during our first full year as an independent public company and wanted to share with you some of the highlights in advance of our Annual Meeting of Stockholders, which will be held virtually due to the COVID-19 pandemic.</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Refreshment</w:t>
      </w:r>
    </w:p>
    <w:p>
      <w:pPr>
        <w:spacing w:after="0" w:line="200" w:lineRule="exact"/>
        <w:rPr>
          <w:sz w:val="20"/>
          <w:szCs w:val="20"/>
          <w:color w:val="auto"/>
        </w:rPr>
      </w:pPr>
    </w:p>
    <w:p>
      <w:pPr>
        <w:ind w:left="120" w:right="180"/>
        <w:spacing w:after="0" w:line="249" w:lineRule="auto"/>
        <w:rPr>
          <w:sz w:val="20"/>
          <w:szCs w:val="20"/>
          <w:color w:val="auto"/>
        </w:rPr>
      </w:pPr>
      <w:r>
        <w:rPr>
          <w:rFonts w:ascii="Arial" w:cs="Arial" w:eastAsia="Arial" w:hAnsi="Arial"/>
          <w:sz w:val="16"/>
          <w:szCs w:val="16"/>
          <w:color w:val="auto"/>
        </w:rPr>
        <w:t>Strong independent leadership and membership are critical in the promotion of best-in-class corporate governance practices. We routinely evaluate the composition of the Board to ensure a balanced mix of expertise across disciplines and backgrounds necessary for effective oversight. As a result of our focus on Board refreshment, we are pleased to have appointed Jérôme Stoll as an independent director in March 2020. His in-depth knowledge of the automotive industry and deep executive and operational experience will bring valuable insight to our Board. With this addition, we increased the size of our Board to eight directors, of which seven are independent, and plan to continue to evaluate potential director candidates to further strengthen and complement our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Aligning Executive Compensation with Performance</w:t>
      </w:r>
    </w:p>
    <w:p>
      <w:pPr>
        <w:spacing w:after="0" w:line="20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We are dedicated to ensuring we have an appropriate executive compensation structure that links pay with performance. Following the initial compensation program inherited at the time of our 2018 spin-off, we have updated our incentive plans and performance metrics to more accurately reflect the Board’s pay-for-performance philosophy. I encourage you to review the details of the evolution of our 2020 program from our 2019 program in the enclosed proxy statement. We are focused on continually evolving our executive compensation program as necessary to support our business strategy and enhance our alignment with stockholders.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 Engagement</w:t>
      </w:r>
    </w:p>
    <w:p>
      <w:pPr>
        <w:spacing w:after="0" w:line="213"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Consistent with our efforts to review and refine our corporate governance practices, the Board launched a proactive stockholder outreach program. In 2019, independent members of the Board met with several of our largest stockholders to discuss key governance issues, including executive compensation. The feedback we received during these meetings was valuable and contributed to the updates in our 2020 compensation program, and more. We remain focused on promoting transparency and accountability with our stockholders and look forward to building upon our outreach initiative in the future.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Citizenship</w:t>
      </w:r>
    </w:p>
    <w:p>
      <w:pPr>
        <w:spacing w:after="0" w:line="200"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As a market leader enabling automobile companies to deliver cleaner, safer vehicles, we take our corporate responsibility seriously. We are committed to developing solutions for the auto industry’s most pressing sustainability issues, from emissions reduction to vehicle cybersecurity, while ensuring Garrett’s operations are respectful to people and our planet. We recently formed a Sustainability Committee at the senior leadership level and have identified and prioritized material issues. We continue to foster a positive corporate culture, with a focus on diversity and inclusion, and support local communities, especially in promoting STEM education. Our four-year Sustainability Roadmap will direct our environmental, social and governance progress, meeting the highest standards in health and safety, and responsible procurement. In these truly unprecedent times, with the coronavirus affecting our people and businesses, we have taken all the necessary measures to ensure the health and safety of our colleagues and partners while supporting our customers through this global crisis.</w:t>
      </w:r>
    </w:p>
    <w:p>
      <w:pPr>
        <w:spacing w:after="0" w:line="167"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I look forward to your participation in this year’s virtual annual meeting and would like to express my appreciation for your continued interest in Garrett Motion.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2503170" cy="1183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317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Carlos Cardoso</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165100</wp:posOffset>
            </wp:positionV>
            <wp:extent cx="153479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387985</wp:posOffset>
            </wp:positionV>
            <wp:extent cx="6995160" cy="625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205740</wp:posOffset>
            </wp:positionV>
            <wp:extent cx="822960" cy="231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23114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436880</wp:posOffset>
            </wp:positionV>
            <wp:extent cx="133731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3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Garrett Stockholder:</w:t>
      </w:r>
    </w:p>
    <w:p>
      <w:pPr>
        <w:spacing w:after="0" w:line="194"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 xml:space="preserve">I am pleased to invite you to Garrett Motion’s Annual Meeting of Stockholders, which will be held on Thursday, May 28, 2020 at 10:00 a.m. Eastern Time (4:00 p.m. Central Europe Time). In light of the ongoing outbreak of the novel coronavirus, COVID-19,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6"/>
          <w:szCs w:val="16"/>
          <w:u w:val="single" w:color="auto"/>
          <w:color w:val="auto"/>
        </w:rPr>
        <w:t>www.virtualshareholdermeeting.com/GTX2020</w:t>
      </w:r>
      <w:r>
        <w:rPr>
          <w:rFonts w:ascii="Arial" w:cs="Arial" w:eastAsia="Arial" w:hAnsi="Arial"/>
          <w:sz w:val="16"/>
          <w:szCs w:val="16"/>
          <w:color w:val="auto"/>
        </w:rPr>
        <w:t>. For further information on how to participate in the meeting, please see “General Information About Voting and the Annual Meeting” in the accompanying proxy statement.</w:t>
      </w:r>
    </w:p>
    <w:p>
      <w:pPr>
        <w:spacing w:after="0" w:line="162"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6"/>
          <w:szCs w:val="16"/>
          <w:color w:val="auto"/>
        </w:rPr>
        <w:t>We are pleased to make our Annual Report and proxy materials available to stockholders over the Internet under the U.S. Securities and Exchange Commission’s Notice and Access rules. We believe this electronic delivery option provides our stockholders with information in a more timely, cost-efficient, and environmentally conscious manner versus providing materials in paper form.</w:t>
      </w:r>
    </w:p>
    <w:p>
      <w:pPr>
        <w:spacing w:after="0" w:line="161"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It is very important that your shares be represented and voted at the annual meeting regardless of whether you plan to attend electronically. The accompanying proxy statement contains information about the matters on which you are asked to vote as well as specific instructions for voting over the telephone or via the Internet, or submitting your proxy. If you have previously received our Notice of Internet Availability of Proxy Materials, then instructions regarding how you can vote are contained in that notice. You are encouraged to read the materials carefully and vote in accordance with the Board of Directors’ recommendations.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Thank you for your investment in Garrett Motion. We appreciate your support.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1183005" cy="1183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8300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 xml:space="preserve">. </w:t>
      </w:r>
      <w:r>
        <w:rPr>
          <w:sz w:val="1"/>
          <w:szCs w:val="1"/>
          <w:color w:val="auto"/>
        </w:rPr>
        <w:drawing>
          <wp:inline distT="0" distB="0" distL="0" distR="0">
            <wp:extent cx="865505" cy="6000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5505" cy="600075"/>
                    </a:xfrm>
                    <a:prstGeom prst="rect">
                      <a:avLst/>
                    </a:prstGeom>
                    <a:noFill/>
                    <a:ln>
                      <a:noFill/>
                    </a:ln>
                  </pic:spPr>
                </pic:pic>
              </a:graphicData>
            </a:graphic>
          </wp:inline>
        </w:drawing>
      </w:r>
    </w:p>
    <w:p>
      <w:pPr>
        <w:spacing w:after="0" w:line="8"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Olivier Rabiller</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3371215</wp:posOffset>
            </wp:positionV>
            <wp:extent cx="153479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79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3594100</wp:posOffset>
            </wp:positionV>
            <wp:extent cx="6995160" cy="626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2288540</wp:posOffset>
            </wp:positionV>
            <wp:extent cx="133731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73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GARRETT MOTION INC.</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La Pièce 16</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Rolle, Switzerland 1180</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NOTICE OF 2020 ANNUAL MEETING OF STOCKHOLDERS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To Be Held on May 28, 2020</w:t>
      </w:r>
    </w:p>
    <w:p>
      <w:pPr>
        <w:spacing w:after="0" w:line="196" w:lineRule="exact"/>
        <w:rPr>
          <w:sz w:val="20"/>
          <w:szCs w:val="20"/>
          <w:color w:val="auto"/>
        </w:rPr>
      </w:pPr>
    </w:p>
    <w:tbl>
      <w:tblPr>
        <w:tblLayout w:type="fixed"/>
        <w:tblInd w:w="130" w:type="dxa"/>
        <w:tblCellMar>
          <w:top w:w="0" w:type="dxa"/>
          <w:left w:w="0" w:type="dxa"/>
          <w:bottom w:w="0" w:type="dxa"/>
          <w:right w:w="0" w:type="dxa"/>
        </w:tblCellMar>
      </w:tblPr>
      <w:tr>
        <w:trPr>
          <w:trHeight w:val="405"/>
        </w:trPr>
        <w:tc>
          <w:tcPr>
            <w:tcW w:w="3240" w:type="dxa"/>
            <w:vAlign w:val="bottom"/>
            <w:tcBorders>
              <w:top w:val="single" w:sz="8" w:color="auto"/>
              <w:left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760" w:type="dxa"/>
            <w:vAlign w:val="bottom"/>
            <w:tcBorders>
              <w:top w:val="single" w:sz="8" w:color="auto"/>
              <w:right w:val="single" w:sz="8" w:color="auto"/>
            </w:tcBorders>
            <w:gridSpan w:val="3"/>
          </w:tcPr>
          <w:p>
            <w:pPr>
              <w:ind w:left="820"/>
              <w:spacing w:after="0"/>
              <w:rPr>
                <w:sz w:val="20"/>
                <w:szCs w:val="20"/>
                <w:color w:val="auto"/>
              </w:rPr>
            </w:pPr>
            <w:r>
              <w:rPr>
                <w:rFonts w:ascii="Arial" w:cs="Arial" w:eastAsia="Arial" w:hAnsi="Arial"/>
                <w:sz w:val="22"/>
                <w:szCs w:val="22"/>
                <w:b w:val="1"/>
                <w:bCs w:val="1"/>
                <w:color w:val="E52823"/>
              </w:rPr>
              <w:t>2020 Annual Meeting Information</w:t>
            </w:r>
          </w:p>
        </w:tc>
        <w:tc>
          <w:tcPr>
            <w:tcW w:w="0" w:type="dxa"/>
            <w:vAlign w:val="bottom"/>
          </w:tcPr>
          <w:p>
            <w:pPr>
              <w:spacing w:after="0"/>
              <w:rPr>
                <w:sz w:val="1"/>
                <w:szCs w:val="1"/>
                <w:color w:val="auto"/>
              </w:rPr>
            </w:pPr>
          </w:p>
        </w:tc>
      </w:tr>
      <w:tr>
        <w:trPr>
          <w:trHeight w:val="395"/>
        </w:trPr>
        <w:tc>
          <w:tcPr>
            <w:tcW w:w="3240" w:type="dxa"/>
            <w:vAlign w:val="bottom"/>
            <w:tcBorders>
              <w:left w:val="single" w:sz="8" w:color="auto"/>
            </w:tcBorders>
            <w:vMerge w:val="restart"/>
          </w:tcPr>
          <w:p>
            <w:pPr>
              <w:jc w:val="center"/>
              <w:ind w:left="454"/>
              <w:spacing w:after="0"/>
              <w:rPr>
                <w:sz w:val="20"/>
                <w:szCs w:val="20"/>
                <w:color w:val="auto"/>
              </w:rPr>
            </w:pPr>
            <w:r>
              <w:rPr>
                <w:rFonts w:ascii="Arial" w:cs="Arial" w:eastAsia="Arial" w:hAnsi="Arial"/>
                <w:sz w:val="22"/>
                <w:szCs w:val="22"/>
                <w:b w:val="1"/>
                <w:bCs w:val="1"/>
                <w:color w:val="auto"/>
                <w:w w:val="97"/>
              </w:rPr>
              <w:t>Time</w:t>
            </w:r>
          </w:p>
        </w:tc>
        <w:tc>
          <w:tcPr>
            <w:tcW w:w="20" w:type="dxa"/>
            <w:vAlign w:val="bottom"/>
          </w:tcPr>
          <w:p>
            <w:pPr>
              <w:spacing w:after="0"/>
              <w:rPr>
                <w:sz w:val="24"/>
                <w:szCs w:val="24"/>
                <w:color w:val="auto"/>
              </w:rPr>
            </w:pPr>
          </w:p>
        </w:tc>
        <w:tc>
          <w:tcPr>
            <w:tcW w:w="27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24"/>
                <w:szCs w:val="24"/>
                <w:color w:val="auto"/>
              </w:rPr>
            </w:pPr>
          </w:p>
        </w:tc>
        <w:tc>
          <w:tcPr>
            <w:tcW w:w="5000" w:type="dxa"/>
            <w:vAlign w:val="bottom"/>
            <w:tcBorders>
              <w:right w:val="single" w:sz="8" w:color="auto"/>
            </w:tcBorders>
            <w:vMerge w:val="restart"/>
          </w:tcPr>
          <w:p>
            <w:pPr>
              <w:jc w:val="center"/>
              <w:ind w:right="410"/>
              <w:spacing w:after="0"/>
              <w:rPr>
                <w:sz w:val="20"/>
                <w:szCs w:val="20"/>
                <w:color w:val="auto"/>
              </w:rPr>
            </w:pPr>
            <w:r>
              <w:rPr>
                <w:rFonts w:ascii="Arial" w:cs="Arial" w:eastAsia="Arial" w:hAnsi="Arial"/>
                <w:sz w:val="22"/>
                <w:szCs w:val="22"/>
                <w:b w:val="1"/>
                <w:bCs w:val="1"/>
                <w:color w:val="auto"/>
              </w:rPr>
              <w:t>Place</w:t>
            </w:r>
          </w:p>
        </w:tc>
        <w:tc>
          <w:tcPr>
            <w:tcW w:w="0" w:type="dxa"/>
            <w:vAlign w:val="bottom"/>
          </w:tcPr>
          <w:p>
            <w:pPr>
              <w:spacing w:after="0"/>
              <w:rPr>
                <w:sz w:val="1"/>
                <w:szCs w:val="1"/>
                <w:color w:val="auto"/>
              </w:rPr>
            </w:pPr>
          </w:p>
        </w:tc>
      </w:tr>
      <w:tr>
        <w:trPr>
          <w:trHeight w:val="1293"/>
        </w:trPr>
        <w:tc>
          <w:tcPr>
            <w:tcW w:w="3240" w:type="dxa"/>
            <w:vAlign w:val="bottom"/>
            <w:tcBorders>
              <w:left w:val="single" w:sz="8" w:color="auto"/>
            </w:tcBorders>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74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0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240" w:type="dxa"/>
            <w:vAlign w:val="bottom"/>
            <w:tcBorders>
              <w:left w:val="single" w:sz="8" w:color="auto"/>
            </w:tcBorders>
          </w:tcPr>
          <w:p>
            <w:pPr>
              <w:jc w:val="center"/>
              <w:ind w:left="474"/>
              <w:spacing w:after="0"/>
              <w:rPr>
                <w:sz w:val="20"/>
                <w:szCs w:val="20"/>
                <w:color w:val="auto"/>
              </w:rPr>
            </w:pPr>
            <w:r>
              <w:rPr>
                <w:rFonts w:ascii="Arial" w:cs="Arial" w:eastAsia="Arial" w:hAnsi="Arial"/>
                <w:sz w:val="16"/>
                <w:szCs w:val="16"/>
                <w:color w:val="auto"/>
              </w:rPr>
              <w:t>10:00 a.m. Eastern Time</w:t>
            </w:r>
          </w:p>
        </w:tc>
        <w:tc>
          <w:tcPr>
            <w:tcW w:w="20" w:type="dxa"/>
            <w:vAlign w:val="bottom"/>
            <w:shd w:val="clear" w:color="auto" w:fill="000000"/>
          </w:tcPr>
          <w:p>
            <w:pPr>
              <w:spacing w:after="0"/>
              <w:rPr>
                <w:sz w:val="22"/>
                <w:szCs w:val="22"/>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May 28, 2020</w:t>
            </w:r>
          </w:p>
        </w:tc>
        <w:tc>
          <w:tcPr>
            <w:tcW w:w="20" w:type="dxa"/>
            <w:vAlign w:val="bottom"/>
            <w:shd w:val="clear" w:color="auto" w:fill="000000"/>
          </w:tcPr>
          <w:p>
            <w:pPr>
              <w:spacing w:after="0"/>
              <w:rPr>
                <w:sz w:val="22"/>
                <w:szCs w:val="22"/>
                <w:color w:val="auto"/>
              </w:rPr>
            </w:pPr>
          </w:p>
        </w:tc>
        <w:tc>
          <w:tcPr>
            <w:tcW w:w="5000" w:type="dxa"/>
            <w:vAlign w:val="bottom"/>
            <w:tcBorders>
              <w:right w:val="single" w:sz="8" w:color="auto"/>
            </w:tcBorders>
          </w:tcPr>
          <w:p>
            <w:pPr>
              <w:jc w:val="center"/>
              <w:ind w:right="410"/>
              <w:spacing w:after="0"/>
              <w:rPr>
                <w:sz w:val="20"/>
                <w:szCs w:val="20"/>
                <w:color w:val="auto"/>
              </w:rPr>
            </w:pPr>
            <w:r>
              <w:rPr>
                <w:rFonts w:ascii="Arial" w:cs="Arial" w:eastAsia="Arial" w:hAnsi="Arial"/>
                <w:sz w:val="16"/>
                <w:szCs w:val="16"/>
                <w:color w:val="auto"/>
              </w:rPr>
              <w:t>Online only via live webcast at</w:t>
            </w:r>
          </w:p>
        </w:tc>
        <w:tc>
          <w:tcPr>
            <w:tcW w:w="0" w:type="dxa"/>
            <w:vAlign w:val="bottom"/>
          </w:tcPr>
          <w:p>
            <w:pPr>
              <w:spacing w:after="0"/>
              <w:rPr>
                <w:sz w:val="1"/>
                <w:szCs w:val="1"/>
                <w:color w:val="auto"/>
              </w:rPr>
            </w:pPr>
          </w:p>
        </w:tc>
      </w:tr>
      <w:tr>
        <w:trPr>
          <w:trHeight w:val="189"/>
        </w:trPr>
        <w:tc>
          <w:tcPr>
            <w:tcW w:w="3240" w:type="dxa"/>
            <w:vAlign w:val="bottom"/>
            <w:tcBorders>
              <w:left w:val="single" w:sz="8" w:color="auto"/>
            </w:tcBorders>
          </w:tcPr>
          <w:p>
            <w:pPr>
              <w:jc w:val="center"/>
              <w:ind w:left="474"/>
              <w:spacing w:after="0"/>
              <w:rPr>
                <w:sz w:val="20"/>
                <w:szCs w:val="20"/>
                <w:color w:val="auto"/>
              </w:rPr>
            </w:pPr>
            <w:r>
              <w:rPr>
                <w:rFonts w:ascii="Arial" w:cs="Arial" w:eastAsia="Arial" w:hAnsi="Arial"/>
                <w:sz w:val="16"/>
                <w:szCs w:val="16"/>
                <w:color w:val="auto"/>
                <w:w w:val="99"/>
              </w:rPr>
              <w:t>(4:00 p.m. Central</w:t>
            </w:r>
          </w:p>
        </w:tc>
        <w:tc>
          <w:tcPr>
            <w:tcW w:w="20" w:type="dxa"/>
            <w:vAlign w:val="bottom"/>
            <w:shd w:val="clear" w:color="auto" w:fill="000000"/>
          </w:tcPr>
          <w:p>
            <w:pPr>
              <w:spacing w:after="0"/>
              <w:rPr>
                <w:sz w:val="16"/>
                <w:szCs w:val="16"/>
                <w:color w:val="auto"/>
              </w:rPr>
            </w:pPr>
          </w:p>
        </w:tc>
        <w:tc>
          <w:tcPr>
            <w:tcW w:w="27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000" w:type="dxa"/>
            <w:vAlign w:val="bottom"/>
            <w:tcBorders>
              <w:right w:val="single" w:sz="8" w:color="auto"/>
            </w:tcBorders>
          </w:tcPr>
          <w:p>
            <w:pPr>
              <w:jc w:val="center"/>
              <w:ind w:right="410"/>
              <w:spacing w:after="0"/>
              <w:rPr>
                <w:sz w:val="20"/>
                <w:szCs w:val="20"/>
                <w:color w:val="auto"/>
              </w:rPr>
            </w:pPr>
            <w:r>
              <w:rPr>
                <w:rFonts w:ascii="Arial" w:cs="Arial" w:eastAsia="Arial" w:hAnsi="Arial"/>
                <w:sz w:val="16"/>
                <w:szCs w:val="16"/>
                <w:color w:val="auto"/>
              </w:rPr>
              <w:t>www.virtualshareholdermeeting.com/GTX2020</w:t>
            </w:r>
          </w:p>
        </w:tc>
        <w:tc>
          <w:tcPr>
            <w:tcW w:w="0" w:type="dxa"/>
            <w:vAlign w:val="bottom"/>
          </w:tcPr>
          <w:p>
            <w:pPr>
              <w:spacing w:after="0"/>
              <w:rPr>
                <w:sz w:val="1"/>
                <w:szCs w:val="1"/>
                <w:color w:val="auto"/>
              </w:rPr>
            </w:pPr>
          </w:p>
        </w:tc>
      </w:tr>
      <w:tr>
        <w:trPr>
          <w:trHeight w:val="214"/>
        </w:trPr>
        <w:tc>
          <w:tcPr>
            <w:tcW w:w="3240" w:type="dxa"/>
            <w:vAlign w:val="bottom"/>
            <w:tcBorders>
              <w:left w:val="single" w:sz="8" w:color="auto"/>
            </w:tcBorders>
          </w:tcPr>
          <w:p>
            <w:pPr>
              <w:jc w:val="center"/>
              <w:ind w:left="474"/>
              <w:spacing w:after="0"/>
              <w:rPr>
                <w:sz w:val="20"/>
                <w:szCs w:val="20"/>
                <w:color w:val="auto"/>
              </w:rPr>
            </w:pPr>
            <w:r>
              <w:rPr>
                <w:rFonts w:ascii="Arial" w:cs="Arial" w:eastAsia="Arial" w:hAnsi="Arial"/>
                <w:sz w:val="16"/>
                <w:szCs w:val="16"/>
                <w:color w:val="auto"/>
                <w:w w:val="99"/>
              </w:rPr>
              <w:t>Europe Time)</w:t>
            </w:r>
          </w:p>
        </w:tc>
        <w:tc>
          <w:tcPr>
            <w:tcW w:w="20" w:type="dxa"/>
            <w:vAlign w:val="bottom"/>
            <w:shd w:val="clear" w:color="auto" w:fill="000000"/>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3240" w:type="dxa"/>
            <w:vAlign w:val="bottom"/>
            <w:tcBorders>
              <w:left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3240" w:type="dxa"/>
            <w:vAlign w:val="bottom"/>
          </w:tcPr>
          <w:p>
            <w:pPr>
              <w:spacing w:after="0"/>
              <w:rPr>
                <w:sz w:val="20"/>
                <w:szCs w:val="20"/>
                <w:color w:val="auto"/>
              </w:rPr>
            </w:pPr>
            <w:r>
              <w:rPr>
                <w:rFonts w:ascii="Arial" w:cs="Arial" w:eastAsia="Arial" w:hAnsi="Arial"/>
                <w:sz w:val="16"/>
                <w:szCs w:val="16"/>
                <w:color w:val="auto"/>
              </w:rPr>
              <w:t>To Our Stockholders:</w:t>
            </w: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-1435735</wp:posOffset>
            </wp:positionV>
            <wp:extent cx="428625"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625" cy="42862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-1478280</wp:posOffset>
            </wp:positionV>
            <wp:extent cx="480060"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060" cy="4718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-1452880</wp:posOffset>
            </wp:positionV>
            <wp:extent cx="334645"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645" cy="445770"/>
                    </a:xfrm>
                    <a:prstGeom prst="rect">
                      <a:avLst/>
                    </a:prstGeom>
                    <a:noFill/>
                  </pic:spPr>
                </pic:pic>
              </a:graphicData>
            </a:graphic>
          </wp:anchor>
        </w:drawing>
      </w:r>
    </w:p>
    <w:p>
      <w:pPr>
        <w:spacing w:after="0" w:line="82"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 xml:space="preserve">NOTICE IS HEREBY GIVEN that the 2020 Annual Meeting of Stockholders of Garrett Motion Inc., or the Annual Meeting, will be held on Thursday, May 28, 2020, at 10:00 a.m. Eastern Time (4:00 p.m. Central Europe Time).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6"/>
          <w:szCs w:val="16"/>
          <w:u w:val="single" w:color="auto"/>
          <w:color w:val="auto"/>
        </w:rPr>
        <w:t>www.virtualshareholdermeeting.com/GTX2020</w:t>
      </w:r>
      <w:r>
        <w:rPr>
          <w:rFonts w:ascii="Arial" w:cs="Arial" w:eastAsia="Arial" w:hAnsi="Arial"/>
          <w:sz w:val="16"/>
          <w:szCs w:val="16"/>
          <w:color w:val="auto"/>
        </w:rPr>
        <w:t xml:space="preserve"> and entering your 16-digit control number included in your Notice of Internet Availability of Proxy Materials, proxy card, or on the instructions that accompanied your proxy materials. At the Annual Meeting, stockholders will consider and vote on the following matters: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5" w:lineRule="exact"/>
        <w:rPr>
          <w:sz w:val="20"/>
          <w:szCs w:val="20"/>
          <w:color w:val="auto"/>
        </w:rPr>
      </w:pPr>
    </w:p>
    <w:p>
      <w:pPr>
        <w:ind w:left="1080" w:right="120" w:hanging="582"/>
        <w:spacing w:after="0" w:line="183" w:lineRule="auto"/>
        <w:tabs>
          <w:tab w:leader="none" w:pos="1080" w:val="left"/>
        </w:tabs>
        <w:numPr>
          <w:ilvl w:val="0"/>
          <w:numId w:val="4"/>
        </w:numPr>
        <w:rPr>
          <w:rFonts w:ascii="Arial" w:cs="Arial" w:eastAsia="Arial" w:hAnsi="Arial"/>
          <w:sz w:val="28"/>
          <w:szCs w:val="28"/>
          <w:color w:val="auto"/>
          <w:vertAlign w:val="subscript"/>
        </w:rPr>
      </w:pPr>
      <w:r>
        <w:rPr>
          <w:rFonts w:ascii="Arial" w:cs="Arial" w:eastAsia="Arial" w:hAnsi="Arial"/>
          <w:sz w:val="15"/>
          <w:szCs w:val="15"/>
          <w:color w:val="auto"/>
        </w:rPr>
        <w:t>The election of Courtney M. Enghauser, Carsten J. Reinhardt and Jérôme Stoll to our board of directors to serve as Class II directors, each for a two-year term ending at the 2022 Annual Meeting of Stockholders</w:t>
      </w:r>
    </w:p>
    <w:p>
      <w:pPr>
        <w:spacing w:after="0" w:line="1" w:lineRule="exact"/>
        <w:rPr>
          <w:sz w:val="20"/>
          <w:szCs w:val="20"/>
          <w:color w:val="auto"/>
        </w:rPr>
      </w:pPr>
    </w:p>
    <w:p>
      <w:pPr>
        <w:ind w:left="1080" w:right="960" w:hanging="582"/>
        <w:spacing w:after="0" w:line="183" w:lineRule="auto"/>
        <w:tabs>
          <w:tab w:leader="none" w:pos="1080" w:val="left"/>
        </w:tabs>
        <w:numPr>
          <w:ilvl w:val="0"/>
          <w:numId w:val="5"/>
        </w:numPr>
        <w:rPr>
          <w:rFonts w:ascii="Arial" w:cs="Arial" w:eastAsia="Arial" w:hAnsi="Arial"/>
          <w:sz w:val="28"/>
          <w:szCs w:val="28"/>
          <w:color w:val="auto"/>
          <w:vertAlign w:val="subscript"/>
        </w:rPr>
      </w:pPr>
      <w:r>
        <w:rPr>
          <w:rFonts w:ascii="Arial" w:cs="Arial" w:eastAsia="Arial" w:hAnsi="Arial"/>
          <w:sz w:val="15"/>
          <w:szCs w:val="15"/>
          <w:color w:val="auto"/>
        </w:rPr>
        <w:t>The ratification of the appointment of Deloitte SA as our independent registered public accounting firm for the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080" w:hanging="58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ind w:left="120" w:right="880"/>
        <w:spacing w:after="0" w:line="260" w:lineRule="auto"/>
        <w:rPr>
          <w:sz w:val="20"/>
          <w:szCs w:val="20"/>
          <w:color w:val="auto"/>
        </w:rPr>
      </w:pPr>
      <w:r>
        <w:rPr>
          <w:rFonts w:ascii="Arial" w:cs="Arial" w:eastAsia="Arial" w:hAnsi="Arial"/>
          <w:sz w:val="16"/>
          <w:szCs w:val="16"/>
          <w:color w:val="auto"/>
        </w:rPr>
        <w:t>The stockholders will also act on any other business that may properly come before the Annual Meeting or any postponement, continuation or adjournment thereof.</w:t>
      </w:r>
    </w:p>
    <w:p>
      <w:pPr>
        <w:spacing w:after="0" w:line="15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Stockholders of record at the close of business on Friday, April 3, 2020, are entitled to notice of, and to vote at, the Annual Meeting or any postponement, continuation or adjournment thereof. A complete list of these stockholders will be available on the bottom panel of your screen during the meeting after entering the 16 digit control number included on the Notice of Internet Availability of Proxy Materials or any proxy card that you received, or on the materials provided by your bank or broker. Your vote is important regardless of the number of shares you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625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700405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To ensure that a quorum is present at the Annual Meeting, please vote your shares over the Internet or by telephone, or, if you received a copy of the proxy card by mail, you may sign, date and mail the proxy card in the enclosed envelope, whether or not you expect to attend the Annual Meeting. Note that, in light of possible disruptions in mail service related to the COVID-19 outbreak, we encourage stockholders to submit their proxy via telephone or online. If you decide to attend the Annual Meeting, you will be able to vote electronically, even if you have previously submitted your proxy.</w:t>
      </w:r>
    </w:p>
    <w:p>
      <w:pPr>
        <w:spacing w:after="0" w:line="20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139065</wp:posOffset>
            </wp:positionV>
            <wp:extent cx="403225" cy="660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32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Jérôme Maironi</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Secretary</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625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9080" w:type="dxa"/>
            <w:vAlign w:val="bottom"/>
            <w:gridSpan w:val="2"/>
          </w:tcPr>
          <w:p>
            <w:pPr>
              <w:spacing w:after="0"/>
              <w:rPr>
                <w:rFonts w:ascii="Arial" w:cs="Arial" w:eastAsia="Arial" w:hAnsi="Arial"/>
                <w:sz w:val="16"/>
                <w:szCs w:val="16"/>
                <w:b w:val="1"/>
                <w:bCs w:val="1"/>
                <w:u w:val="single" w:color="auto"/>
                <w:color w:val="0000EE"/>
              </w:rPr>
            </w:pPr>
            <w:hyperlink w:anchor="page9">
              <w:r>
                <w:rPr>
                  <w:rFonts w:ascii="Arial" w:cs="Arial" w:eastAsia="Arial" w:hAnsi="Arial"/>
                  <w:sz w:val="16"/>
                  <w:szCs w:val="16"/>
                  <w:b w:val="1"/>
                  <w:bCs w:val="1"/>
                  <w:u w:val="single" w:color="auto"/>
                  <w:color w:val="0000EE"/>
                </w:rPr>
                <w:t>PROXY STATEMENT SUMMARY</w:t>
              </w:r>
            </w:hyperlink>
          </w:p>
        </w:tc>
        <w:tc>
          <w:tcPr>
            <w:tcW w:w="1460" w:type="dxa"/>
            <w:vAlign w:val="bottom"/>
          </w:tcPr>
          <w:p>
            <w:pPr>
              <w:jc w:val="right"/>
              <w:spacing w:after="0"/>
              <w:rPr>
                <w:sz w:val="20"/>
                <w:szCs w:val="20"/>
                <w:color w:val="auto"/>
              </w:rPr>
            </w:pPr>
            <w:r>
              <w:rPr>
                <w:rFonts w:ascii="Arial" w:cs="Arial" w:eastAsia="Arial" w:hAnsi="Arial"/>
                <w:sz w:val="16"/>
                <w:szCs w:val="16"/>
                <w:b w:val="1"/>
                <w:bCs w:val="1"/>
                <w:color w:val="E52823"/>
              </w:rPr>
              <w:t>i</w:t>
            </w:r>
          </w:p>
        </w:tc>
        <w:tc>
          <w:tcPr>
            <w:tcW w:w="0" w:type="dxa"/>
            <w:vAlign w:val="bottom"/>
          </w:tcPr>
          <w:p>
            <w:pPr>
              <w:spacing w:after="0"/>
              <w:rPr>
                <w:sz w:val="1"/>
                <w:szCs w:val="1"/>
                <w:color w:val="auto"/>
              </w:rPr>
            </w:pPr>
          </w:p>
        </w:tc>
      </w:tr>
      <w:tr>
        <w:trPr>
          <w:trHeight w:val="399"/>
        </w:trPr>
        <w:tc>
          <w:tcPr>
            <w:tcW w:w="9080" w:type="dxa"/>
            <w:vAlign w:val="bottom"/>
            <w:gridSpan w:val="2"/>
          </w:tcPr>
          <w:p>
            <w:pPr>
              <w:spacing w:after="0"/>
              <w:rPr>
                <w:rFonts w:ascii="Arial" w:cs="Arial" w:eastAsia="Arial" w:hAnsi="Arial"/>
                <w:sz w:val="16"/>
                <w:szCs w:val="16"/>
                <w:b w:val="1"/>
                <w:bCs w:val="1"/>
                <w:u w:val="single" w:color="auto"/>
                <w:color w:val="0000EE"/>
              </w:rPr>
            </w:pPr>
            <w:hyperlink w:anchor="page14">
              <w:r>
                <w:rPr>
                  <w:rFonts w:ascii="Arial" w:cs="Arial" w:eastAsia="Arial" w:hAnsi="Arial"/>
                  <w:sz w:val="16"/>
                  <w:szCs w:val="16"/>
                  <w:b w:val="1"/>
                  <w:bCs w:val="1"/>
                  <w:u w:val="single" w:color="auto"/>
                  <w:color w:val="0000EE"/>
                </w:rPr>
                <w:t>PROXY STATEMENT</w:t>
              </w:r>
            </w:hyperlink>
          </w:p>
        </w:tc>
        <w:tc>
          <w:tcPr>
            <w:tcW w:w="1460" w:type="dxa"/>
            <w:vAlign w:val="bottom"/>
          </w:tcPr>
          <w:p>
            <w:pPr>
              <w:jc w:val="right"/>
              <w:spacing w:after="0"/>
              <w:rPr>
                <w:sz w:val="20"/>
                <w:szCs w:val="20"/>
                <w:color w:val="auto"/>
              </w:rPr>
            </w:pPr>
            <w:r>
              <w:rPr>
                <w:rFonts w:ascii="Arial" w:cs="Arial" w:eastAsia="Arial" w:hAnsi="Arial"/>
                <w:sz w:val="16"/>
                <w:szCs w:val="16"/>
                <w:b w:val="1"/>
                <w:bCs w:val="1"/>
                <w:color w:val="E52823"/>
              </w:rPr>
              <w:t>1</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Garrett’s Voting Securities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Voting Your Shares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Attending the Annual Meeting Online</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Technical Difficulties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Questions and Answers during the Annual Meeting</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Recommendations of the Board</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Broker Non-Votes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Revoking Your Proxy or Changing Your Vote</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5"/>
        </w:trPr>
        <w:tc>
          <w:tcPr>
            <w:tcW w:w="9080" w:type="dxa"/>
            <w:vAlign w:val="bottom"/>
            <w:gridSpan w:val="2"/>
          </w:tcPr>
          <w:p>
            <w:pPr>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Quorum and Votes Requires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1460" w:type="dxa"/>
            <w:vAlign w:val="bottom"/>
          </w:tcPr>
          <w:p>
            <w:pPr>
              <w:spacing w:after="0"/>
              <w:rPr>
                <w:sz w:val="18"/>
                <w:szCs w:val="18"/>
                <w:color w:val="auto"/>
              </w:rPr>
            </w:pPr>
          </w:p>
        </w:tc>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—ELECTION OF DIRECTORS</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E52823"/>
              </w:rPr>
              <w:t>5</w:t>
            </w:r>
          </w:p>
        </w:tc>
        <w:tc>
          <w:tcPr>
            <w:tcW w:w="0" w:type="dxa"/>
            <w:vAlign w:val="bottom"/>
          </w:tcPr>
          <w:p>
            <w:pPr>
              <w:spacing w:after="0"/>
              <w:rPr>
                <w:sz w:val="1"/>
                <w:szCs w:val="1"/>
                <w:color w:val="auto"/>
              </w:rPr>
            </w:pPr>
          </w:p>
        </w:tc>
      </w:tr>
      <w:tr>
        <w:trPr>
          <w:trHeight w:val="189"/>
        </w:trPr>
        <w:tc>
          <w:tcPr>
            <w:tcW w:w="1460" w:type="dxa"/>
            <w:vAlign w:val="bottom"/>
            <w:shd w:val="clear" w:color="auto" w:fill="E52823"/>
          </w:tcPr>
          <w:p>
            <w:pPr>
              <w:ind w:left="60"/>
              <w:spacing w:after="0"/>
              <w:rPr>
                <w:rFonts w:ascii="Arial" w:cs="Arial" w:eastAsia="Arial" w:hAnsi="Arial"/>
                <w:sz w:val="16"/>
                <w:szCs w:val="16"/>
                <w:b w:val="1"/>
                <w:bCs w:val="1"/>
                <w:u w:val="single" w:color="auto"/>
                <w:color w:val="FFFFFF"/>
                <w:shd w:val="clear" w:color="auto" w:fill="E52823"/>
              </w:rPr>
            </w:pPr>
            <w:hyperlink w:anchor="page18">
              <w:r>
                <w:rPr>
                  <w:rFonts w:ascii="Arial" w:cs="Arial" w:eastAsia="Arial" w:hAnsi="Arial"/>
                  <w:sz w:val="16"/>
                  <w:szCs w:val="16"/>
                  <w:b w:val="1"/>
                  <w:bCs w:val="1"/>
                  <w:u w:val="single" w:color="auto"/>
                  <w:color w:val="FFFFFF"/>
                  <w:shd w:val="clear" w:color="auto" w:fill="E52823"/>
                </w:rPr>
                <w:t>PROPOSAL ONE</w:t>
              </w:r>
            </w:hyperlink>
          </w:p>
        </w:tc>
        <w:tc>
          <w:tcPr>
            <w:tcW w:w="76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080" w:type="dxa"/>
            <w:vAlign w:val="bottom"/>
            <w:gridSpan w:val="2"/>
          </w:tcPr>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Board Recommendation</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Director Resignation Policy</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5"/>
        </w:trPr>
        <w:tc>
          <w:tcPr>
            <w:tcW w:w="9080" w:type="dxa"/>
            <w:vAlign w:val="bottom"/>
            <w:gridSpan w:val="2"/>
          </w:tcPr>
          <w:p>
            <w:pPr>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Our Board of Directors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99"/>
        </w:trPr>
        <w:tc>
          <w:tcPr>
            <w:tcW w:w="9080" w:type="dxa"/>
            <w:vAlign w:val="bottom"/>
            <w:gridSpan w:val="2"/>
          </w:tcPr>
          <w:p>
            <w:pPr>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CORPORATE GOVERNANCE</w:t>
              </w:r>
            </w:hyperlink>
          </w:p>
        </w:tc>
        <w:tc>
          <w:tcPr>
            <w:tcW w:w="1460" w:type="dxa"/>
            <w:vAlign w:val="bottom"/>
          </w:tcPr>
          <w:p>
            <w:pPr>
              <w:jc w:val="right"/>
              <w:spacing w:after="0"/>
              <w:rPr>
                <w:sz w:val="20"/>
                <w:szCs w:val="20"/>
                <w:color w:val="auto"/>
              </w:rPr>
            </w:pPr>
            <w:r>
              <w:rPr>
                <w:rFonts w:ascii="Arial" w:cs="Arial" w:eastAsia="Arial" w:hAnsi="Arial"/>
                <w:sz w:val="16"/>
                <w:szCs w:val="16"/>
                <w:b w:val="1"/>
                <w:bCs w:val="1"/>
                <w:color w:val="E52823"/>
              </w:rPr>
              <w:t>11</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Director Independence</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Board Leadership Structure</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Board Meetings and Attendance</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Executive Sessions of Non-Employee Directors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Director Orientation and Continuing Education</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Board Refreshment</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Comprehensive, Ongoing Process for Board Succession Planning and Selection and Nomination of Directors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Consideration of Board Diversity</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Stockholder Recommendations and Nominations of Director Candidates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Corporate Governance Documents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Code of Conduct</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Board Committees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Compensation Committee Interlocks and Insider Participation</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The Board’s Role in Risk Oversight</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Corporate Responsibility</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Sustainability Commitments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Prohibition of Hedging or Pledging the Company’s Securities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Communications with Directors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5"/>
        </w:trPr>
        <w:tc>
          <w:tcPr>
            <w:tcW w:w="9080" w:type="dxa"/>
            <w:vAlign w:val="bottom"/>
            <w:gridSpan w:val="2"/>
          </w:tcPr>
          <w:p>
            <w:pPr>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Our Executive Officers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99"/>
        </w:trPr>
        <w:tc>
          <w:tcPr>
            <w:tcW w:w="9080" w:type="dxa"/>
            <w:vAlign w:val="bottom"/>
            <w:gridSpan w:val="2"/>
          </w:tcPr>
          <w:p>
            <w:pPr>
              <w:spacing w:after="0"/>
              <w:rPr>
                <w:rFonts w:ascii="Arial" w:cs="Arial" w:eastAsia="Arial" w:hAnsi="Arial"/>
                <w:sz w:val="16"/>
                <w:szCs w:val="16"/>
                <w:b w:val="1"/>
                <w:bCs w:val="1"/>
                <w:u w:val="single" w:color="auto"/>
                <w:color w:val="0000EE"/>
              </w:rPr>
            </w:pPr>
            <w:hyperlink w:anchor="page35">
              <w:r>
                <w:rPr>
                  <w:rFonts w:ascii="Arial" w:cs="Arial" w:eastAsia="Arial" w:hAnsi="Arial"/>
                  <w:sz w:val="16"/>
                  <w:szCs w:val="16"/>
                  <w:b w:val="1"/>
                  <w:bCs w:val="1"/>
                  <w:u w:val="single" w:color="auto"/>
                  <w:color w:val="0000EE"/>
                </w:rPr>
                <w:t>EXECUTIVE COMPENSATION</w:t>
              </w:r>
            </w:hyperlink>
          </w:p>
        </w:tc>
        <w:tc>
          <w:tcPr>
            <w:tcW w:w="1460" w:type="dxa"/>
            <w:vAlign w:val="bottom"/>
          </w:tcPr>
          <w:p>
            <w:pPr>
              <w:jc w:val="right"/>
              <w:spacing w:after="0"/>
              <w:rPr>
                <w:sz w:val="20"/>
                <w:szCs w:val="20"/>
                <w:color w:val="auto"/>
              </w:rPr>
            </w:pPr>
            <w:r>
              <w:rPr>
                <w:rFonts w:ascii="Arial" w:cs="Arial" w:eastAsia="Arial" w:hAnsi="Arial"/>
                <w:sz w:val="16"/>
                <w:szCs w:val="16"/>
                <w:b w:val="1"/>
                <w:bCs w:val="1"/>
                <w:color w:val="E52823"/>
              </w:rPr>
              <w:t>22</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Compensation Discussion and Analysis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Executive Summary</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2019 Say-on-Pay Vote and Shareholder Outreach</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Determination of Process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Elements of Executive Compensation</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Other Company Compensation and Benefit Programs for Fiscal 2019</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Certain Honeywell Compensation and Benefit Programs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Company Compensation Programs for Fiscal 2020</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9080" w:type="dxa"/>
            <w:vAlign w:val="bottom"/>
            <w:gridSpan w:val="2"/>
          </w:tcPr>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Other Matters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9080" w:type="dxa"/>
            <w:vAlign w:val="bottom"/>
            <w:gridSpan w:val="2"/>
          </w:tcPr>
          <w:p>
            <w:pPr>
              <w:ind w:left="34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Tax and Accounting Considerations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5"/>
        </w:trPr>
        <w:tc>
          <w:tcPr>
            <w:tcW w:w="9080" w:type="dxa"/>
            <w:vAlign w:val="bottom"/>
            <w:gridSpan w:val="2"/>
          </w:tcPr>
          <w:p>
            <w:pPr>
              <w:ind w:left="34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Responsible Equity Grant Practices</w:t>
              </w:r>
            </w:hyperlink>
          </w:p>
        </w:tc>
        <w:tc>
          <w:tcPr>
            <w:tcW w:w="14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6254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9200" w:type="dxa"/>
            <w:vAlign w:val="bottom"/>
            <w:gridSpan w:val="3"/>
          </w:tcPr>
          <w:p>
            <w:pPr>
              <w:ind w:left="340"/>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Securities Trading Policy</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9200" w:type="dxa"/>
            <w:vAlign w:val="bottom"/>
            <w:gridSpan w:val="3"/>
          </w:tcPr>
          <w:p>
            <w:pPr>
              <w:ind w:left="3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Prohibition on Hedging and Pledging</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9200" w:type="dxa"/>
            <w:vAlign w:val="bottom"/>
            <w:gridSpan w:val="3"/>
          </w:tcPr>
          <w:p>
            <w:pPr>
              <w:ind w:left="3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Clawback Policy</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5"/>
        </w:trPr>
        <w:tc>
          <w:tcPr>
            <w:tcW w:w="9200" w:type="dxa"/>
            <w:vAlign w:val="bottom"/>
            <w:gridSpan w:val="3"/>
          </w:tcPr>
          <w:p>
            <w:pPr>
              <w:ind w:left="340"/>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Stock Ownership Guidelines and Broad-Based Stock Ownership</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53">
              <w:r>
                <w:rPr>
                  <w:rFonts w:ascii="Arial" w:cs="Arial" w:eastAsia="Arial" w:hAnsi="Arial"/>
                  <w:sz w:val="16"/>
                  <w:szCs w:val="16"/>
                  <w:b w:val="1"/>
                  <w:bCs w:val="1"/>
                  <w:u w:val="single" w:color="auto"/>
                  <w:color w:val="0000EE"/>
                </w:rPr>
                <w:t>COMPENSATION COMMITTEE REPORT</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40</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SUMMARY COMPENSATION TABLE</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41</w:t>
            </w:r>
          </w:p>
        </w:tc>
        <w:tc>
          <w:tcPr>
            <w:tcW w:w="0" w:type="dxa"/>
            <w:vAlign w:val="bottom"/>
          </w:tcPr>
          <w:p>
            <w:pPr>
              <w:spacing w:after="0"/>
              <w:rPr>
                <w:sz w:val="1"/>
                <w:szCs w:val="1"/>
                <w:color w:val="auto"/>
              </w:rPr>
            </w:pPr>
          </w:p>
        </w:tc>
      </w:tr>
      <w:tr>
        <w:trPr>
          <w:trHeight w:val="399"/>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GRANTS OF PLAN-BASED AWARDS—FISCAL YEAR 2019</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43</w:t>
            </w:r>
          </w:p>
        </w:tc>
        <w:tc>
          <w:tcPr>
            <w:tcW w:w="0" w:type="dxa"/>
            <w:vAlign w:val="bottom"/>
          </w:tcPr>
          <w:p>
            <w:pPr>
              <w:spacing w:after="0"/>
              <w:rPr>
                <w:sz w:val="1"/>
                <w:szCs w:val="1"/>
                <w:color w:val="auto"/>
              </w:rPr>
            </w:pPr>
          </w:p>
        </w:tc>
      </w:tr>
      <w:tr>
        <w:trPr>
          <w:trHeight w:val="195"/>
        </w:trPr>
        <w:tc>
          <w:tcPr>
            <w:tcW w:w="9200" w:type="dxa"/>
            <w:vAlign w:val="bottom"/>
            <w:gridSpan w:val="3"/>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Narrative Disclosure to Summary Compensation Table and Grants of Plan-Based Awards Table</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60">
              <w:r>
                <w:rPr>
                  <w:rFonts w:ascii="Arial" w:cs="Arial" w:eastAsia="Arial" w:hAnsi="Arial"/>
                  <w:sz w:val="16"/>
                  <w:szCs w:val="16"/>
                  <w:b w:val="1"/>
                  <w:bCs w:val="1"/>
                  <w:u w:val="single" w:color="auto"/>
                  <w:color w:val="0000EE"/>
                </w:rPr>
                <w:t>OUTSTANDING EQUITY AWARDS AT 2019 FISCAL YEAR-END</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47</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63">
              <w:r>
                <w:rPr>
                  <w:rFonts w:ascii="Arial" w:cs="Arial" w:eastAsia="Arial" w:hAnsi="Arial"/>
                  <w:sz w:val="16"/>
                  <w:szCs w:val="16"/>
                  <w:b w:val="1"/>
                  <w:bCs w:val="1"/>
                  <w:u w:val="single" w:color="auto"/>
                  <w:color w:val="0000EE"/>
                </w:rPr>
                <w:t>OPTION EXERCISES AND STOCK VESTED—FISCAL YEAR 2019</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50</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64">
              <w:r>
                <w:rPr>
                  <w:rFonts w:ascii="Arial" w:cs="Arial" w:eastAsia="Arial" w:hAnsi="Arial"/>
                  <w:sz w:val="16"/>
                  <w:szCs w:val="16"/>
                  <w:b w:val="1"/>
                  <w:bCs w:val="1"/>
                  <w:u w:val="single" w:color="auto"/>
                  <w:color w:val="0000EE"/>
                </w:rPr>
                <w:t>PENSION BENEFITS—FISCAL YEAR 2019</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51</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65">
              <w:r>
                <w:rPr>
                  <w:rFonts w:ascii="Arial" w:cs="Arial" w:eastAsia="Arial" w:hAnsi="Arial"/>
                  <w:sz w:val="16"/>
                  <w:szCs w:val="16"/>
                  <w:b w:val="1"/>
                  <w:bCs w:val="1"/>
                  <w:u w:val="single" w:color="auto"/>
                  <w:color w:val="0000EE"/>
                </w:rPr>
                <w:t>NONQUALIFIED DEFERRED COMPENSATION—FISCAL YEAR 2019</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52</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66">
              <w:r>
                <w:rPr>
                  <w:rFonts w:ascii="Arial" w:cs="Arial" w:eastAsia="Arial" w:hAnsi="Arial"/>
                  <w:sz w:val="16"/>
                  <w:szCs w:val="16"/>
                  <w:b w:val="1"/>
                  <w:bCs w:val="1"/>
                  <w:u w:val="single" w:color="auto"/>
                  <w:color w:val="0000EE"/>
                </w:rPr>
                <w:t>SUMMARY OF POTENTIAL PAYMENTS AND BENEFITS—TERMINATION EVENTS</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53</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69">
              <w:r>
                <w:rPr>
                  <w:rFonts w:ascii="Arial" w:cs="Arial" w:eastAsia="Arial" w:hAnsi="Arial"/>
                  <w:sz w:val="16"/>
                  <w:szCs w:val="16"/>
                  <w:b w:val="1"/>
                  <w:bCs w:val="1"/>
                  <w:u w:val="single" w:color="auto"/>
                  <w:color w:val="0000EE"/>
                </w:rPr>
                <w:t>CEO PAY RATIO DISCLOSURE</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56</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70">
              <w:r>
                <w:rPr>
                  <w:rFonts w:ascii="Arial" w:cs="Arial" w:eastAsia="Arial" w:hAnsi="Arial"/>
                  <w:sz w:val="16"/>
                  <w:szCs w:val="16"/>
                  <w:b w:val="1"/>
                  <w:bCs w:val="1"/>
                  <w:u w:val="single" w:color="auto"/>
                  <w:color w:val="0000EE"/>
                </w:rPr>
                <w:t>EQUITY COMPENSATION PLAN INFORMATION</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57</w:t>
            </w:r>
          </w:p>
        </w:tc>
        <w:tc>
          <w:tcPr>
            <w:tcW w:w="0" w:type="dxa"/>
            <w:vAlign w:val="bottom"/>
          </w:tcPr>
          <w:p>
            <w:pPr>
              <w:spacing w:after="0"/>
              <w:rPr>
                <w:sz w:val="1"/>
                <w:szCs w:val="1"/>
                <w:color w:val="auto"/>
              </w:rPr>
            </w:pPr>
          </w:p>
        </w:tc>
      </w:tr>
      <w:tr>
        <w:trPr>
          <w:trHeight w:val="399"/>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71">
              <w:r>
                <w:rPr>
                  <w:rFonts w:ascii="Arial" w:cs="Arial" w:eastAsia="Arial" w:hAnsi="Arial"/>
                  <w:sz w:val="16"/>
                  <w:szCs w:val="16"/>
                  <w:b w:val="1"/>
                  <w:bCs w:val="1"/>
                  <w:u w:val="single" w:color="auto"/>
                  <w:color w:val="0000EE"/>
                </w:rPr>
                <w:t>DIRECTOR COMPENSATION</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58</w:t>
            </w:r>
          </w:p>
        </w:tc>
        <w:tc>
          <w:tcPr>
            <w:tcW w:w="0" w:type="dxa"/>
            <w:vAlign w:val="bottom"/>
          </w:tcPr>
          <w:p>
            <w:pPr>
              <w:spacing w:after="0"/>
              <w:rPr>
                <w:sz w:val="1"/>
                <w:szCs w:val="1"/>
                <w:color w:val="auto"/>
              </w:rPr>
            </w:pPr>
          </w:p>
        </w:tc>
      </w:tr>
      <w:tr>
        <w:trPr>
          <w:trHeight w:val="195"/>
        </w:trPr>
        <w:tc>
          <w:tcPr>
            <w:tcW w:w="9200" w:type="dxa"/>
            <w:vAlign w:val="bottom"/>
            <w:gridSpan w:val="3"/>
          </w:tcPr>
          <w:p>
            <w:pPr>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2019 Director Compensation Table</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405"/>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73">
              <w:r>
                <w:rPr>
                  <w:rFonts w:ascii="Arial" w:cs="Arial" w:eastAsia="Arial" w:hAnsi="Arial"/>
                  <w:sz w:val="16"/>
                  <w:szCs w:val="16"/>
                  <w:b w:val="1"/>
                  <w:bCs w:val="1"/>
                  <w:u w:val="single" w:color="auto"/>
                  <w:color w:val="0000EE"/>
                </w:rPr>
                <w:t>SECURITY OWNERSHIP OF CERTAIN BENEFICIAL OWNERS AND MANAGEMENT</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60</w:t>
            </w:r>
          </w:p>
        </w:tc>
        <w:tc>
          <w:tcPr>
            <w:tcW w:w="0" w:type="dxa"/>
            <w:vAlign w:val="bottom"/>
          </w:tcPr>
          <w:p>
            <w:pPr>
              <w:spacing w:after="0"/>
              <w:rPr>
                <w:sz w:val="1"/>
                <w:szCs w:val="1"/>
                <w:color w:val="auto"/>
              </w:rPr>
            </w:pPr>
          </w:p>
        </w:tc>
      </w:tr>
      <w:tr>
        <w:trPr>
          <w:trHeight w:val="399"/>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75">
              <w:r>
                <w:rPr>
                  <w:rFonts w:ascii="Arial" w:cs="Arial" w:eastAsia="Arial" w:hAnsi="Arial"/>
                  <w:sz w:val="16"/>
                  <w:szCs w:val="16"/>
                  <w:b w:val="1"/>
                  <w:bCs w:val="1"/>
                  <w:u w:val="single" w:color="auto"/>
                  <w:color w:val="0000EE"/>
                </w:rPr>
                <w:t>CERTAIN RELATIONSHIPS AND RELATED PERSON TRANSACTIONS</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62</w:t>
            </w:r>
          </w:p>
        </w:tc>
        <w:tc>
          <w:tcPr>
            <w:tcW w:w="0" w:type="dxa"/>
            <w:vAlign w:val="bottom"/>
          </w:tcPr>
          <w:p>
            <w:pPr>
              <w:spacing w:after="0"/>
              <w:rPr>
                <w:sz w:val="1"/>
                <w:szCs w:val="1"/>
                <w:color w:val="auto"/>
              </w:rPr>
            </w:pPr>
          </w:p>
        </w:tc>
      </w:tr>
      <w:tr>
        <w:trPr>
          <w:trHeight w:val="195"/>
        </w:trPr>
        <w:tc>
          <w:tcPr>
            <w:tcW w:w="9200" w:type="dxa"/>
            <w:vAlign w:val="bottom"/>
            <w:gridSpan w:val="3"/>
          </w:tcPr>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Policies and Procedures for Related Person Transactions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7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—RATIFICATION OF APPOINTMENT OF INDEPENDENT REGISTERED PUBLIC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E52823"/>
          </w:tcPr>
          <w:p>
            <w:pPr>
              <w:ind w:left="60"/>
              <w:spacing w:after="0"/>
              <w:rPr>
                <w:rFonts w:ascii="Arial" w:cs="Arial" w:eastAsia="Arial" w:hAnsi="Arial"/>
                <w:sz w:val="16"/>
                <w:szCs w:val="16"/>
                <w:b w:val="1"/>
                <w:bCs w:val="1"/>
                <w:u w:val="single" w:color="auto"/>
                <w:color w:val="FFFFFF"/>
                <w:shd w:val="clear" w:color="auto" w:fill="E52823"/>
              </w:rPr>
            </w:pPr>
            <w:hyperlink w:anchor="page76">
              <w:r>
                <w:rPr>
                  <w:rFonts w:ascii="Arial" w:cs="Arial" w:eastAsia="Arial" w:hAnsi="Arial"/>
                  <w:sz w:val="16"/>
                  <w:szCs w:val="16"/>
                  <w:b w:val="1"/>
                  <w:bCs w:val="1"/>
                  <w:u w:val="single" w:color="auto"/>
                  <w:color w:val="FFFFFF"/>
                  <w:shd w:val="clear" w:color="auto" w:fill="E52823"/>
                </w:rPr>
                <w:t>PROPOSAL TWO</w:t>
              </w:r>
            </w:hyperlink>
          </w:p>
        </w:tc>
        <w:tc>
          <w:tcPr>
            <w:tcW w:w="7720" w:type="dxa"/>
            <w:vAlign w:val="bottom"/>
            <w:gridSpan w:val="2"/>
            <w:vMerge w:val="continue"/>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E52823"/>
              </w:rPr>
              <w:t>63</w:t>
            </w:r>
          </w:p>
        </w:tc>
        <w:tc>
          <w:tcPr>
            <w:tcW w:w="0" w:type="dxa"/>
            <w:vAlign w:val="bottom"/>
          </w:tcPr>
          <w:p>
            <w:pPr>
              <w:spacing w:after="0"/>
              <w:rPr>
                <w:sz w:val="1"/>
                <w:szCs w:val="1"/>
                <w:color w:val="auto"/>
              </w:rPr>
            </w:pPr>
          </w:p>
        </w:tc>
      </w:tr>
      <w:tr>
        <w:trPr>
          <w:trHeight w:val="204"/>
        </w:trPr>
        <w:tc>
          <w:tcPr>
            <w:tcW w:w="9200" w:type="dxa"/>
            <w:vAlign w:val="bottom"/>
            <w:gridSpan w:val="3"/>
          </w:tcPr>
          <w:p>
            <w:pPr>
              <w:ind w:left="20"/>
              <w:spacing w:after="0"/>
              <w:rPr>
                <w:rFonts w:ascii="Arial" w:cs="Arial" w:eastAsia="Arial" w:hAnsi="Arial"/>
                <w:sz w:val="16"/>
                <w:szCs w:val="16"/>
                <w:b w:val="1"/>
                <w:bCs w:val="1"/>
                <w:u w:val="single" w:color="auto"/>
                <w:color w:val="0000EE"/>
              </w:rPr>
            </w:pPr>
            <w:hyperlink w:anchor="page76">
              <w:r>
                <w:rPr>
                  <w:rFonts w:ascii="Arial" w:cs="Arial" w:eastAsia="Arial" w:hAnsi="Arial"/>
                  <w:sz w:val="16"/>
                  <w:szCs w:val="16"/>
                  <w:b w:val="1"/>
                  <w:bCs w:val="1"/>
                  <w:u w:val="single" w:color="auto"/>
                  <w:color w:val="0000EE"/>
                </w:rPr>
                <w:t>ACCOUNTING FIRM</w:t>
              </w:r>
            </w:hyperlink>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Board Recommendation</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Principal Accountant Fees and Services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Pre-Approval Policies and Procedures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95"/>
        </w:trPr>
        <w:tc>
          <w:tcPr>
            <w:tcW w:w="9200" w:type="dxa"/>
            <w:vAlign w:val="bottom"/>
            <w:gridSpan w:val="3"/>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Report of the Audit Committee</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1560" w:type="dxa"/>
            <w:vAlign w:val="bottom"/>
            <w:gridSpan w:val="2"/>
          </w:tcPr>
          <w:p>
            <w:pPr>
              <w:spacing w:after="0"/>
              <w:rPr>
                <w:sz w:val="18"/>
                <w:szCs w:val="18"/>
                <w:color w:val="auto"/>
              </w:rPr>
            </w:pPr>
          </w:p>
        </w:tc>
        <w:tc>
          <w:tcPr>
            <w:tcW w:w="76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—APPROVAL, ON AN ADVISORY (NON-BINDING) BASIS, OF THE COMPENSATION</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60" w:type="dxa"/>
            <w:vAlign w:val="bottom"/>
            <w:gridSpan w:val="2"/>
            <w:shd w:val="clear" w:color="auto" w:fill="E52823"/>
          </w:tcPr>
          <w:p>
            <w:pPr>
              <w:ind w:left="60"/>
              <w:spacing w:after="0"/>
              <w:rPr>
                <w:rFonts w:ascii="Arial" w:cs="Arial" w:eastAsia="Arial" w:hAnsi="Arial"/>
                <w:sz w:val="16"/>
                <w:szCs w:val="16"/>
                <w:b w:val="1"/>
                <w:bCs w:val="1"/>
                <w:u w:val="single" w:color="auto"/>
                <w:color w:val="FFFFFF"/>
                <w:w w:val="99"/>
                <w:shd w:val="clear" w:color="auto" w:fill="E52823"/>
              </w:rPr>
            </w:pPr>
            <w:hyperlink w:anchor="page79">
              <w:r>
                <w:rPr>
                  <w:rFonts w:ascii="Arial" w:cs="Arial" w:eastAsia="Arial" w:hAnsi="Arial"/>
                  <w:sz w:val="16"/>
                  <w:szCs w:val="16"/>
                  <w:b w:val="1"/>
                  <w:bCs w:val="1"/>
                  <w:u w:val="single" w:color="auto"/>
                  <w:color w:val="FFFFFF"/>
                  <w:w w:val="99"/>
                  <w:shd w:val="clear" w:color="auto" w:fill="E52823"/>
                </w:rPr>
                <w:t>PROPOSAL THREE</w:t>
              </w:r>
            </w:hyperlink>
          </w:p>
        </w:tc>
        <w:tc>
          <w:tcPr>
            <w:tcW w:w="7640" w:type="dxa"/>
            <w:vAlign w:val="bottom"/>
            <w:vMerge w:val="continue"/>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E52823"/>
              </w:rPr>
              <w:t>66</w:t>
            </w:r>
          </w:p>
        </w:tc>
        <w:tc>
          <w:tcPr>
            <w:tcW w:w="0" w:type="dxa"/>
            <w:vAlign w:val="bottom"/>
          </w:tcPr>
          <w:p>
            <w:pPr>
              <w:spacing w:after="0"/>
              <w:rPr>
                <w:sz w:val="1"/>
                <w:szCs w:val="1"/>
                <w:color w:val="auto"/>
              </w:rPr>
            </w:pPr>
          </w:p>
        </w:tc>
      </w:tr>
      <w:tr>
        <w:trPr>
          <w:trHeight w:val="204"/>
        </w:trPr>
        <w:tc>
          <w:tcPr>
            <w:tcW w:w="9200" w:type="dxa"/>
            <w:vAlign w:val="bottom"/>
            <w:gridSpan w:val="3"/>
          </w:tcPr>
          <w:p>
            <w:pPr>
              <w:ind w:left="20"/>
              <w:spacing w:after="0"/>
              <w:rPr>
                <w:rFonts w:ascii="Arial" w:cs="Arial" w:eastAsia="Arial" w:hAnsi="Arial"/>
                <w:sz w:val="16"/>
                <w:szCs w:val="16"/>
                <w:b w:val="1"/>
                <w:bCs w:val="1"/>
                <w:u w:val="single" w:color="auto"/>
                <w:color w:val="0000EE"/>
              </w:rPr>
            </w:pPr>
            <w:hyperlink w:anchor="page79">
              <w:r>
                <w:rPr>
                  <w:rFonts w:ascii="Arial" w:cs="Arial" w:eastAsia="Arial" w:hAnsi="Arial"/>
                  <w:sz w:val="16"/>
                  <w:szCs w:val="16"/>
                  <w:b w:val="1"/>
                  <w:bCs w:val="1"/>
                  <w:u w:val="single" w:color="auto"/>
                  <w:color w:val="0000EE"/>
                </w:rPr>
                <w:t>OF OUR NAMED EXECUTIVE OFFICERS</w:t>
              </w:r>
            </w:hyperlink>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Background</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Frequency of Say-on-Pay Vote and 2019 Say-on-Pay Vote</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5"/>
        </w:trPr>
        <w:tc>
          <w:tcPr>
            <w:tcW w:w="9200" w:type="dxa"/>
            <w:vAlign w:val="bottom"/>
            <w:gridSpan w:val="3"/>
          </w:tcPr>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Board Recommendation</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99"/>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80">
              <w:r>
                <w:rPr>
                  <w:rFonts w:ascii="Arial" w:cs="Arial" w:eastAsia="Arial" w:hAnsi="Arial"/>
                  <w:sz w:val="16"/>
                  <w:szCs w:val="16"/>
                  <w:b w:val="1"/>
                  <w:bCs w:val="1"/>
                  <w:u w:val="single" w:color="auto"/>
                  <w:color w:val="0000EE"/>
                </w:rPr>
                <w:t>ADDITIONAL INFORMATION</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67</w:t>
            </w: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Stockholder Proposals and Director Nominations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Householding of Annual Meeting Materials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Other Matters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5"/>
        </w:trPr>
        <w:tc>
          <w:tcPr>
            <w:tcW w:w="9200" w:type="dxa"/>
            <w:vAlign w:val="bottom"/>
            <w:gridSpan w:val="3"/>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Solicitation of Proxies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99"/>
        </w:trPr>
        <w:tc>
          <w:tcPr>
            <w:tcW w:w="9200" w:type="dxa"/>
            <w:vAlign w:val="bottom"/>
            <w:gridSpan w:val="3"/>
          </w:tcPr>
          <w:p>
            <w:pPr>
              <w:spacing w:after="0"/>
              <w:rPr>
                <w:rFonts w:ascii="Arial" w:cs="Arial" w:eastAsia="Arial" w:hAnsi="Arial"/>
                <w:sz w:val="16"/>
                <w:szCs w:val="16"/>
                <w:b w:val="1"/>
                <w:bCs w:val="1"/>
                <w:u w:val="single" w:color="auto"/>
                <w:color w:val="0000EE"/>
              </w:rPr>
            </w:pPr>
            <w:hyperlink w:anchor="page82">
              <w:r>
                <w:rPr>
                  <w:rFonts w:ascii="Arial" w:cs="Arial" w:eastAsia="Arial" w:hAnsi="Arial"/>
                  <w:sz w:val="16"/>
                  <w:szCs w:val="16"/>
                  <w:b w:val="1"/>
                  <w:bCs w:val="1"/>
                  <w:u w:val="single" w:color="auto"/>
                  <w:color w:val="0000EE"/>
                </w:rPr>
                <w:t>ANNEX</w:t>
              </w:r>
            </w:hyperlink>
          </w:p>
        </w:tc>
        <w:tc>
          <w:tcPr>
            <w:tcW w:w="1340" w:type="dxa"/>
            <w:vAlign w:val="bottom"/>
          </w:tcPr>
          <w:p>
            <w:pPr>
              <w:jc w:val="right"/>
              <w:spacing w:after="0"/>
              <w:rPr>
                <w:sz w:val="20"/>
                <w:szCs w:val="20"/>
                <w:color w:val="auto"/>
              </w:rPr>
            </w:pPr>
            <w:r>
              <w:rPr>
                <w:rFonts w:ascii="Arial" w:cs="Arial" w:eastAsia="Arial" w:hAnsi="Arial"/>
                <w:sz w:val="16"/>
                <w:szCs w:val="16"/>
                <w:b w:val="1"/>
                <w:bCs w:val="1"/>
                <w:color w:val="E52823"/>
              </w:rPr>
              <w:t>69</w:t>
            </w:r>
          </w:p>
        </w:tc>
        <w:tc>
          <w:tcPr>
            <w:tcW w:w="0" w:type="dxa"/>
            <w:vAlign w:val="bottom"/>
          </w:tcPr>
          <w:p>
            <w:pPr>
              <w:spacing w:after="0"/>
              <w:rPr>
                <w:sz w:val="1"/>
                <w:szCs w:val="1"/>
                <w:color w:val="auto"/>
              </w:rPr>
            </w:pPr>
          </w:p>
        </w:tc>
      </w:tr>
      <w:tr>
        <w:trPr>
          <w:trHeight w:val="189"/>
        </w:trPr>
        <w:tc>
          <w:tcPr>
            <w:tcW w:w="9200" w:type="dxa"/>
            <w:vAlign w:val="bottom"/>
            <w:gridSpan w:val="3"/>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Non-GAAP Financial Measures</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5"/>
        </w:trPr>
        <w:tc>
          <w:tcPr>
            <w:tcW w:w="9200" w:type="dxa"/>
            <w:vAlign w:val="bottom"/>
            <w:gridSpan w:val="3"/>
          </w:tcPr>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Reconciliation of Net Income to Adjusted EBITDA, Adjusted EBITDA Margin and Adjusted Free Cash Flow</w:t>
              </w:r>
            </w:hyperlink>
          </w:p>
        </w:tc>
        <w:tc>
          <w:tcPr>
            <w:tcW w:w="13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625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PROXY STATEMENT SUMMARY</w:t>
      </w:r>
    </w:p>
    <w:p>
      <w:pPr>
        <w:spacing w:after="0" w:line="234" w:lineRule="exact"/>
        <w:rPr>
          <w:sz w:val="20"/>
          <w:szCs w:val="20"/>
          <w:color w:val="auto"/>
        </w:rPr>
      </w:pPr>
    </w:p>
    <w:p>
      <w:pPr>
        <w:ind w:left="120" w:right="400"/>
        <w:spacing w:after="0" w:line="253" w:lineRule="auto"/>
        <w:rPr>
          <w:sz w:val="20"/>
          <w:szCs w:val="20"/>
          <w:color w:val="auto"/>
        </w:rPr>
      </w:pPr>
      <w:r>
        <w:rPr>
          <w:rFonts w:ascii="Arial" w:cs="Arial" w:eastAsia="Arial" w:hAnsi="Arial"/>
          <w:sz w:val="16"/>
          <w:szCs w:val="16"/>
          <w:color w:val="auto"/>
        </w:rPr>
        <w:t>This section summarizes and highlights certain information contained in this proxy statement, but does not contain all the information that you should consider when casting your vote. Please review the entire proxy statement as well as our annual report to stockholders for the fiscal year ended December 31, 2019 (the “2019 Annual Report”) carefully before voting.</w:t>
      </w:r>
    </w:p>
    <w:p>
      <w:pPr>
        <w:spacing w:after="0" w:line="16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Garrett Motion Inc. (the “Company”, “Garrett”, “we” or “us”) became an independent publicly-traded company through a pro rata distribution by Honeywell International Inc. (“Honeywell”) of 100% of the then-outstanding shares of Garrett to Honeywell’s stockholders (the “Spin-Off”). Each Honeywell stockholder of record received one share of Garrett common stock for every 10 shares of Honeywell common stock held on the record date. Approximately 74 million shares of Garrett common stock were distributed on October 1, 2018 to Honeywell stockholders. In connection with the Spin-Off, Garrett´s common stock began trading “regular-way” under the ticker symbol “GTX” on the New York Stock Exchange on October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7003415" cy="720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3415" cy="7200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6"/>
          <w:szCs w:val="16"/>
          <w:color w:val="E52823"/>
        </w:rPr>
        <w:t>Proposal 1</w:t>
      </w:r>
    </w:p>
    <w:p>
      <w:pPr>
        <w:spacing w:after="0" w:line="208" w:lineRule="exact"/>
        <w:rPr>
          <w:sz w:val="20"/>
          <w:szCs w:val="20"/>
          <w:color w:val="auto"/>
        </w:rPr>
      </w:pPr>
    </w:p>
    <w:p>
      <w:pPr>
        <w:ind w:left="340"/>
        <w:spacing w:after="0" w:line="253" w:lineRule="auto"/>
        <w:rPr>
          <w:sz w:val="20"/>
          <w:szCs w:val="20"/>
          <w:color w:val="auto"/>
        </w:rPr>
      </w:pPr>
      <w:r>
        <w:rPr>
          <w:rFonts w:ascii="Arial" w:cs="Arial" w:eastAsia="Arial" w:hAnsi="Arial"/>
          <w:sz w:val="16"/>
          <w:szCs w:val="16"/>
          <w:color w:val="auto"/>
        </w:rPr>
        <w:t>Election of three Class II Directors for a two year term ending at the 2022 Annual Meeting of Stockholders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E52823"/>
        </w:rPr>
        <w:t>Board Recommendation and Page No.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color w:val="E52823"/>
        </w:rPr>
        <w:t>“FOR”</w:t>
      </w:r>
      <w:r>
        <w:rPr>
          <w:rFonts w:ascii="Arial" w:cs="Arial" w:eastAsia="Arial" w:hAnsi="Arial"/>
          <w:sz w:val="16"/>
          <w:szCs w:val="16"/>
          <w:color w:val="auto"/>
        </w:rPr>
        <w:t xml:space="preserve"> each of the Board’s nominees.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“Proposal One—Election of Directors” beginning on </w:t>
      </w:r>
      <w:r>
        <w:rPr>
          <w:rFonts w:ascii="Arial" w:cs="Arial" w:eastAsia="Arial" w:hAnsi="Arial"/>
          <w:sz w:val="16"/>
          <w:szCs w:val="16"/>
          <w:color w:val="E52823"/>
        </w:rPr>
        <w:t>page 5</w:t>
      </w:r>
      <w:r>
        <w:rPr>
          <w:rFonts w:ascii="Arial" w:cs="Arial" w:eastAsia="Arial" w:hAnsi="Arial"/>
          <w:sz w:val="16"/>
          <w:szCs w:val="16"/>
          <w:color w:val="auto"/>
        </w:rPr>
        <w:t xml:space="preserve"> of this proxy statement.</w:t>
      </w:r>
    </w:p>
    <w:p>
      <w:pPr>
        <w:spacing w:after="0" w:line="449" w:lineRule="exact"/>
        <w:rPr>
          <w:sz w:val="20"/>
          <w:szCs w:val="20"/>
          <w:color w:val="auto"/>
        </w:rPr>
      </w:pPr>
    </w:p>
    <w:p>
      <w:pPr>
        <w:sectPr>
          <w:pgSz w:w="11900" w:h="16838" w:orient="portrait"/>
          <w:cols w:equalWidth="0" w:num="2">
            <w:col w:w="3260" w:space="600"/>
            <w:col w:w="7280"/>
          </w:cols>
          <w:pgMar w:left="320" w:top="459" w:right="43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40" w:type="dxa"/>
            <w:vAlign w:val="bottom"/>
          </w:tcPr>
          <w:p>
            <w:pPr>
              <w:ind w:left="60"/>
              <w:spacing w:after="0"/>
              <w:rPr>
                <w:sz w:val="20"/>
                <w:szCs w:val="20"/>
                <w:color w:val="auto"/>
              </w:rPr>
            </w:pPr>
            <w:r>
              <w:rPr>
                <w:rFonts w:ascii="Arial" w:cs="Arial" w:eastAsia="Arial" w:hAnsi="Arial"/>
                <w:sz w:val="14"/>
                <w:szCs w:val="14"/>
                <w:color w:val="E52823"/>
              </w:rPr>
              <w:t>Name</w:t>
            </w:r>
          </w:p>
        </w:tc>
        <w:tc>
          <w:tcPr>
            <w:tcW w:w="3200" w:type="dxa"/>
            <w:vAlign w:val="bottom"/>
          </w:tcPr>
          <w:p>
            <w:pPr>
              <w:ind w:left="1000"/>
              <w:spacing w:after="0"/>
              <w:rPr>
                <w:sz w:val="20"/>
                <w:szCs w:val="20"/>
                <w:color w:val="auto"/>
              </w:rPr>
            </w:pPr>
            <w:r>
              <w:rPr>
                <w:rFonts w:ascii="Arial" w:cs="Arial" w:eastAsia="Arial" w:hAnsi="Arial"/>
                <w:sz w:val="14"/>
                <w:szCs w:val="14"/>
                <w:color w:val="E52823"/>
              </w:rPr>
              <w:t>Primary Occupation</w:t>
            </w:r>
          </w:p>
        </w:tc>
        <w:tc>
          <w:tcPr>
            <w:tcW w:w="560" w:type="dxa"/>
            <w:vAlign w:val="bottom"/>
          </w:tcPr>
          <w:p>
            <w:pPr>
              <w:jc w:val="right"/>
              <w:ind w:right="100"/>
              <w:spacing w:after="0"/>
              <w:rPr>
                <w:sz w:val="20"/>
                <w:szCs w:val="20"/>
                <w:color w:val="auto"/>
              </w:rPr>
            </w:pPr>
            <w:r>
              <w:rPr>
                <w:rFonts w:ascii="Arial" w:cs="Arial" w:eastAsia="Arial" w:hAnsi="Arial"/>
                <w:sz w:val="14"/>
                <w:szCs w:val="14"/>
                <w:color w:val="E52823"/>
              </w:rPr>
              <w:t>Age*</w:t>
            </w:r>
          </w:p>
        </w:tc>
        <w:tc>
          <w:tcPr>
            <w:tcW w:w="1240" w:type="dxa"/>
            <w:vAlign w:val="bottom"/>
          </w:tcPr>
          <w:p>
            <w:pPr>
              <w:jc w:val="center"/>
              <w:ind w:right="4"/>
              <w:spacing w:after="0"/>
              <w:rPr>
                <w:sz w:val="20"/>
                <w:szCs w:val="20"/>
                <w:color w:val="auto"/>
              </w:rPr>
            </w:pPr>
            <w:r>
              <w:rPr>
                <w:rFonts w:ascii="Arial" w:cs="Arial" w:eastAsia="Arial" w:hAnsi="Arial"/>
                <w:sz w:val="14"/>
                <w:szCs w:val="14"/>
                <w:color w:val="E52823"/>
              </w:rPr>
              <w:t>Independent</w:t>
            </w:r>
          </w:p>
        </w:tc>
        <w:tc>
          <w:tcPr>
            <w:tcW w:w="2140" w:type="dxa"/>
            <w:vAlign w:val="bottom"/>
            <w:gridSpan w:val="2"/>
          </w:tcPr>
          <w:p>
            <w:pPr>
              <w:ind w:left="600"/>
              <w:spacing w:after="0"/>
              <w:rPr>
                <w:sz w:val="20"/>
                <w:szCs w:val="20"/>
                <w:color w:val="auto"/>
              </w:rPr>
            </w:pPr>
            <w:r>
              <w:rPr>
                <w:rFonts w:ascii="Arial" w:cs="Arial" w:eastAsia="Arial" w:hAnsi="Arial"/>
                <w:sz w:val="14"/>
                <w:szCs w:val="14"/>
                <w:color w:val="E52823"/>
              </w:rPr>
              <w:t>Committee Membership</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33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jc w:val="center"/>
              <w:ind w:left="7"/>
              <w:spacing w:after="0"/>
              <w:rPr>
                <w:sz w:val="20"/>
                <w:szCs w:val="20"/>
                <w:color w:val="auto"/>
              </w:rPr>
            </w:pPr>
            <w:r>
              <w:rPr>
                <w:rFonts w:ascii="Arial" w:cs="Arial" w:eastAsia="Arial" w:hAnsi="Arial"/>
                <w:sz w:val="13"/>
                <w:szCs w:val="13"/>
                <w:b w:val="1"/>
                <w:bCs w:val="1"/>
                <w:color w:val="E52823"/>
              </w:rPr>
              <w:t>A</w:t>
            </w:r>
          </w:p>
        </w:tc>
        <w:tc>
          <w:tcPr>
            <w:tcW w:w="1240" w:type="dxa"/>
            <w:vAlign w:val="bottom"/>
          </w:tcPr>
          <w:p>
            <w:pPr>
              <w:jc w:val="center"/>
              <w:ind w:right="14"/>
              <w:spacing w:after="0"/>
              <w:rPr>
                <w:sz w:val="20"/>
                <w:szCs w:val="20"/>
                <w:color w:val="auto"/>
              </w:rPr>
            </w:pPr>
            <w:r>
              <w:rPr>
                <w:rFonts w:ascii="Arial" w:cs="Arial" w:eastAsia="Arial" w:hAnsi="Arial"/>
                <w:sz w:val="13"/>
                <w:szCs w:val="13"/>
                <w:b w:val="1"/>
                <w:bCs w:val="1"/>
                <w:color w:val="E52823"/>
                <w:w w:val="84"/>
              </w:rPr>
              <w:t>C</w:t>
            </w:r>
          </w:p>
        </w:tc>
        <w:tc>
          <w:tcPr>
            <w:tcW w:w="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E52823"/>
                <w:w w:val="98"/>
              </w:rPr>
              <w:t>G</w:t>
            </w:r>
          </w:p>
        </w:tc>
      </w:tr>
      <w:tr>
        <w:trPr>
          <w:trHeight w:val="216"/>
        </w:trPr>
        <w:tc>
          <w:tcPr>
            <w:tcW w:w="3340" w:type="dxa"/>
            <w:vAlign w:val="bottom"/>
            <w:tcBorders>
              <w:top w:val="single" w:sz="8" w:color="auto"/>
            </w:tcBorders>
            <w:shd w:val="clear" w:color="auto" w:fill="EDEDED"/>
          </w:tcPr>
          <w:p>
            <w:pPr>
              <w:ind w:left="60"/>
              <w:spacing w:after="0"/>
              <w:rPr>
                <w:sz w:val="20"/>
                <w:szCs w:val="20"/>
                <w:color w:val="auto"/>
              </w:rPr>
            </w:pPr>
            <w:r>
              <w:rPr>
                <w:rFonts w:ascii="Arial" w:cs="Arial" w:eastAsia="Arial" w:hAnsi="Arial"/>
                <w:sz w:val="16"/>
                <w:szCs w:val="16"/>
                <w:color w:val="auto"/>
              </w:rPr>
              <w:t>Carlos M. Cardoso (Chairperson)</w:t>
            </w:r>
          </w:p>
        </w:tc>
        <w:tc>
          <w:tcPr>
            <w:tcW w:w="3200" w:type="dxa"/>
            <w:vAlign w:val="bottom"/>
            <w:tcBorders>
              <w:top w:val="single" w:sz="8" w:color="auto"/>
            </w:tcBorders>
            <w:shd w:val="clear" w:color="auto" w:fill="EDEDED"/>
          </w:tcPr>
          <w:p>
            <w:pPr>
              <w:ind w:left="120"/>
              <w:spacing w:after="0"/>
              <w:rPr>
                <w:sz w:val="20"/>
                <w:szCs w:val="20"/>
                <w:color w:val="auto"/>
              </w:rPr>
            </w:pPr>
            <w:r>
              <w:rPr>
                <w:rFonts w:ascii="Arial" w:cs="Arial" w:eastAsia="Arial" w:hAnsi="Arial"/>
                <w:sz w:val="16"/>
                <w:szCs w:val="16"/>
                <w:color w:val="auto"/>
              </w:rPr>
              <w:t>Principal, CMPC Advisors LLC</w:t>
            </w:r>
          </w:p>
        </w:tc>
        <w:tc>
          <w:tcPr>
            <w:tcW w:w="560" w:type="dxa"/>
            <w:vAlign w:val="bottom"/>
            <w:tcBorders>
              <w:top w:val="single" w:sz="8" w:color="auto"/>
            </w:tcBorders>
            <w:shd w:val="clear" w:color="auto" w:fill="EDEDED"/>
          </w:tcPr>
          <w:p>
            <w:pPr>
              <w:jc w:val="right"/>
              <w:ind w:right="100"/>
              <w:spacing w:after="0"/>
              <w:rPr>
                <w:sz w:val="20"/>
                <w:szCs w:val="20"/>
                <w:color w:val="auto"/>
              </w:rPr>
            </w:pPr>
            <w:r>
              <w:rPr>
                <w:rFonts w:ascii="Arial" w:cs="Arial" w:eastAsia="Arial" w:hAnsi="Arial"/>
                <w:sz w:val="16"/>
                <w:szCs w:val="16"/>
                <w:color w:val="auto"/>
              </w:rPr>
              <w:t>62</w:t>
            </w:r>
          </w:p>
        </w:tc>
        <w:tc>
          <w:tcPr>
            <w:tcW w:w="1240" w:type="dxa"/>
            <w:vAlign w:val="bottom"/>
            <w:tcBorders>
              <w:top w:val="single" w:sz="8" w:color="auto"/>
            </w:tcBorders>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900" w:type="dxa"/>
            <w:vAlign w:val="bottom"/>
            <w:tcBorders>
              <w:top w:val="single" w:sz="8" w:color="auto"/>
            </w:tcBorders>
            <w:shd w:val="clear" w:color="auto" w:fill="EDEDED"/>
          </w:tcPr>
          <w:p>
            <w:pPr>
              <w:jc w:val="center"/>
              <w:ind w:left="7"/>
              <w:spacing w:after="0"/>
              <w:rPr>
                <w:sz w:val="20"/>
                <w:szCs w:val="20"/>
                <w:color w:val="auto"/>
              </w:rPr>
            </w:pPr>
            <w:r>
              <w:rPr>
                <w:rFonts w:ascii="Arial" w:cs="Arial" w:eastAsia="Arial" w:hAnsi="Arial"/>
                <w:sz w:val="16"/>
                <w:szCs w:val="16"/>
                <w:color w:val="E52823"/>
                <w:w w:val="94"/>
              </w:rPr>
              <w:t>●+</w:t>
            </w:r>
          </w:p>
        </w:tc>
        <w:tc>
          <w:tcPr>
            <w:tcW w:w="1240" w:type="dxa"/>
            <w:vAlign w:val="bottom"/>
            <w:tcBorders>
              <w:top w:val="single" w:sz="8" w:color="auto"/>
            </w:tcBorders>
            <w:shd w:val="clear" w:color="auto" w:fill="EDEDED"/>
          </w:tcPr>
          <w:p>
            <w:pPr>
              <w:jc w:val="center"/>
              <w:ind w:right="34"/>
              <w:spacing w:after="0"/>
              <w:rPr>
                <w:sz w:val="20"/>
                <w:szCs w:val="20"/>
                <w:color w:val="auto"/>
              </w:rPr>
            </w:pPr>
            <w:r>
              <w:rPr>
                <w:rFonts w:ascii="Arial" w:cs="Arial" w:eastAsia="Arial" w:hAnsi="Arial"/>
                <w:sz w:val="16"/>
                <w:szCs w:val="16"/>
                <w:color w:val="E52823"/>
              </w:rPr>
              <w:t>●</w:t>
            </w:r>
          </w:p>
        </w:tc>
        <w:tc>
          <w:tcPr>
            <w:tcW w:w="540" w:type="dxa"/>
            <w:vAlign w:val="bottom"/>
            <w:tcBorders>
              <w:top w:val="single" w:sz="8" w:color="auto"/>
            </w:tcBorders>
            <w:shd w:val="clear" w:color="auto" w:fill="EDEDED"/>
          </w:tcPr>
          <w:p>
            <w:pPr>
              <w:jc w:val="center"/>
              <w:ind w:right="45"/>
              <w:spacing w:after="0"/>
              <w:rPr>
                <w:sz w:val="20"/>
                <w:szCs w:val="20"/>
                <w:color w:val="auto"/>
              </w:rPr>
            </w:pPr>
            <w:r>
              <w:rPr>
                <w:rFonts w:ascii="Arial" w:cs="Arial" w:eastAsia="Arial" w:hAnsi="Arial"/>
                <w:sz w:val="16"/>
                <w:szCs w:val="16"/>
                <w:color w:val="E52823"/>
              </w:rPr>
              <w:t>●</w:t>
            </w:r>
          </w:p>
        </w:tc>
        <w:tc>
          <w:tcPr>
            <w:tcW w:w="20" w:type="dxa"/>
            <w:vAlign w:val="bottom"/>
          </w:tcPr>
          <w:p>
            <w:pPr>
              <w:spacing w:after="0"/>
              <w:rPr>
                <w:sz w:val="18"/>
                <w:szCs w:val="18"/>
                <w:color w:val="auto"/>
              </w:rPr>
            </w:pPr>
          </w:p>
        </w:tc>
      </w:tr>
      <w:tr>
        <w:trPr>
          <w:trHeight w:val="227"/>
        </w:trPr>
        <w:tc>
          <w:tcPr>
            <w:tcW w:w="3340" w:type="dxa"/>
            <w:vAlign w:val="bottom"/>
          </w:tcPr>
          <w:p>
            <w:pPr>
              <w:ind w:left="60"/>
              <w:spacing w:after="0"/>
              <w:rPr>
                <w:sz w:val="20"/>
                <w:szCs w:val="20"/>
                <w:color w:val="auto"/>
              </w:rPr>
            </w:pPr>
            <w:r>
              <w:rPr>
                <w:rFonts w:ascii="Arial" w:cs="Arial" w:eastAsia="Arial" w:hAnsi="Arial"/>
                <w:sz w:val="16"/>
                <w:szCs w:val="16"/>
                <w:color w:val="auto"/>
              </w:rPr>
              <w:t>Maura J. Clark</w:t>
            </w:r>
          </w:p>
        </w:tc>
        <w:tc>
          <w:tcPr>
            <w:tcW w:w="3200" w:type="dxa"/>
            <w:vAlign w:val="bottom"/>
          </w:tcPr>
          <w:p>
            <w:pPr>
              <w:ind w:left="120"/>
              <w:spacing w:after="0"/>
              <w:rPr>
                <w:sz w:val="20"/>
                <w:szCs w:val="20"/>
                <w:color w:val="auto"/>
              </w:rPr>
            </w:pPr>
            <w:r>
              <w:rPr>
                <w:rFonts w:ascii="Arial" w:cs="Arial" w:eastAsia="Arial" w:hAnsi="Arial"/>
                <w:sz w:val="16"/>
                <w:szCs w:val="16"/>
                <w:color w:val="auto"/>
              </w:rPr>
              <w:t>Corporate Director</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61</w:t>
            </w:r>
          </w:p>
        </w:tc>
        <w:tc>
          <w:tcPr>
            <w:tcW w:w="1240" w:type="dxa"/>
            <w:vAlign w:val="bottom"/>
          </w:tcPr>
          <w:p>
            <w:pPr>
              <w:jc w:val="center"/>
              <w:spacing w:after="0"/>
              <w:rPr>
                <w:sz w:val="20"/>
                <w:szCs w:val="20"/>
                <w:color w:val="auto"/>
              </w:rPr>
            </w:pPr>
            <w:r>
              <w:rPr>
                <w:rFonts w:ascii="Arial" w:cs="Arial" w:eastAsia="Arial" w:hAnsi="Arial"/>
                <w:sz w:val="16"/>
                <w:szCs w:val="16"/>
                <w:color w:val="E52823"/>
              </w:rPr>
              <w:t>●</w:t>
            </w:r>
          </w:p>
        </w:tc>
        <w:tc>
          <w:tcPr>
            <w:tcW w:w="900" w:type="dxa"/>
            <w:vAlign w:val="bottom"/>
          </w:tcPr>
          <w:p>
            <w:pPr>
              <w:spacing w:after="0"/>
              <w:rPr>
                <w:sz w:val="19"/>
                <w:szCs w:val="19"/>
                <w:color w:val="auto"/>
              </w:rPr>
            </w:pPr>
          </w:p>
        </w:tc>
        <w:tc>
          <w:tcPr>
            <w:tcW w:w="1240" w:type="dxa"/>
            <w:vAlign w:val="bottom"/>
          </w:tcPr>
          <w:p>
            <w:pPr>
              <w:jc w:val="center"/>
              <w:ind w:right="34"/>
              <w:spacing w:after="0"/>
              <w:rPr>
                <w:sz w:val="20"/>
                <w:szCs w:val="20"/>
                <w:color w:val="auto"/>
              </w:rPr>
            </w:pPr>
            <w:r>
              <w:rPr>
                <w:rFonts w:ascii="Arial" w:cs="Arial" w:eastAsia="Arial" w:hAnsi="Arial"/>
                <w:sz w:val="16"/>
                <w:szCs w:val="16"/>
                <w:color w:val="E52823"/>
              </w:rPr>
              <w:t>●</w:t>
            </w:r>
          </w:p>
        </w:tc>
        <w:tc>
          <w:tcPr>
            <w:tcW w:w="5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E52823"/>
                <w:w w:val="97"/>
              </w:rPr>
              <w:t>CHAIR</w:t>
            </w:r>
          </w:p>
        </w:tc>
      </w:tr>
      <w:tr>
        <w:trPr>
          <w:trHeight w:val="221"/>
        </w:trPr>
        <w:tc>
          <w:tcPr>
            <w:tcW w:w="3340" w:type="dxa"/>
            <w:vAlign w:val="bottom"/>
            <w:shd w:val="clear" w:color="auto" w:fill="EDEDED"/>
          </w:tcPr>
          <w:p>
            <w:pPr>
              <w:ind w:left="60"/>
              <w:spacing w:after="0"/>
              <w:rPr>
                <w:sz w:val="20"/>
                <w:szCs w:val="20"/>
                <w:color w:val="auto"/>
              </w:rPr>
            </w:pPr>
            <w:r>
              <w:rPr>
                <w:rFonts w:ascii="Arial" w:cs="Arial" w:eastAsia="Arial" w:hAnsi="Arial"/>
                <w:sz w:val="16"/>
                <w:szCs w:val="16"/>
                <w:color w:val="auto"/>
              </w:rPr>
              <w:t>Courtney M. Enghauser</w:t>
            </w:r>
          </w:p>
        </w:tc>
        <w:tc>
          <w:tcPr>
            <w:tcW w:w="32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Chief Financial Officer of Agility Global</w:t>
            </w:r>
          </w:p>
        </w:tc>
        <w:tc>
          <w:tcPr>
            <w:tcW w:w="56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48</w:t>
            </w:r>
          </w:p>
        </w:tc>
        <w:tc>
          <w:tcPr>
            <w:tcW w:w="1240" w:type="dxa"/>
            <w:vAlign w:val="bottom"/>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900" w:type="dxa"/>
            <w:vAlign w:val="bottom"/>
            <w:shd w:val="clear" w:color="auto" w:fill="EDEDED"/>
          </w:tcPr>
          <w:p>
            <w:pPr>
              <w:jc w:val="center"/>
              <w:ind w:left="7"/>
              <w:spacing w:after="0"/>
              <w:rPr>
                <w:sz w:val="20"/>
                <w:szCs w:val="20"/>
                <w:color w:val="auto"/>
              </w:rPr>
            </w:pPr>
            <w:r>
              <w:rPr>
                <w:rFonts w:ascii="Arial" w:cs="Arial" w:eastAsia="Arial" w:hAnsi="Arial"/>
                <w:sz w:val="16"/>
                <w:szCs w:val="16"/>
                <w:color w:val="E52823"/>
                <w:w w:val="94"/>
              </w:rPr>
              <w:t>●+</w:t>
            </w:r>
          </w:p>
        </w:tc>
        <w:tc>
          <w:tcPr>
            <w:tcW w:w="1240" w:type="dxa"/>
            <w:vAlign w:val="bottom"/>
            <w:shd w:val="clear" w:color="auto" w:fill="EDEDED"/>
          </w:tcPr>
          <w:p>
            <w:pPr>
              <w:spacing w:after="0"/>
              <w:rPr>
                <w:sz w:val="19"/>
                <w:szCs w:val="19"/>
                <w:color w:val="auto"/>
              </w:rPr>
            </w:pPr>
          </w:p>
        </w:tc>
        <w:tc>
          <w:tcPr>
            <w:tcW w:w="540" w:type="dxa"/>
            <w:vAlign w:val="bottom"/>
            <w:shd w:val="clear" w:color="auto" w:fill="EDEDED"/>
          </w:tcPr>
          <w:p>
            <w:pPr>
              <w:jc w:val="center"/>
              <w:ind w:right="45"/>
              <w:spacing w:after="0"/>
              <w:rPr>
                <w:sz w:val="20"/>
                <w:szCs w:val="20"/>
                <w:color w:val="auto"/>
              </w:rPr>
            </w:pPr>
            <w:r>
              <w:rPr>
                <w:rFonts w:ascii="Arial" w:cs="Arial" w:eastAsia="Arial" w:hAnsi="Arial"/>
                <w:sz w:val="16"/>
                <w:szCs w:val="16"/>
                <w:color w:val="E52823"/>
              </w:rPr>
              <w:t>●</w:t>
            </w:r>
          </w:p>
        </w:tc>
        <w:tc>
          <w:tcPr>
            <w:tcW w:w="20" w:type="dxa"/>
            <w:vAlign w:val="bottom"/>
          </w:tcPr>
          <w:p>
            <w:pPr>
              <w:spacing w:after="0"/>
              <w:rPr>
                <w:sz w:val="19"/>
                <w:szCs w:val="19"/>
                <w:color w:val="auto"/>
              </w:rPr>
            </w:pPr>
          </w:p>
        </w:tc>
      </w:tr>
      <w:tr>
        <w:trPr>
          <w:trHeight w:val="187"/>
        </w:trPr>
        <w:tc>
          <w:tcPr>
            <w:tcW w:w="3340" w:type="dxa"/>
            <w:vAlign w:val="bottom"/>
            <w:shd w:val="clear" w:color="auto" w:fill="EDEDED"/>
          </w:tcPr>
          <w:p>
            <w:pPr>
              <w:spacing w:after="0"/>
              <w:rPr>
                <w:sz w:val="16"/>
                <w:szCs w:val="16"/>
                <w:color w:val="auto"/>
              </w:rPr>
            </w:pPr>
          </w:p>
        </w:tc>
        <w:tc>
          <w:tcPr>
            <w:tcW w:w="32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Holdings</w:t>
            </w:r>
          </w:p>
        </w:tc>
        <w:tc>
          <w:tcPr>
            <w:tcW w:w="56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90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540" w:type="dxa"/>
            <w:vAlign w:val="bottom"/>
            <w:shd w:val="clear" w:color="auto" w:fill="EDEDED"/>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3340" w:type="dxa"/>
            <w:vAlign w:val="bottom"/>
          </w:tcPr>
          <w:p>
            <w:pPr>
              <w:ind w:left="60"/>
              <w:spacing w:after="0"/>
              <w:rPr>
                <w:sz w:val="20"/>
                <w:szCs w:val="20"/>
                <w:color w:val="auto"/>
              </w:rPr>
            </w:pPr>
            <w:r>
              <w:rPr>
                <w:rFonts w:ascii="Arial" w:cs="Arial" w:eastAsia="Arial" w:hAnsi="Arial"/>
                <w:sz w:val="16"/>
                <w:szCs w:val="16"/>
                <w:color w:val="auto"/>
              </w:rPr>
              <w:t>Susan L. Main</w:t>
            </w:r>
          </w:p>
        </w:tc>
        <w:tc>
          <w:tcPr>
            <w:tcW w:w="3200" w:type="dxa"/>
            <w:vAlign w:val="bottom"/>
          </w:tcPr>
          <w:p>
            <w:pPr>
              <w:ind w:left="120"/>
              <w:spacing w:after="0"/>
              <w:rPr>
                <w:sz w:val="20"/>
                <w:szCs w:val="20"/>
                <w:color w:val="auto"/>
              </w:rPr>
            </w:pPr>
            <w:r>
              <w:rPr>
                <w:rFonts w:ascii="Arial" w:cs="Arial" w:eastAsia="Arial" w:hAnsi="Arial"/>
                <w:sz w:val="16"/>
                <w:szCs w:val="16"/>
                <w:color w:val="auto"/>
              </w:rPr>
              <w:t>Senior Vice President and Chief Financial</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61</w:t>
            </w:r>
          </w:p>
        </w:tc>
        <w:tc>
          <w:tcPr>
            <w:tcW w:w="1240" w:type="dxa"/>
            <w:vAlign w:val="bottom"/>
          </w:tcPr>
          <w:p>
            <w:pPr>
              <w:jc w:val="center"/>
              <w:spacing w:after="0"/>
              <w:rPr>
                <w:sz w:val="20"/>
                <w:szCs w:val="20"/>
                <w:color w:val="auto"/>
              </w:rPr>
            </w:pPr>
            <w:r>
              <w:rPr>
                <w:rFonts w:ascii="Arial" w:cs="Arial" w:eastAsia="Arial" w:hAnsi="Arial"/>
                <w:sz w:val="16"/>
                <w:szCs w:val="16"/>
                <w:color w:val="E52823"/>
              </w:rPr>
              <w:t>●</w:t>
            </w:r>
          </w:p>
        </w:tc>
        <w:tc>
          <w:tcPr>
            <w:tcW w:w="900" w:type="dxa"/>
            <w:vAlign w:val="bottom"/>
          </w:tcPr>
          <w:p>
            <w:pPr>
              <w:jc w:val="center"/>
              <w:ind w:left="7"/>
              <w:spacing w:after="0"/>
              <w:rPr>
                <w:sz w:val="20"/>
                <w:szCs w:val="20"/>
                <w:color w:val="auto"/>
              </w:rPr>
            </w:pPr>
            <w:r>
              <w:rPr>
                <w:rFonts w:ascii="Arial" w:cs="Arial" w:eastAsia="Arial" w:hAnsi="Arial"/>
                <w:sz w:val="16"/>
                <w:szCs w:val="16"/>
                <w:color w:val="E52823"/>
                <w:w w:val="94"/>
              </w:rPr>
              <w:t>●+</w:t>
            </w:r>
          </w:p>
        </w:tc>
        <w:tc>
          <w:tcPr>
            <w:tcW w:w="1240" w:type="dxa"/>
            <w:vAlign w:val="bottom"/>
          </w:tcPr>
          <w:p>
            <w:pPr>
              <w:spacing w:after="0"/>
              <w:rPr>
                <w:sz w:val="18"/>
                <w:szCs w:val="18"/>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6"/>
                <w:szCs w:val="16"/>
                <w:color w:val="E52823"/>
              </w:rPr>
              <w:t>●</w:t>
            </w:r>
          </w:p>
        </w:tc>
      </w:tr>
      <w:tr>
        <w:trPr>
          <w:trHeight w:val="189"/>
        </w:trPr>
        <w:tc>
          <w:tcPr>
            <w:tcW w:w="3340" w:type="dxa"/>
            <w:vAlign w:val="bottom"/>
          </w:tcPr>
          <w:p>
            <w:pPr>
              <w:spacing w:after="0"/>
              <w:rPr>
                <w:sz w:val="16"/>
                <w:szCs w:val="16"/>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Officer of Teledyne Technologies</w:t>
            </w: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3340" w:type="dxa"/>
            <w:vAlign w:val="bottom"/>
          </w:tcPr>
          <w:p>
            <w:pPr>
              <w:spacing w:after="0"/>
              <w:rPr>
                <w:sz w:val="16"/>
                <w:szCs w:val="16"/>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Incorporated</w:t>
            </w: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3340" w:type="dxa"/>
            <w:vAlign w:val="bottom"/>
            <w:shd w:val="clear" w:color="auto" w:fill="EDEDED"/>
          </w:tcPr>
          <w:p>
            <w:pPr>
              <w:ind w:left="60"/>
              <w:spacing w:after="0"/>
              <w:rPr>
                <w:sz w:val="20"/>
                <w:szCs w:val="20"/>
                <w:color w:val="auto"/>
              </w:rPr>
            </w:pPr>
            <w:r>
              <w:rPr>
                <w:rFonts w:ascii="Arial" w:cs="Arial" w:eastAsia="Arial" w:hAnsi="Arial"/>
                <w:sz w:val="16"/>
                <w:szCs w:val="16"/>
                <w:color w:val="auto"/>
              </w:rPr>
              <w:t>Olivier Rabiller</w:t>
            </w:r>
          </w:p>
        </w:tc>
        <w:tc>
          <w:tcPr>
            <w:tcW w:w="32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President and Chief Executive Officer,</w:t>
            </w:r>
          </w:p>
        </w:tc>
        <w:tc>
          <w:tcPr>
            <w:tcW w:w="56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49</w:t>
            </w:r>
          </w:p>
        </w:tc>
        <w:tc>
          <w:tcPr>
            <w:tcW w:w="1240" w:type="dxa"/>
            <w:vAlign w:val="bottom"/>
            <w:shd w:val="clear" w:color="auto" w:fill="EDEDED"/>
          </w:tcPr>
          <w:p>
            <w:pPr>
              <w:spacing w:after="0"/>
              <w:rPr>
                <w:sz w:val="18"/>
                <w:szCs w:val="18"/>
                <w:color w:val="auto"/>
              </w:rPr>
            </w:pPr>
          </w:p>
        </w:tc>
        <w:tc>
          <w:tcPr>
            <w:tcW w:w="900" w:type="dxa"/>
            <w:vAlign w:val="bottom"/>
            <w:shd w:val="clear" w:color="auto" w:fill="EDEDED"/>
          </w:tcPr>
          <w:p>
            <w:pPr>
              <w:spacing w:after="0"/>
              <w:rPr>
                <w:sz w:val="18"/>
                <w:szCs w:val="18"/>
                <w:color w:val="auto"/>
              </w:rPr>
            </w:pPr>
          </w:p>
        </w:tc>
        <w:tc>
          <w:tcPr>
            <w:tcW w:w="1240" w:type="dxa"/>
            <w:vAlign w:val="bottom"/>
            <w:shd w:val="clear" w:color="auto" w:fill="EDEDED"/>
          </w:tcPr>
          <w:p>
            <w:pPr>
              <w:spacing w:after="0"/>
              <w:rPr>
                <w:sz w:val="18"/>
                <w:szCs w:val="18"/>
                <w:color w:val="auto"/>
              </w:rPr>
            </w:pPr>
          </w:p>
        </w:tc>
        <w:tc>
          <w:tcPr>
            <w:tcW w:w="540" w:type="dxa"/>
            <w:vAlign w:val="bottom"/>
            <w:shd w:val="clear" w:color="auto" w:fill="EDEDED"/>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3340" w:type="dxa"/>
            <w:vAlign w:val="bottom"/>
            <w:shd w:val="clear" w:color="auto" w:fill="EDEDED"/>
          </w:tcPr>
          <w:p>
            <w:pPr>
              <w:spacing w:after="0"/>
              <w:rPr>
                <w:sz w:val="16"/>
                <w:szCs w:val="16"/>
                <w:color w:val="auto"/>
              </w:rPr>
            </w:pPr>
          </w:p>
        </w:tc>
        <w:tc>
          <w:tcPr>
            <w:tcW w:w="32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Garrett</w:t>
            </w:r>
          </w:p>
        </w:tc>
        <w:tc>
          <w:tcPr>
            <w:tcW w:w="56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90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540" w:type="dxa"/>
            <w:vAlign w:val="bottom"/>
            <w:shd w:val="clear" w:color="auto" w:fill="EDEDED"/>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3340" w:type="dxa"/>
            <w:vAlign w:val="bottom"/>
          </w:tcPr>
          <w:p>
            <w:pPr>
              <w:ind w:left="60"/>
              <w:spacing w:after="0"/>
              <w:rPr>
                <w:sz w:val="20"/>
                <w:szCs w:val="20"/>
                <w:color w:val="auto"/>
              </w:rPr>
            </w:pPr>
            <w:r>
              <w:rPr>
                <w:rFonts w:ascii="Arial" w:cs="Arial" w:eastAsia="Arial" w:hAnsi="Arial"/>
                <w:sz w:val="16"/>
                <w:szCs w:val="16"/>
                <w:color w:val="auto"/>
              </w:rPr>
              <w:t>Carsten J. Reinhardt</w:t>
            </w:r>
          </w:p>
        </w:tc>
        <w:tc>
          <w:tcPr>
            <w:tcW w:w="3200" w:type="dxa"/>
            <w:vAlign w:val="bottom"/>
          </w:tcPr>
          <w:p>
            <w:pPr>
              <w:ind w:left="120"/>
              <w:spacing w:after="0"/>
              <w:rPr>
                <w:sz w:val="20"/>
                <w:szCs w:val="20"/>
                <w:color w:val="auto"/>
              </w:rPr>
            </w:pPr>
            <w:r>
              <w:rPr>
                <w:rFonts w:ascii="Arial" w:cs="Arial" w:eastAsia="Arial" w:hAnsi="Arial"/>
                <w:sz w:val="16"/>
                <w:szCs w:val="16"/>
                <w:color w:val="auto"/>
              </w:rPr>
              <w:t>Independent Senior Advisor</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52</w:t>
            </w:r>
          </w:p>
        </w:tc>
        <w:tc>
          <w:tcPr>
            <w:tcW w:w="1240" w:type="dxa"/>
            <w:vAlign w:val="bottom"/>
          </w:tcPr>
          <w:p>
            <w:pPr>
              <w:jc w:val="center"/>
              <w:spacing w:after="0"/>
              <w:rPr>
                <w:sz w:val="20"/>
                <w:szCs w:val="20"/>
                <w:color w:val="auto"/>
              </w:rPr>
            </w:pPr>
            <w:r>
              <w:rPr>
                <w:rFonts w:ascii="Arial" w:cs="Arial" w:eastAsia="Arial" w:hAnsi="Arial"/>
                <w:sz w:val="16"/>
                <w:szCs w:val="16"/>
                <w:color w:val="E52823"/>
              </w:rPr>
              <w:t>●</w:t>
            </w:r>
          </w:p>
        </w:tc>
        <w:tc>
          <w:tcPr>
            <w:tcW w:w="900" w:type="dxa"/>
            <w:vAlign w:val="bottom"/>
          </w:tcPr>
          <w:p>
            <w:pPr>
              <w:spacing w:after="0"/>
              <w:rPr>
                <w:sz w:val="19"/>
                <w:szCs w:val="19"/>
                <w:color w:val="auto"/>
              </w:rPr>
            </w:pPr>
          </w:p>
        </w:tc>
        <w:tc>
          <w:tcPr>
            <w:tcW w:w="1240" w:type="dxa"/>
            <w:vAlign w:val="bottom"/>
          </w:tcPr>
          <w:p>
            <w:pPr>
              <w:jc w:val="center"/>
              <w:ind w:right="14"/>
              <w:spacing w:after="0"/>
              <w:rPr>
                <w:sz w:val="20"/>
                <w:szCs w:val="20"/>
                <w:color w:val="auto"/>
              </w:rPr>
            </w:pPr>
            <w:r>
              <w:rPr>
                <w:rFonts w:ascii="Arial" w:cs="Arial" w:eastAsia="Arial" w:hAnsi="Arial"/>
                <w:sz w:val="13"/>
                <w:szCs w:val="13"/>
                <w:b w:val="1"/>
                <w:bCs w:val="1"/>
                <w:color w:val="E52823"/>
                <w:w w:val="97"/>
              </w:rPr>
              <w:t>CHAIR</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3340" w:type="dxa"/>
            <w:vAlign w:val="bottom"/>
            <w:shd w:val="clear" w:color="auto" w:fill="EDEDED"/>
          </w:tcPr>
          <w:p>
            <w:pPr>
              <w:ind w:left="60"/>
              <w:spacing w:after="0"/>
              <w:rPr>
                <w:sz w:val="20"/>
                <w:szCs w:val="20"/>
                <w:color w:val="auto"/>
              </w:rPr>
            </w:pPr>
            <w:r>
              <w:rPr>
                <w:rFonts w:ascii="Arial" w:cs="Arial" w:eastAsia="Arial" w:hAnsi="Arial"/>
                <w:sz w:val="16"/>
                <w:szCs w:val="16"/>
                <w:color w:val="auto"/>
              </w:rPr>
              <w:t>Jérôme Stoll</w:t>
            </w:r>
          </w:p>
        </w:tc>
        <w:tc>
          <w:tcPr>
            <w:tcW w:w="32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President, Renault Sport Racing for</w:t>
            </w:r>
          </w:p>
        </w:tc>
        <w:tc>
          <w:tcPr>
            <w:tcW w:w="56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900" w:type="dxa"/>
            <w:vAlign w:val="bottom"/>
            <w:shd w:val="clear" w:color="auto" w:fill="EDEDED"/>
          </w:tcPr>
          <w:p>
            <w:pPr>
              <w:spacing w:after="0"/>
              <w:rPr>
                <w:sz w:val="19"/>
                <w:szCs w:val="19"/>
                <w:color w:val="auto"/>
              </w:rPr>
            </w:pPr>
          </w:p>
        </w:tc>
        <w:tc>
          <w:tcPr>
            <w:tcW w:w="1240" w:type="dxa"/>
            <w:vAlign w:val="bottom"/>
            <w:shd w:val="clear" w:color="auto" w:fill="EDEDED"/>
          </w:tcPr>
          <w:p>
            <w:pPr>
              <w:spacing w:after="0"/>
              <w:rPr>
                <w:sz w:val="19"/>
                <w:szCs w:val="19"/>
                <w:color w:val="auto"/>
              </w:rPr>
            </w:pPr>
          </w:p>
        </w:tc>
        <w:tc>
          <w:tcPr>
            <w:tcW w:w="540" w:type="dxa"/>
            <w:vAlign w:val="bottom"/>
            <w:shd w:val="clear" w:color="auto" w:fill="EDEDED"/>
          </w:tcPr>
          <w:p>
            <w:pPr>
              <w:jc w:val="center"/>
              <w:ind w:right="45"/>
              <w:spacing w:after="0"/>
              <w:rPr>
                <w:sz w:val="20"/>
                <w:szCs w:val="20"/>
                <w:color w:val="auto"/>
              </w:rPr>
            </w:pPr>
            <w:r>
              <w:rPr>
                <w:rFonts w:ascii="Arial" w:cs="Arial" w:eastAsia="Arial" w:hAnsi="Arial"/>
                <w:sz w:val="16"/>
                <w:szCs w:val="16"/>
                <w:color w:val="E52823"/>
              </w:rPr>
              <w:t>●</w:t>
            </w:r>
          </w:p>
        </w:tc>
        <w:tc>
          <w:tcPr>
            <w:tcW w:w="20" w:type="dxa"/>
            <w:vAlign w:val="bottom"/>
          </w:tcPr>
          <w:p>
            <w:pPr>
              <w:spacing w:after="0"/>
              <w:rPr>
                <w:sz w:val="19"/>
                <w:szCs w:val="19"/>
                <w:color w:val="auto"/>
              </w:rPr>
            </w:pPr>
          </w:p>
        </w:tc>
      </w:tr>
      <w:tr>
        <w:trPr>
          <w:trHeight w:val="187"/>
        </w:trPr>
        <w:tc>
          <w:tcPr>
            <w:tcW w:w="3340" w:type="dxa"/>
            <w:vAlign w:val="bottom"/>
            <w:shd w:val="clear" w:color="auto" w:fill="EDEDED"/>
          </w:tcPr>
          <w:p>
            <w:pPr>
              <w:spacing w:after="0"/>
              <w:rPr>
                <w:sz w:val="16"/>
                <w:szCs w:val="16"/>
                <w:color w:val="auto"/>
              </w:rPr>
            </w:pPr>
          </w:p>
        </w:tc>
        <w:tc>
          <w:tcPr>
            <w:tcW w:w="32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Groupe Renault</w:t>
            </w:r>
          </w:p>
        </w:tc>
        <w:tc>
          <w:tcPr>
            <w:tcW w:w="56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900" w:type="dxa"/>
            <w:vAlign w:val="bottom"/>
            <w:shd w:val="clear" w:color="auto" w:fill="EDEDED"/>
          </w:tcPr>
          <w:p>
            <w:pPr>
              <w:spacing w:after="0"/>
              <w:rPr>
                <w:sz w:val="16"/>
                <w:szCs w:val="16"/>
                <w:color w:val="auto"/>
              </w:rPr>
            </w:pPr>
          </w:p>
        </w:tc>
        <w:tc>
          <w:tcPr>
            <w:tcW w:w="1240" w:type="dxa"/>
            <w:vAlign w:val="bottom"/>
            <w:shd w:val="clear" w:color="auto" w:fill="EDEDED"/>
          </w:tcPr>
          <w:p>
            <w:pPr>
              <w:spacing w:after="0"/>
              <w:rPr>
                <w:sz w:val="16"/>
                <w:szCs w:val="16"/>
                <w:color w:val="auto"/>
              </w:rPr>
            </w:pPr>
          </w:p>
        </w:tc>
        <w:tc>
          <w:tcPr>
            <w:tcW w:w="540" w:type="dxa"/>
            <w:vAlign w:val="bottom"/>
            <w:shd w:val="clear" w:color="auto" w:fill="EDEDED"/>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3340" w:type="dxa"/>
            <w:vAlign w:val="bottom"/>
          </w:tcPr>
          <w:p>
            <w:pPr>
              <w:ind w:left="60"/>
              <w:spacing w:after="0"/>
              <w:rPr>
                <w:sz w:val="20"/>
                <w:szCs w:val="20"/>
                <w:color w:val="auto"/>
              </w:rPr>
            </w:pPr>
            <w:r>
              <w:rPr>
                <w:rFonts w:ascii="Arial" w:cs="Arial" w:eastAsia="Arial" w:hAnsi="Arial"/>
                <w:sz w:val="16"/>
                <w:szCs w:val="16"/>
                <w:color w:val="auto"/>
              </w:rPr>
              <w:t>Scott A. Tozier</w:t>
            </w:r>
          </w:p>
        </w:tc>
        <w:tc>
          <w:tcPr>
            <w:tcW w:w="3200" w:type="dxa"/>
            <w:vAlign w:val="bottom"/>
          </w:tcPr>
          <w:p>
            <w:pPr>
              <w:ind w:left="120"/>
              <w:spacing w:after="0"/>
              <w:rPr>
                <w:sz w:val="20"/>
                <w:szCs w:val="20"/>
                <w:color w:val="auto"/>
              </w:rPr>
            </w:pPr>
            <w:r>
              <w:rPr>
                <w:rFonts w:ascii="Arial" w:cs="Arial" w:eastAsia="Arial" w:hAnsi="Arial"/>
                <w:sz w:val="16"/>
                <w:szCs w:val="16"/>
                <w:color w:val="auto"/>
              </w:rPr>
              <w:t>Chief Financial Officer and Executive Vice</w:t>
            </w:r>
          </w:p>
        </w:tc>
        <w:tc>
          <w:tcPr>
            <w:tcW w:w="560" w:type="dxa"/>
            <w:vAlign w:val="bottom"/>
          </w:tcPr>
          <w:p>
            <w:pPr>
              <w:jc w:val="right"/>
              <w:ind w:right="100"/>
              <w:spacing w:after="0"/>
              <w:rPr>
                <w:sz w:val="20"/>
                <w:szCs w:val="20"/>
                <w:color w:val="auto"/>
              </w:rPr>
            </w:pPr>
            <w:r>
              <w:rPr>
                <w:rFonts w:ascii="Arial" w:cs="Arial" w:eastAsia="Arial" w:hAnsi="Arial"/>
                <w:sz w:val="16"/>
                <w:szCs w:val="16"/>
                <w:color w:val="auto"/>
              </w:rPr>
              <w:t>54</w:t>
            </w:r>
          </w:p>
        </w:tc>
        <w:tc>
          <w:tcPr>
            <w:tcW w:w="1240" w:type="dxa"/>
            <w:vAlign w:val="bottom"/>
          </w:tcPr>
          <w:p>
            <w:pPr>
              <w:jc w:val="center"/>
              <w:spacing w:after="0"/>
              <w:rPr>
                <w:sz w:val="20"/>
                <w:szCs w:val="20"/>
                <w:color w:val="auto"/>
              </w:rPr>
            </w:pPr>
            <w:r>
              <w:rPr>
                <w:rFonts w:ascii="Arial" w:cs="Arial" w:eastAsia="Arial" w:hAnsi="Arial"/>
                <w:sz w:val="16"/>
                <w:szCs w:val="16"/>
                <w:color w:val="E52823"/>
              </w:rPr>
              <w:t>●</w:t>
            </w:r>
          </w:p>
        </w:tc>
        <w:tc>
          <w:tcPr>
            <w:tcW w:w="900" w:type="dxa"/>
            <w:vAlign w:val="bottom"/>
          </w:tcPr>
          <w:p>
            <w:pPr>
              <w:jc w:val="center"/>
              <w:ind w:left="7"/>
              <w:spacing w:after="0"/>
              <w:rPr>
                <w:sz w:val="20"/>
                <w:szCs w:val="20"/>
                <w:color w:val="auto"/>
              </w:rPr>
            </w:pPr>
            <w:r>
              <w:rPr>
                <w:rFonts w:ascii="Arial" w:cs="Arial" w:eastAsia="Arial" w:hAnsi="Arial"/>
                <w:sz w:val="13"/>
                <w:szCs w:val="13"/>
                <w:b w:val="1"/>
                <w:bCs w:val="1"/>
                <w:color w:val="E52823"/>
                <w:w w:val="94"/>
              </w:rPr>
              <w:t>CHAIR+</w:t>
            </w:r>
          </w:p>
        </w:tc>
        <w:tc>
          <w:tcPr>
            <w:tcW w:w="1240" w:type="dxa"/>
            <w:vAlign w:val="bottom"/>
          </w:tcPr>
          <w:p>
            <w:pPr>
              <w:jc w:val="center"/>
              <w:ind w:right="14"/>
              <w:spacing w:after="0"/>
              <w:rPr>
                <w:sz w:val="20"/>
                <w:szCs w:val="20"/>
                <w:color w:val="auto"/>
              </w:rPr>
            </w:pPr>
            <w:r>
              <w:rPr>
                <w:rFonts w:ascii="Arial" w:cs="Arial" w:eastAsia="Arial" w:hAnsi="Arial"/>
                <w:sz w:val="13"/>
                <w:szCs w:val="13"/>
                <w:b w:val="1"/>
                <w:bCs w:val="1"/>
                <w:color w:val="E52823"/>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3340" w:type="dxa"/>
            <w:vAlign w:val="bottom"/>
            <w:tcBorders>
              <w:bottom w:val="single" w:sz="8" w:color="E52823"/>
            </w:tcBorders>
          </w:tcPr>
          <w:p>
            <w:pPr>
              <w:spacing w:after="0"/>
              <w:rPr>
                <w:sz w:val="16"/>
                <w:szCs w:val="16"/>
                <w:color w:val="auto"/>
              </w:rPr>
            </w:pPr>
          </w:p>
        </w:tc>
        <w:tc>
          <w:tcPr>
            <w:tcW w:w="3200" w:type="dxa"/>
            <w:vAlign w:val="bottom"/>
            <w:tcBorders>
              <w:bottom w:val="single" w:sz="8" w:color="E52823"/>
            </w:tcBorders>
          </w:tcPr>
          <w:p>
            <w:pPr>
              <w:ind w:left="120"/>
              <w:spacing w:after="0"/>
              <w:rPr>
                <w:sz w:val="20"/>
                <w:szCs w:val="20"/>
                <w:color w:val="auto"/>
              </w:rPr>
            </w:pPr>
            <w:r>
              <w:rPr>
                <w:rFonts w:ascii="Arial" w:cs="Arial" w:eastAsia="Arial" w:hAnsi="Arial"/>
                <w:sz w:val="16"/>
                <w:szCs w:val="16"/>
                <w:color w:val="auto"/>
              </w:rPr>
              <w:t>President, Albemarle Corporation</w:t>
            </w:r>
          </w:p>
        </w:tc>
        <w:tc>
          <w:tcPr>
            <w:tcW w:w="560" w:type="dxa"/>
            <w:vAlign w:val="bottom"/>
            <w:tcBorders>
              <w:bottom w:val="single" w:sz="8" w:color="E52823"/>
            </w:tcBorders>
          </w:tcPr>
          <w:p>
            <w:pPr>
              <w:spacing w:after="0"/>
              <w:rPr>
                <w:sz w:val="16"/>
                <w:szCs w:val="16"/>
                <w:color w:val="auto"/>
              </w:rPr>
            </w:pPr>
          </w:p>
        </w:tc>
        <w:tc>
          <w:tcPr>
            <w:tcW w:w="1240" w:type="dxa"/>
            <w:vAlign w:val="bottom"/>
            <w:tcBorders>
              <w:bottom w:val="single" w:sz="8" w:color="E52823"/>
            </w:tcBorders>
          </w:tcPr>
          <w:p>
            <w:pPr>
              <w:spacing w:after="0"/>
              <w:rPr>
                <w:sz w:val="16"/>
                <w:szCs w:val="16"/>
                <w:color w:val="auto"/>
              </w:rPr>
            </w:pPr>
          </w:p>
        </w:tc>
        <w:tc>
          <w:tcPr>
            <w:tcW w:w="900" w:type="dxa"/>
            <w:vAlign w:val="bottom"/>
            <w:tcBorders>
              <w:bottom w:val="single" w:sz="8" w:color="E52823"/>
            </w:tcBorders>
          </w:tcPr>
          <w:p>
            <w:pPr>
              <w:spacing w:after="0"/>
              <w:rPr>
                <w:sz w:val="16"/>
                <w:szCs w:val="16"/>
                <w:color w:val="auto"/>
              </w:rPr>
            </w:pPr>
          </w:p>
        </w:tc>
        <w:tc>
          <w:tcPr>
            <w:tcW w:w="1240" w:type="dxa"/>
            <w:vAlign w:val="bottom"/>
            <w:tcBorders>
              <w:bottom w:val="single" w:sz="8" w:color="E52823"/>
            </w:tcBorders>
          </w:tcPr>
          <w:p>
            <w:pPr>
              <w:spacing w:after="0"/>
              <w:rPr>
                <w:sz w:val="16"/>
                <w:szCs w:val="16"/>
                <w:color w:val="auto"/>
              </w:rPr>
            </w:pPr>
          </w:p>
        </w:tc>
        <w:tc>
          <w:tcPr>
            <w:tcW w:w="540" w:type="dxa"/>
            <w:vAlign w:val="bottom"/>
            <w:tcBorders>
              <w:bottom w:val="single" w:sz="8" w:color="E52823"/>
            </w:tcBorders>
          </w:tcPr>
          <w:p>
            <w:pPr>
              <w:spacing w:after="0"/>
              <w:rPr>
                <w:sz w:val="16"/>
                <w:szCs w:val="16"/>
                <w:color w:val="auto"/>
              </w:rPr>
            </w:pPr>
          </w:p>
        </w:tc>
        <w:tc>
          <w:tcPr>
            <w:tcW w:w="20" w:type="dxa"/>
            <w:vAlign w:val="bottom"/>
          </w:tcPr>
          <w:p>
            <w:pPr>
              <w:spacing w:after="0"/>
              <w:rPr>
                <w:sz w:val="16"/>
                <w:szCs w:val="16"/>
                <w:color w:val="auto"/>
              </w:rPr>
            </w:pPr>
          </w:p>
        </w:tc>
      </w:tr>
      <w:tr>
        <w:trPr>
          <w:trHeight w:val="107"/>
        </w:trPr>
        <w:tc>
          <w:tcPr>
            <w:tcW w:w="3340" w:type="dxa"/>
            <w:vAlign w:val="bottom"/>
          </w:tcPr>
          <w:p>
            <w:pPr>
              <w:spacing w:after="0" w:line="107" w:lineRule="exact"/>
              <w:rPr>
                <w:sz w:val="20"/>
                <w:szCs w:val="20"/>
                <w:color w:val="auto"/>
              </w:rPr>
            </w:pPr>
            <w:r>
              <w:rPr>
                <w:rFonts w:ascii="Arial" w:cs="Arial" w:eastAsia="Arial" w:hAnsi="Arial"/>
                <w:sz w:val="12"/>
                <w:szCs w:val="12"/>
                <w:color w:val="auto"/>
              </w:rPr>
              <w:t>* Ages are as of April 15, 2020</w:t>
            </w:r>
          </w:p>
        </w:tc>
        <w:tc>
          <w:tcPr>
            <w:tcW w:w="3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40" w:type="dxa"/>
            <w:vAlign w:val="bottom"/>
            <w:gridSpan w:val="2"/>
          </w:tcPr>
          <w:p>
            <w:pPr>
              <w:jc w:val="right"/>
              <w:ind w:right="7"/>
              <w:spacing w:after="0" w:line="107" w:lineRule="exact"/>
              <w:rPr>
                <w:sz w:val="20"/>
                <w:szCs w:val="20"/>
                <w:color w:val="auto"/>
              </w:rPr>
            </w:pPr>
            <w:r>
              <w:rPr>
                <w:rFonts w:ascii="Arial" w:cs="Arial" w:eastAsia="Arial" w:hAnsi="Arial"/>
                <w:sz w:val="12"/>
                <w:szCs w:val="12"/>
                <w:b w:val="1"/>
                <w:bCs w:val="1"/>
                <w:color w:val="E52823"/>
              </w:rPr>
              <w:t xml:space="preserve">CHAIR </w:t>
            </w:r>
            <w:r>
              <w:rPr>
                <w:rFonts w:ascii="Arial" w:cs="Arial" w:eastAsia="Arial" w:hAnsi="Arial"/>
                <w:sz w:val="12"/>
                <w:szCs w:val="12"/>
                <w:color w:val="000000"/>
              </w:rPr>
              <w:t>= Committee Chair</w:t>
            </w:r>
          </w:p>
        </w:tc>
        <w:tc>
          <w:tcPr>
            <w:tcW w:w="178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E52823"/>
              </w:rPr>
              <w:t xml:space="preserve">A </w:t>
            </w:r>
            <w:r>
              <w:rPr>
                <w:rFonts w:ascii="Arial" w:cs="Arial" w:eastAsia="Arial" w:hAnsi="Arial"/>
                <w:sz w:val="12"/>
                <w:szCs w:val="12"/>
                <w:color w:val="000000"/>
              </w:rPr>
              <w:t>= Audit Committee</w:t>
            </w:r>
          </w:p>
        </w:tc>
        <w:tc>
          <w:tcPr>
            <w:tcW w:w="20" w:type="dxa"/>
            <w:vAlign w:val="bottom"/>
          </w:tcPr>
          <w:p>
            <w:pPr>
              <w:spacing w:after="0"/>
              <w:rPr>
                <w:sz w:val="9"/>
                <w:szCs w:val="9"/>
                <w:color w:val="auto"/>
              </w:rPr>
            </w:pPr>
          </w:p>
        </w:tc>
      </w:tr>
      <w:tr>
        <w:trPr>
          <w:trHeight w:val="135"/>
        </w:trPr>
        <w:tc>
          <w:tcPr>
            <w:tcW w:w="33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40" w:type="dxa"/>
            <w:vAlign w:val="bottom"/>
            <w:gridSpan w:val="2"/>
          </w:tcPr>
          <w:p>
            <w:pPr>
              <w:jc w:val="right"/>
              <w:ind w:right="7"/>
              <w:spacing w:after="0" w:line="135" w:lineRule="exact"/>
              <w:rPr>
                <w:sz w:val="20"/>
                <w:szCs w:val="20"/>
                <w:color w:val="auto"/>
              </w:rPr>
            </w:pPr>
            <w:r>
              <w:rPr>
                <w:rFonts w:ascii="Arial" w:cs="Arial" w:eastAsia="Arial" w:hAnsi="Arial"/>
                <w:sz w:val="13"/>
                <w:szCs w:val="13"/>
                <w:b w:val="1"/>
                <w:bCs w:val="1"/>
                <w:color w:val="E52823"/>
              </w:rPr>
              <w:t xml:space="preserve">+ </w:t>
            </w:r>
            <w:r>
              <w:rPr>
                <w:rFonts w:ascii="Arial" w:cs="Arial" w:eastAsia="Arial" w:hAnsi="Arial"/>
                <w:sz w:val="13"/>
                <w:szCs w:val="13"/>
                <w:color w:val="000000"/>
              </w:rPr>
              <w:t>= Financial Expert</w:t>
            </w:r>
          </w:p>
        </w:tc>
        <w:tc>
          <w:tcPr>
            <w:tcW w:w="1800" w:type="dxa"/>
            <w:vAlign w:val="bottom"/>
            <w:gridSpan w:val="3"/>
          </w:tcPr>
          <w:p>
            <w:pPr>
              <w:jc w:val="right"/>
              <w:ind w:right="20"/>
              <w:spacing w:after="0" w:line="135" w:lineRule="exact"/>
              <w:rPr>
                <w:sz w:val="20"/>
                <w:szCs w:val="20"/>
                <w:color w:val="auto"/>
              </w:rPr>
            </w:pPr>
            <w:r>
              <w:rPr>
                <w:rFonts w:ascii="Arial" w:cs="Arial" w:eastAsia="Arial" w:hAnsi="Arial"/>
                <w:sz w:val="13"/>
                <w:szCs w:val="13"/>
                <w:b w:val="1"/>
                <w:bCs w:val="1"/>
                <w:color w:val="E52823"/>
              </w:rPr>
              <w:t xml:space="preserve">C </w:t>
            </w:r>
            <w:r>
              <w:rPr>
                <w:rFonts w:ascii="Arial" w:cs="Arial" w:eastAsia="Arial" w:hAnsi="Arial"/>
                <w:sz w:val="13"/>
                <w:szCs w:val="13"/>
                <w:color w:val="000000"/>
              </w:rPr>
              <w:t>= Compensation Committee</w:t>
            </w:r>
          </w:p>
        </w:tc>
      </w:tr>
      <w:tr>
        <w:trPr>
          <w:trHeight w:val="151"/>
        </w:trPr>
        <w:tc>
          <w:tcPr>
            <w:tcW w:w="33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E52823"/>
              </w:rPr>
              <w:t xml:space="preserve">G </w:t>
            </w:r>
            <w:r>
              <w:rPr>
                <w:rFonts w:ascii="Arial" w:cs="Arial" w:eastAsia="Arial" w:hAnsi="Arial"/>
                <w:sz w:val="13"/>
                <w:szCs w:val="13"/>
                <w:color w:val="000000"/>
              </w:rPr>
              <w:t>= Nominating and</w:t>
            </w:r>
          </w:p>
        </w:tc>
      </w:tr>
      <w:tr>
        <w:trPr>
          <w:trHeight w:val="152"/>
        </w:trPr>
        <w:tc>
          <w:tcPr>
            <w:tcW w:w="33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3"/>
                <w:szCs w:val="13"/>
                <w:color w:val="auto"/>
              </w:rPr>
              <w:t>Governance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6254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0900"/>
        <w:spacing w:after="0"/>
        <w:rPr>
          <w:sz w:val="20"/>
          <w:szCs w:val="20"/>
          <w:color w:val="auto"/>
        </w:rPr>
      </w:pPr>
      <w:r>
        <w:rPr>
          <w:rFonts w:ascii="Arial" w:cs="Arial" w:eastAsia="Arial" w:hAnsi="Arial"/>
          <w:sz w:val="16"/>
          <w:szCs w:val="16"/>
          <w:b w:val="1"/>
          <w:bCs w:val="1"/>
          <w:color w:val="auto"/>
        </w:rPr>
        <w:t>i</w:t>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Highlights</w:t>
      </w:r>
    </w:p>
    <w:p>
      <w:pPr>
        <w:spacing w:after="0" w:line="213"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One of the primary functions of our Board is to oversee management’s performance on behalf of the stockholders, to ensure the long-term interests of our stockholders are being served. It is therefore essential that the Board be comprised of directors who are qualified to effectively support our growth and commercial strategy. We believe that our directors bring a well-rounded variety of experience, industry backgrounds and diversity to the Board, and represent an effective mix of skills and perspectives to meet the challenges of our commercial and strategic goals.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Diversity and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148590</wp:posOffset>
            </wp:positionV>
            <wp:extent cx="4328795" cy="1217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2879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Independence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668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668655"/>
                    </a:xfrm>
                    <a:prstGeom prst="rect">
                      <a:avLst/>
                    </a:prstGeom>
                    <a:noFill/>
                  </pic:spPr>
                </pic:pic>
              </a:graphicData>
            </a:graphic>
          </wp:anchor>
        </w:drawing>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E52823"/>
        </w:rPr>
        <w:t>7 of 8</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Directors are independent</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E52823"/>
        </w:rPr>
        <w:t>4 of 4</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Audit Committee members are financial experts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Balanced Mix of Skills,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157480</wp:posOffset>
            </wp:positionV>
            <wp:extent cx="5760720" cy="1954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072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Understands financial, accounting and tax issues in different jurisdictions and qualifies as an Audit Committee Financial Expert</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Experience as a senior executive in the automotive industry or supply chain management across global markets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Significant experience overseeing complex technological systems, emerging technologies and/or cybersecurity functions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Experience managing businesses across multiple markets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Significant public company governance, risk management, and compliance experience, including experience serving on a board of directors of similar complexity to Garrett</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Served as a Chief Executive Officer, Chief Financial Officer or other executive officer of a public company</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7"/>
        </w:numPr>
        <w:rPr>
          <w:rFonts w:ascii="Arial" w:cs="Arial" w:eastAsia="Arial" w:hAnsi="Arial"/>
          <w:sz w:val="13"/>
          <w:szCs w:val="13"/>
          <w:color w:val="auto"/>
        </w:rPr>
      </w:pPr>
      <w:r>
        <w:rPr>
          <w:rFonts w:ascii="Arial" w:cs="Arial" w:eastAsia="Arial" w:hAnsi="Arial"/>
          <w:sz w:val="13"/>
          <w:szCs w:val="13"/>
          <w:color w:val="auto"/>
        </w:rPr>
        <w:t>Self-identifies as having diverse characteristics (race, gender, ethnicity, religion, nationality, disability, sexual orientation, or cultural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625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ii</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and Committee Meeting Attendance Rate</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E52823"/>
        </w:rPr>
        <w:t xml:space="preserve">All </w:t>
      </w:r>
      <w:r>
        <w:rPr>
          <w:rFonts w:ascii="Arial" w:cs="Arial" w:eastAsia="Arial" w:hAnsi="Arial"/>
          <w:sz w:val="16"/>
          <w:szCs w:val="16"/>
          <w:color w:val="000000"/>
        </w:rPr>
        <w:t>of our directors attended at least</w:t>
      </w:r>
      <w:r>
        <w:rPr>
          <w:rFonts w:ascii="Arial" w:cs="Arial" w:eastAsia="Arial" w:hAnsi="Arial"/>
          <w:sz w:val="16"/>
          <w:szCs w:val="16"/>
          <w:color w:val="E52823"/>
        </w:rPr>
        <w:t xml:space="preserve"> 75% </w:t>
      </w:r>
      <w:r>
        <w:rPr>
          <w:rFonts w:ascii="Arial" w:cs="Arial" w:eastAsia="Arial" w:hAnsi="Arial"/>
          <w:sz w:val="16"/>
          <w:szCs w:val="16"/>
          <w:color w:val="000000"/>
        </w:rPr>
        <w:t>of Board meetings and the meetings of the committees on which they served in 2019.</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Governance Highlights</w:t>
      </w:r>
    </w:p>
    <w:p>
      <w:pPr>
        <w:spacing w:after="0" w:line="21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6"/>
          <w:szCs w:val="16"/>
          <w:color w:val="auto"/>
        </w:rPr>
        <w:t>Garrett is committed to good governance practices that protect and promote the long-term value of the Company for its stockholders. The Board regularly reviews our governance practices to ensure they reflect the evolving governance landscape and appropriately support and serve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03415" cy="3960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3960495"/>
                    </a:xfrm>
                    <a:prstGeom prst="rect">
                      <a:avLst/>
                    </a:prstGeom>
                    <a:noFill/>
                  </pic:spPr>
                </pic:pic>
              </a:graphicData>
            </a:graphic>
          </wp:anchor>
        </w:drawing>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920" w:type="dxa"/>
            <w:vAlign w:val="bottom"/>
          </w:tcPr>
          <w:p>
            <w:pPr>
              <w:ind w:left="220"/>
              <w:spacing w:after="0"/>
              <w:rPr>
                <w:sz w:val="20"/>
                <w:szCs w:val="20"/>
                <w:color w:val="auto"/>
              </w:rPr>
            </w:pPr>
            <w:r>
              <w:rPr>
                <w:rFonts w:ascii="Arial" w:cs="Arial" w:eastAsia="Arial" w:hAnsi="Arial"/>
                <w:sz w:val="16"/>
                <w:szCs w:val="16"/>
                <w:color w:val="E52823"/>
              </w:rPr>
              <w:t>Independent</w:t>
            </w:r>
          </w:p>
        </w:tc>
        <w:tc>
          <w:tcPr>
            <w:tcW w:w="9100" w:type="dxa"/>
            <w:vAlign w:val="bottom"/>
          </w:tcPr>
          <w:p>
            <w:pPr>
              <w:ind w:left="300"/>
              <w:spacing w:after="0"/>
              <w:rPr>
                <w:sz w:val="20"/>
                <w:szCs w:val="20"/>
                <w:color w:val="auto"/>
              </w:rPr>
            </w:pPr>
            <w:r>
              <w:rPr>
                <w:rFonts w:ascii="Arial" w:cs="Arial" w:eastAsia="Arial" w:hAnsi="Arial"/>
                <w:sz w:val="16"/>
                <w:szCs w:val="16"/>
                <w:color w:val="auto"/>
              </w:rPr>
              <w:t>7 of 8 directors are independent</w:t>
            </w:r>
          </w:p>
        </w:tc>
        <w:tc>
          <w:tcPr>
            <w:tcW w:w="0" w:type="dxa"/>
            <w:vAlign w:val="bottom"/>
          </w:tcPr>
          <w:p>
            <w:pPr>
              <w:spacing w:after="0"/>
              <w:rPr>
                <w:sz w:val="1"/>
                <w:szCs w:val="1"/>
                <w:color w:val="auto"/>
              </w:rPr>
            </w:pPr>
          </w:p>
        </w:tc>
      </w:tr>
      <w:tr>
        <w:trPr>
          <w:trHeight w:val="195"/>
        </w:trPr>
        <w:tc>
          <w:tcPr>
            <w:tcW w:w="1920" w:type="dxa"/>
            <w:vAlign w:val="bottom"/>
          </w:tcPr>
          <w:p>
            <w:pPr>
              <w:ind w:left="220"/>
              <w:spacing w:after="0"/>
              <w:rPr>
                <w:sz w:val="20"/>
                <w:szCs w:val="20"/>
                <w:color w:val="auto"/>
              </w:rPr>
            </w:pPr>
            <w:r>
              <w:rPr>
                <w:rFonts w:ascii="Arial" w:cs="Arial" w:eastAsia="Arial" w:hAnsi="Arial"/>
                <w:sz w:val="16"/>
                <w:szCs w:val="16"/>
                <w:color w:val="E52823"/>
              </w:rPr>
              <w:t>Oversight</w:t>
            </w:r>
          </w:p>
        </w:tc>
        <w:tc>
          <w:tcPr>
            <w:tcW w:w="9100" w:type="dxa"/>
            <w:vAlign w:val="bottom"/>
            <w:vMerge w:val="restart"/>
          </w:tcPr>
          <w:p>
            <w:pPr>
              <w:ind w:left="300"/>
              <w:spacing w:after="0"/>
              <w:rPr>
                <w:sz w:val="20"/>
                <w:szCs w:val="20"/>
                <w:color w:val="auto"/>
              </w:rPr>
            </w:pPr>
            <w:r>
              <w:rPr>
                <w:rFonts w:ascii="Arial" w:cs="Arial" w:eastAsia="Arial" w:hAnsi="Arial"/>
                <w:sz w:val="16"/>
                <w:szCs w:val="16"/>
                <w:color w:val="auto"/>
              </w:rPr>
              <w:t>Independent Chairperson of the Board</w:t>
            </w:r>
          </w:p>
        </w:tc>
        <w:tc>
          <w:tcPr>
            <w:tcW w:w="0" w:type="dxa"/>
            <w:vAlign w:val="bottom"/>
          </w:tcPr>
          <w:p>
            <w:pPr>
              <w:spacing w:after="0"/>
              <w:rPr>
                <w:sz w:val="1"/>
                <w:szCs w:val="1"/>
                <w:color w:val="auto"/>
              </w:rPr>
            </w:pPr>
          </w:p>
        </w:tc>
      </w:tr>
      <w:tr>
        <w:trPr>
          <w:trHeight w:val="81"/>
        </w:trPr>
        <w:tc>
          <w:tcPr>
            <w:tcW w:w="1920" w:type="dxa"/>
            <w:vAlign w:val="bottom"/>
          </w:tcPr>
          <w:p>
            <w:pPr>
              <w:spacing w:after="0"/>
              <w:rPr>
                <w:sz w:val="7"/>
                <w:szCs w:val="7"/>
                <w:color w:val="auto"/>
              </w:rPr>
            </w:pPr>
          </w:p>
        </w:tc>
        <w:tc>
          <w:tcPr>
            <w:tcW w:w="9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Regular executive sessions of non-employee directors at Board meetings (chaired by independent Chairperson) and</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9100" w:type="dxa"/>
            <w:vAlign w:val="bottom"/>
          </w:tcPr>
          <w:p>
            <w:pPr>
              <w:ind w:left="260"/>
              <w:spacing w:after="0"/>
              <w:rPr>
                <w:sz w:val="20"/>
                <w:szCs w:val="20"/>
                <w:color w:val="auto"/>
              </w:rPr>
            </w:pPr>
            <w:r>
              <w:rPr>
                <w:rFonts w:ascii="Arial" w:cs="Arial" w:eastAsia="Arial" w:hAnsi="Arial"/>
                <w:sz w:val="16"/>
                <w:szCs w:val="16"/>
                <w:color w:val="auto"/>
              </w:rPr>
              <w:t>committee meetings (chaired by independent committee chairs)</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100% independent Board committees</w:t>
            </w:r>
          </w:p>
        </w:tc>
        <w:tc>
          <w:tcPr>
            <w:tcW w:w="0" w:type="dxa"/>
            <w:vAlign w:val="bottom"/>
          </w:tcPr>
          <w:p>
            <w:pPr>
              <w:spacing w:after="0"/>
              <w:rPr>
                <w:sz w:val="1"/>
                <w:szCs w:val="1"/>
                <w:color w:val="auto"/>
              </w:rPr>
            </w:pPr>
          </w:p>
        </w:tc>
      </w:tr>
      <w:tr>
        <w:trPr>
          <w:trHeight w:val="273"/>
        </w:trPr>
        <w:tc>
          <w:tcPr>
            <w:tcW w:w="1920" w:type="dxa"/>
            <w:vAlign w:val="bottom"/>
            <w:tcBorders>
              <w:bottom w:val="single" w:sz="8" w:color="E52823"/>
            </w:tcBorders>
          </w:tcPr>
          <w:p>
            <w:pPr>
              <w:spacing w:after="0"/>
              <w:rPr>
                <w:sz w:val="23"/>
                <w:szCs w:val="23"/>
                <w:color w:val="auto"/>
              </w:rPr>
            </w:pPr>
          </w:p>
        </w:tc>
        <w:tc>
          <w:tcPr>
            <w:tcW w:w="9100" w:type="dxa"/>
            <w:vAlign w:val="bottom"/>
            <w:tcBorders>
              <w:bottom w:val="single" w:sz="8" w:color="E52823"/>
            </w:tcBorders>
          </w:tcPr>
          <w:p>
            <w:pPr>
              <w:ind w:left="300"/>
              <w:spacing w:after="0"/>
              <w:rPr>
                <w:sz w:val="20"/>
                <w:szCs w:val="20"/>
                <w:color w:val="auto"/>
              </w:rPr>
            </w:pPr>
            <w:r>
              <w:rPr>
                <w:rFonts w:ascii="Arial" w:cs="Arial" w:eastAsia="Arial" w:hAnsi="Arial"/>
                <w:sz w:val="16"/>
                <w:szCs w:val="16"/>
                <w:color w:val="auto"/>
              </w:rPr>
              <w:t>Active Board and committee oversight of the Company’s strategy and risk management</w:t>
            </w:r>
          </w:p>
        </w:tc>
        <w:tc>
          <w:tcPr>
            <w:tcW w:w="0" w:type="dxa"/>
            <w:vAlign w:val="bottom"/>
          </w:tcPr>
          <w:p>
            <w:pPr>
              <w:spacing w:after="0"/>
              <w:rPr>
                <w:sz w:val="1"/>
                <w:szCs w:val="1"/>
                <w:color w:val="auto"/>
              </w:rPr>
            </w:pPr>
          </w:p>
        </w:tc>
      </w:tr>
      <w:tr>
        <w:trPr>
          <w:trHeight w:val="201"/>
        </w:trPr>
        <w:tc>
          <w:tcPr>
            <w:tcW w:w="1920" w:type="dxa"/>
            <w:vAlign w:val="bottom"/>
          </w:tcPr>
          <w:p>
            <w:pPr>
              <w:ind w:left="220"/>
              <w:spacing w:after="0"/>
              <w:rPr>
                <w:sz w:val="20"/>
                <w:szCs w:val="20"/>
                <w:color w:val="auto"/>
              </w:rPr>
            </w:pPr>
            <w:r>
              <w:rPr>
                <w:rFonts w:ascii="Arial" w:cs="Arial" w:eastAsia="Arial" w:hAnsi="Arial"/>
                <w:sz w:val="16"/>
                <w:szCs w:val="16"/>
                <w:color w:val="E52823"/>
              </w:rPr>
              <w:t>Board Effectiveness</w:t>
            </w:r>
          </w:p>
        </w:tc>
        <w:tc>
          <w:tcPr>
            <w:tcW w:w="9100" w:type="dxa"/>
            <w:vAlign w:val="bottom"/>
          </w:tcPr>
          <w:p>
            <w:pPr>
              <w:ind w:left="300"/>
              <w:spacing w:after="0"/>
              <w:rPr>
                <w:sz w:val="20"/>
                <w:szCs w:val="20"/>
                <w:color w:val="auto"/>
              </w:rPr>
            </w:pPr>
            <w:r>
              <w:rPr>
                <w:rFonts w:ascii="Arial" w:cs="Arial" w:eastAsia="Arial" w:hAnsi="Arial"/>
                <w:sz w:val="16"/>
                <w:szCs w:val="16"/>
                <w:color w:val="auto"/>
              </w:rPr>
              <w:t>Directors possess deep and diverse set of skills and expertise relevant to oversight of our business operations and</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9100" w:type="dxa"/>
            <w:vAlign w:val="bottom"/>
          </w:tcPr>
          <w:p>
            <w:pPr>
              <w:ind w:left="260"/>
              <w:spacing w:after="0"/>
              <w:rPr>
                <w:sz w:val="20"/>
                <w:szCs w:val="20"/>
                <w:color w:val="auto"/>
              </w:rPr>
            </w:pPr>
            <w:r>
              <w:rPr>
                <w:rFonts w:ascii="Arial" w:cs="Arial" w:eastAsia="Arial" w:hAnsi="Arial"/>
                <w:sz w:val="16"/>
                <w:szCs w:val="16"/>
                <w:color w:val="auto"/>
              </w:rPr>
              <w:t>strategy</w:t>
            </w: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Annual assessment of director skills and commitment to director refreshment to ensure Board meets the Company’s</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9100" w:type="dxa"/>
            <w:vAlign w:val="bottom"/>
          </w:tcPr>
          <w:p>
            <w:pPr>
              <w:ind w:left="260"/>
              <w:spacing w:after="0"/>
              <w:rPr>
                <w:sz w:val="20"/>
                <w:szCs w:val="20"/>
                <w:color w:val="auto"/>
              </w:rPr>
            </w:pPr>
            <w:r>
              <w:rPr>
                <w:rFonts w:ascii="Arial" w:cs="Arial" w:eastAsia="Arial" w:hAnsi="Arial"/>
                <w:sz w:val="16"/>
                <w:szCs w:val="16"/>
                <w:color w:val="auto"/>
              </w:rPr>
              <w:t>evolving oversight needs</w:t>
            </w: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The Board oversees risk management, reviewing and advising management on significant risks facing the Company, and</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9100" w:type="dxa"/>
            <w:vAlign w:val="bottom"/>
          </w:tcPr>
          <w:p>
            <w:pPr>
              <w:ind w:left="260"/>
              <w:spacing w:after="0"/>
              <w:rPr>
                <w:sz w:val="20"/>
                <w:szCs w:val="20"/>
                <w:color w:val="auto"/>
              </w:rPr>
            </w:pPr>
            <w:r>
              <w:rPr>
                <w:rFonts w:ascii="Arial" w:cs="Arial" w:eastAsia="Arial" w:hAnsi="Arial"/>
                <w:sz w:val="16"/>
                <w:szCs w:val="16"/>
                <w:color w:val="auto"/>
              </w:rPr>
              <w:t>fostering a culture of integrity and risk awareness</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38% of directors are women</w:t>
            </w: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Highly engaged Board with all directors having attended at least 75% of total number of meetings of the Board and</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9100" w:type="dxa"/>
            <w:vAlign w:val="bottom"/>
          </w:tcPr>
          <w:p>
            <w:pPr>
              <w:ind w:left="260"/>
              <w:spacing w:after="0"/>
              <w:rPr>
                <w:sz w:val="20"/>
                <w:szCs w:val="20"/>
                <w:color w:val="auto"/>
              </w:rPr>
            </w:pPr>
            <w:r>
              <w:rPr>
                <w:rFonts w:ascii="Arial" w:cs="Arial" w:eastAsia="Arial" w:hAnsi="Arial"/>
                <w:sz w:val="16"/>
                <w:szCs w:val="16"/>
                <w:color w:val="auto"/>
              </w:rPr>
              <w:t>committees on which they serve</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Annual Board and committee self-evaluations</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9100" w:type="dxa"/>
            <w:vAlign w:val="bottom"/>
          </w:tcPr>
          <w:p>
            <w:pPr>
              <w:ind w:left="300"/>
              <w:spacing w:after="0"/>
              <w:rPr>
                <w:sz w:val="20"/>
                <w:szCs w:val="20"/>
                <w:color w:val="auto"/>
              </w:rPr>
            </w:pPr>
            <w:r>
              <w:rPr>
                <w:rFonts w:ascii="Arial" w:cs="Arial" w:eastAsia="Arial" w:hAnsi="Arial"/>
                <w:sz w:val="16"/>
                <w:szCs w:val="16"/>
                <w:color w:val="auto"/>
              </w:rPr>
              <w:t>Directors serve only until age 75, unless otherwise determined by the Board</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Ongoing director education</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Arial" w:cs="Arial" w:eastAsia="Arial" w:hAnsi="Arial"/>
                <w:sz w:val="16"/>
                <w:szCs w:val="16"/>
                <w:color w:val="E52823"/>
              </w:rPr>
              <w:t>Stockholder Rights</w:t>
            </w:r>
          </w:p>
        </w:tc>
        <w:tc>
          <w:tcPr>
            <w:tcW w:w="1280" w:type="dxa"/>
            <w:vAlign w:val="bottom"/>
          </w:tcPr>
          <w:p>
            <w:pPr>
              <w:ind w:left="320"/>
              <w:spacing w:after="0"/>
              <w:rPr>
                <w:sz w:val="20"/>
                <w:szCs w:val="20"/>
                <w:color w:val="auto"/>
              </w:rPr>
            </w:pPr>
            <w:r>
              <w:rPr>
                <w:rFonts w:ascii="Arial" w:cs="Arial" w:eastAsia="Arial" w:hAnsi="Arial"/>
                <w:sz w:val="16"/>
                <w:szCs w:val="16"/>
                <w:color w:val="auto"/>
                <w:w w:val="98"/>
              </w:rPr>
              <w:t>Proxy access</w:t>
            </w:r>
          </w:p>
        </w:tc>
      </w:tr>
    </w:tbl>
    <w:p>
      <w:pPr>
        <w:spacing w:after="0" w:line="7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Majority voting for directors in uncontested elections</w:t>
      </w:r>
    </w:p>
    <w:p>
      <w:pPr>
        <w:spacing w:after="0" w:line="8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Resignation policy for directors who do not receive a majority of the votes cast</w:t>
      </w:r>
    </w:p>
    <w:p>
      <w:pPr>
        <w:spacing w:after="0" w:line="8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One class of common stock with each share entitled to one vote</w:t>
      </w:r>
    </w:p>
    <w:p>
      <w:pPr>
        <w:spacing w:after="0" w:line="8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No poison pill</w:t>
      </w:r>
    </w:p>
    <w:p>
      <w:pPr>
        <w:spacing w:after="0" w:line="8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No supermajority voting provisions</w:t>
      </w:r>
    </w:p>
    <w:p>
      <w:pPr>
        <w:spacing w:after="0" w:line="8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No fee-shifting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626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820"/>
        <w:spacing w:after="0"/>
        <w:rPr>
          <w:sz w:val="20"/>
          <w:szCs w:val="20"/>
          <w:color w:val="auto"/>
        </w:rPr>
      </w:pPr>
      <w:r>
        <w:rPr>
          <w:rFonts w:ascii="Arial" w:cs="Arial" w:eastAsia="Arial" w:hAnsi="Arial"/>
          <w:sz w:val="16"/>
          <w:szCs w:val="16"/>
          <w:b w:val="1"/>
          <w:bCs w:val="1"/>
          <w:color w:val="auto"/>
        </w:rPr>
        <w:t>iii</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30" w:type="dxa"/>
        <w:tblCellMar>
          <w:top w:w="0" w:type="dxa"/>
          <w:left w:w="0" w:type="dxa"/>
          <w:bottom w:w="0" w:type="dxa"/>
          <w:right w:w="0" w:type="dxa"/>
        </w:tblCellMar>
      </w:tblPr>
      <w:tr>
        <w:trPr>
          <w:trHeight w:val="218"/>
        </w:trPr>
        <w:tc>
          <w:tcPr>
            <w:tcW w:w="1900" w:type="dxa"/>
            <w:vAlign w:val="bottom"/>
            <w:tcBorders>
              <w:top w:val="single" w:sz="8" w:color="E52823"/>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Good Governance</w:t>
            </w:r>
          </w:p>
        </w:tc>
        <w:tc>
          <w:tcPr>
            <w:tcW w:w="9140" w:type="dxa"/>
            <w:vAlign w:val="bottom"/>
            <w:tcBorders>
              <w:top w:val="single" w:sz="8" w:color="E52823"/>
              <w:right w:val="single" w:sz="8" w:color="E52823"/>
            </w:tcBorders>
            <w:gridSpan w:val="2"/>
          </w:tcPr>
          <w:p>
            <w:pPr>
              <w:ind w:left="320"/>
              <w:spacing w:after="0"/>
              <w:rPr>
                <w:sz w:val="20"/>
                <w:szCs w:val="20"/>
                <w:color w:val="auto"/>
              </w:rPr>
            </w:pPr>
            <w:r>
              <w:rPr>
                <w:rFonts w:ascii="Arial" w:cs="Arial" w:eastAsia="Arial" w:hAnsi="Arial"/>
                <w:sz w:val="16"/>
                <w:szCs w:val="16"/>
                <w:color w:val="auto"/>
              </w:rPr>
              <w:t>All directors to be elected annually for one-year terms beginning with 2022 Annual Meeting</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Practices</w:t>
            </w:r>
          </w:p>
        </w:tc>
        <w:tc>
          <w:tcPr>
            <w:tcW w:w="9140" w:type="dxa"/>
            <w:vAlign w:val="bottom"/>
            <w:tcBorders>
              <w:right w:val="single" w:sz="8" w:color="E52823"/>
            </w:tcBorders>
            <w:gridSpan w:val="2"/>
            <w:vMerge w:val="restart"/>
          </w:tcPr>
          <w:p>
            <w:pPr>
              <w:ind w:left="320"/>
              <w:spacing w:after="0"/>
              <w:rPr>
                <w:sz w:val="20"/>
                <w:szCs w:val="20"/>
                <w:color w:val="auto"/>
              </w:rPr>
            </w:pPr>
            <w:r>
              <w:rPr>
                <w:rFonts w:ascii="Arial" w:cs="Arial" w:eastAsia="Arial" w:hAnsi="Arial"/>
                <w:sz w:val="16"/>
                <w:szCs w:val="16"/>
                <w:color w:val="auto"/>
              </w:rPr>
              <w:t>Development and regular review of succession plans for Chief Executive Officer and members of senior management</w:t>
            </w:r>
          </w:p>
        </w:tc>
        <w:tc>
          <w:tcPr>
            <w:tcW w:w="0" w:type="dxa"/>
            <w:vAlign w:val="bottom"/>
          </w:tcPr>
          <w:p>
            <w:pPr>
              <w:spacing w:after="0"/>
              <w:rPr>
                <w:sz w:val="1"/>
                <w:szCs w:val="1"/>
                <w:color w:val="auto"/>
              </w:rPr>
            </w:pPr>
          </w:p>
        </w:tc>
      </w:tr>
      <w:tr>
        <w:trPr>
          <w:trHeight w:val="81"/>
        </w:trPr>
        <w:tc>
          <w:tcPr>
            <w:tcW w:w="1900" w:type="dxa"/>
            <w:vAlign w:val="bottom"/>
            <w:tcBorders>
              <w:left w:val="single" w:sz="8" w:color="E52823"/>
              <w:right w:val="single" w:sz="8" w:color="E52823"/>
            </w:tcBorders>
          </w:tcPr>
          <w:p>
            <w:pPr>
              <w:spacing w:after="0"/>
              <w:rPr>
                <w:sz w:val="7"/>
                <w:szCs w:val="7"/>
                <w:color w:val="auto"/>
              </w:rPr>
            </w:pPr>
          </w:p>
        </w:tc>
        <w:tc>
          <w:tcPr>
            <w:tcW w:w="9140" w:type="dxa"/>
            <w:vAlign w:val="bottom"/>
            <w:tcBorders>
              <w:right w:val="single" w:sz="8" w:color="E52823"/>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gridSpan w:val="2"/>
          </w:tcPr>
          <w:p>
            <w:pPr>
              <w:ind w:left="320"/>
              <w:spacing w:after="0"/>
              <w:rPr>
                <w:sz w:val="20"/>
                <w:szCs w:val="20"/>
                <w:color w:val="auto"/>
              </w:rPr>
            </w:pPr>
            <w:r>
              <w:rPr>
                <w:rFonts w:ascii="Arial" w:cs="Arial" w:eastAsia="Arial" w:hAnsi="Arial"/>
                <w:sz w:val="16"/>
                <w:szCs w:val="16"/>
                <w:color w:val="auto"/>
              </w:rPr>
              <w:t>Global Code of Business Conduct applicable to directors and all employees</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gridSpan w:val="2"/>
          </w:tcPr>
          <w:p>
            <w:pPr>
              <w:ind w:left="320"/>
              <w:spacing w:after="0"/>
              <w:rPr>
                <w:sz w:val="20"/>
                <w:szCs w:val="20"/>
                <w:color w:val="auto"/>
              </w:rPr>
            </w:pPr>
            <w:r>
              <w:rPr>
                <w:rFonts w:ascii="Arial" w:cs="Arial" w:eastAsia="Arial" w:hAnsi="Arial"/>
                <w:sz w:val="16"/>
                <w:szCs w:val="16"/>
                <w:color w:val="auto"/>
              </w:rPr>
              <w:t>Ethics training annually for all employees</w:t>
            </w:r>
          </w:p>
        </w:tc>
        <w:tc>
          <w:tcPr>
            <w:tcW w:w="0" w:type="dxa"/>
            <w:vAlign w:val="bottom"/>
          </w:tcPr>
          <w:p>
            <w:pPr>
              <w:spacing w:after="0"/>
              <w:rPr>
                <w:sz w:val="1"/>
                <w:szCs w:val="1"/>
                <w:color w:val="auto"/>
              </w:rPr>
            </w:pPr>
          </w:p>
        </w:tc>
      </w:tr>
      <w:tr>
        <w:trPr>
          <w:trHeight w:val="264"/>
        </w:trPr>
        <w:tc>
          <w:tcPr>
            <w:tcW w:w="1900" w:type="dxa"/>
            <w:vAlign w:val="bottom"/>
            <w:tcBorders>
              <w:left w:val="single" w:sz="8" w:color="E52823"/>
              <w:right w:val="single" w:sz="8" w:color="E52823"/>
            </w:tcBorders>
          </w:tcPr>
          <w:p>
            <w:pPr>
              <w:spacing w:after="0"/>
              <w:rPr>
                <w:sz w:val="22"/>
                <w:szCs w:val="22"/>
                <w:color w:val="auto"/>
              </w:rPr>
            </w:pPr>
          </w:p>
        </w:tc>
        <w:tc>
          <w:tcPr>
            <w:tcW w:w="9140" w:type="dxa"/>
            <w:vAlign w:val="bottom"/>
            <w:tcBorders>
              <w:right w:val="single" w:sz="8" w:color="E52823"/>
            </w:tcBorders>
            <w:gridSpan w:val="2"/>
          </w:tcPr>
          <w:p>
            <w:pPr>
              <w:ind w:left="320"/>
              <w:spacing w:after="0"/>
              <w:rPr>
                <w:sz w:val="20"/>
                <w:szCs w:val="20"/>
                <w:color w:val="auto"/>
              </w:rPr>
            </w:pPr>
            <w:r>
              <w:rPr>
                <w:rFonts w:ascii="Arial" w:cs="Arial" w:eastAsia="Arial" w:hAnsi="Arial"/>
                <w:sz w:val="16"/>
                <w:szCs w:val="16"/>
                <w:color w:val="auto"/>
              </w:rPr>
              <w:t>Securities Trading Policy prohibits hedging by directors and executive officers, and prohibits short sales, pledging and</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spacing w:after="0"/>
              <w:rPr>
                <w:sz w:val="16"/>
                <w:szCs w:val="16"/>
                <w:color w:val="auto"/>
              </w:rPr>
            </w:pPr>
          </w:p>
        </w:tc>
        <w:tc>
          <w:tcPr>
            <w:tcW w:w="9140" w:type="dxa"/>
            <w:vAlign w:val="bottom"/>
            <w:tcBorders>
              <w:right w:val="single" w:sz="8" w:color="E52823"/>
            </w:tcBorders>
            <w:gridSpan w:val="2"/>
          </w:tcPr>
          <w:p>
            <w:pPr>
              <w:ind w:left="280"/>
              <w:spacing w:after="0"/>
              <w:rPr>
                <w:sz w:val="20"/>
                <w:szCs w:val="20"/>
                <w:color w:val="auto"/>
              </w:rPr>
            </w:pPr>
            <w:r>
              <w:rPr>
                <w:rFonts w:ascii="Arial" w:cs="Arial" w:eastAsia="Arial" w:hAnsi="Arial"/>
                <w:sz w:val="16"/>
                <w:szCs w:val="16"/>
                <w:color w:val="auto"/>
              </w:rPr>
              <w:t>buying or selling puts, calls, options or other derivative securities of the Company by directors, officers and employees</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gridSpan w:val="2"/>
          </w:tcPr>
          <w:p>
            <w:pPr>
              <w:ind w:left="320"/>
              <w:spacing w:after="0"/>
              <w:rPr>
                <w:sz w:val="20"/>
                <w:szCs w:val="20"/>
                <w:color w:val="auto"/>
              </w:rPr>
            </w:pPr>
            <w:r>
              <w:rPr>
                <w:rFonts w:ascii="Arial" w:cs="Arial" w:eastAsia="Arial" w:hAnsi="Arial"/>
                <w:sz w:val="16"/>
                <w:szCs w:val="16"/>
                <w:color w:val="auto"/>
              </w:rPr>
              <w:t>Stock ownership guidelines for directors and executive officers</w:t>
            </w:r>
          </w:p>
        </w:tc>
        <w:tc>
          <w:tcPr>
            <w:tcW w:w="0" w:type="dxa"/>
            <w:vAlign w:val="bottom"/>
          </w:tcPr>
          <w:p>
            <w:pPr>
              <w:spacing w:after="0"/>
              <w:rPr>
                <w:sz w:val="1"/>
                <w:szCs w:val="1"/>
                <w:color w:val="auto"/>
              </w:rPr>
            </w:pPr>
          </w:p>
        </w:tc>
      </w:tr>
      <w:tr>
        <w:trPr>
          <w:trHeight w:val="273"/>
        </w:trPr>
        <w:tc>
          <w:tcPr>
            <w:tcW w:w="1900" w:type="dxa"/>
            <w:vAlign w:val="bottom"/>
            <w:tcBorders>
              <w:left w:val="single" w:sz="8" w:color="E52823"/>
              <w:bottom w:val="single" w:sz="8" w:color="E52823"/>
              <w:right w:val="single" w:sz="8" w:color="E52823"/>
            </w:tcBorders>
          </w:tcPr>
          <w:p>
            <w:pPr>
              <w:spacing w:after="0"/>
              <w:rPr>
                <w:sz w:val="23"/>
                <w:szCs w:val="23"/>
                <w:color w:val="auto"/>
              </w:rPr>
            </w:pPr>
          </w:p>
        </w:tc>
        <w:tc>
          <w:tcPr>
            <w:tcW w:w="9140" w:type="dxa"/>
            <w:vAlign w:val="bottom"/>
            <w:tcBorders>
              <w:bottom w:val="single" w:sz="8" w:color="E52823"/>
              <w:right w:val="single" w:sz="8" w:color="E52823"/>
            </w:tcBorders>
            <w:gridSpan w:val="2"/>
          </w:tcPr>
          <w:p>
            <w:pPr>
              <w:ind w:left="320"/>
              <w:spacing w:after="0"/>
              <w:rPr>
                <w:sz w:val="20"/>
                <w:szCs w:val="20"/>
                <w:color w:val="auto"/>
              </w:rPr>
            </w:pPr>
            <w:r>
              <w:rPr>
                <w:rFonts w:ascii="Arial" w:cs="Arial" w:eastAsia="Arial" w:hAnsi="Arial"/>
                <w:sz w:val="16"/>
                <w:szCs w:val="16"/>
                <w:color w:val="auto"/>
              </w:rPr>
              <w:t>Responsible corporate citizenship and environmental initiatives</w:t>
            </w:r>
          </w:p>
        </w:tc>
        <w:tc>
          <w:tcPr>
            <w:tcW w:w="0" w:type="dxa"/>
            <w:vAlign w:val="bottom"/>
          </w:tcPr>
          <w:p>
            <w:pPr>
              <w:spacing w:after="0"/>
              <w:rPr>
                <w:sz w:val="1"/>
                <w:szCs w:val="1"/>
                <w:color w:val="auto"/>
              </w:rPr>
            </w:pPr>
          </w:p>
        </w:tc>
      </w:tr>
      <w:tr>
        <w:trPr>
          <w:trHeight w:val="239"/>
        </w:trPr>
        <w:tc>
          <w:tcPr>
            <w:tcW w:w="1900" w:type="dxa"/>
            <w:vAlign w:val="bottom"/>
            <w:tcBorders>
              <w:bottom w:val="single" w:sz="8" w:color="E52823"/>
            </w:tcBorders>
          </w:tcPr>
          <w:p>
            <w:pPr>
              <w:spacing w:after="0"/>
              <w:rPr>
                <w:sz w:val="20"/>
                <w:szCs w:val="20"/>
                <w:color w:val="auto"/>
              </w:rPr>
            </w:pPr>
          </w:p>
        </w:tc>
        <w:tc>
          <w:tcPr>
            <w:tcW w:w="1260" w:type="dxa"/>
            <w:vAlign w:val="bottom"/>
            <w:tcBorders>
              <w:bottom w:val="single" w:sz="8" w:color="E52823"/>
            </w:tcBorders>
          </w:tcPr>
          <w:p>
            <w:pPr>
              <w:spacing w:after="0"/>
              <w:rPr>
                <w:sz w:val="20"/>
                <w:szCs w:val="20"/>
                <w:color w:val="auto"/>
              </w:rPr>
            </w:pPr>
          </w:p>
        </w:tc>
        <w:tc>
          <w:tcPr>
            <w:tcW w:w="7880" w:type="dxa"/>
            <w:vAlign w:val="bottom"/>
            <w:tcBorders>
              <w:bottom w:val="single" w:sz="8" w:color="E52823"/>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900" w:type="dxa"/>
            <w:vAlign w:val="bottom"/>
            <w:tcBorders>
              <w:left w:val="single" w:sz="8" w:color="E52823"/>
            </w:tcBorders>
          </w:tcPr>
          <w:p>
            <w:pPr>
              <w:ind w:left="220"/>
              <w:spacing w:after="0"/>
              <w:rPr>
                <w:sz w:val="20"/>
                <w:szCs w:val="20"/>
                <w:color w:val="auto"/>
              </w:rPr>
            </w:pPr>
            <w:r>
              <w:rPr>
                <w:rFonts w:ascii="Arial" w:cs="Arial" w:eastAsia="Arial" w:hAnsi="Arial"/>
                <w:sz w:val="16"/>
                <w:szCs w:val="16"/>
                <w:color w:val="E52823"/>
              </w:rPr>
              <w:t>Proposal 2</w:t>
            </w:r>
          </w:p>
        </w:tc>
        <w:tc>
          <w:tcPr>
            <w:tcW w:w="1260" w:type="dxa"/>
            <w:vAlign w:val="bottom"/>
          </w:tcPr>
          <w:p>
            <w:pPr>
              <w:spacing w:after="0"/>
              <w:rPr>
                <w:sz w:val="17"/>
                <w:szCs w:val="17"/>
                <w:color w:val="auto"/>
              </w:rPr>
            </w:pPr>
          </w:p>
        </w:tc>
        <w:tc>
          <w:tcPr>
            <w:tcW w:w="7880" w:type="dxa"/>
            <w:vAlign w:val="bottom"/>
            <w:tcBorders>
              <w:right w:val="single" w:sz="8" w:color="E52823"/>
            </w:tcBorders>
          </w:tcPr>
          <w:p>
            <w:pPr>
              <w:ind w:left="20"/>
              <w:spacing w:after="0"/>
              <w:rPr>
                <w:sz w:val="20"/>
                <w:szCs w:val="20"/>
                <w:color w:val="auto"/>
              </w:rPr>
            </w:pPr>
            <w:r>
              <w:rPr>
                <w:rFonts w:ascii="Arial" w:cs="Arial" w:eastAsia="Arial" w:hAnsi="Arial"/>
                <w:sz w:val="16"/>
                <w:szCs w:val="16"/>
                <w:color w:val="E52823"/>
              </w:rPr>
              <w:t>Board Recommendation and Page No.</w:t>
            </w:r>
          </w:p>
        </w:tc>
        <w:tc>
          <w:tcPr>
            <w:tcW w:w="0" w:type="dxa"/>
            <w:vAlign w:val="bottom"/>
          </w:tcPr>
          <w:p>
            <w:pPr>
              <w:spacing w:after="0"/>
              <w:rPr>
                <w:sz w:val="1"/>
                <w:szCs w:val="1"/>
                <w:color w:val="auto"/>
              </w:rPr>
            </w:pPr>
          </w:p>
        </w:tc>
      </w:tr>
      <w:tr>
        <w:trPr>
          <w:trHeight w:val="359"/>
        </w:trPr>
        <w:tc>
          <w:tcPr>
            <w:tcW w:w="3160" w:type="dxa"/>
            <w:vAlign w:val="bottom"/>
            <w:tcBorders>
              <w:left w:val="single" w:sz="8" w:color="E52823"/>
            </w:tcBorders>
            <w:gridSpan w:val="2"/>
          </w:tcPr>
          <w:p>
            <w:pPr>
              <w:ind w:left="220"/>
              <w:spacing w:after="0"/>
              <w:rPr>
                <w:sz w:val="20"/>
                <w:szCs w:val="20"/>
                <w:color w:val="auto"/>
              </w:rPr>
            </w:pPr>
            <w:r>
              <w:rPr>
                <w:rFonts w:ascii="Arial" w:cs="Arial" w:eastAsia="Arial" w:hAnsi="Arial"/>
                <w:sz w:val="16"/>
                <w:szCs w:val="16"/>
                <w:color w:val="auto"/>
              </w:rPr>
              <w:t>Ratification of the appointment of</w:t>
            </w:r>
          </w:p>
        </w:tc>
        <w:tc>
          <w:tcPr>
            <w:tcW w:w="7880" w:type="dxa"/>
            <w:vAlign w:val="bottom"/>
            <w:tcBorders>
              <w:right w:val="single" w:sz="8" w:color="E52823"/>
            </w:tcBorders>
          </w:tcPr>
          <w:p>
            <w:pPr>
              <w:ind w:left="38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color w:val="E52823"/>
              </w:rPr>
              <w:t>“FOR”</w:t>
            </w:r>
            <w:r>
              <w:rPr>
                <w:rFonts w:ascii="Arial" w:cs="Arial" w:eastAsia="Arial" w:hAnsi="Arial"/>
                <w:sz w:val="16"/>
                <w:szCs w:val="16"/>
                <w:color w:val="auto"/>
              </w:rPr>
              <w:t xml:space="preserve"> the ratification of the appointment of Deloitte SA as Garrett’s</w:t>
            </w:r>
          </w:p>
        </w:tc>
        <w:tc>
          <w:tcPr>
            <w:tcW w:w="0" w:type="dxa"/>
            <w:vAlign w:val="bottom"/>
          </w:tcPr>
          <w:p>
            <w:pPr>
              <w:spacing w:after="0"/>
              <w:rPr>
                <w:sz w:val="1"/>
                <w:szCs w:val="1"/>
                <w:color w:val="auto"/>
              </w:rPr>
            </w:pPr>
          </w:p>
        </w:tc>
      </w:tr>
      <w:tr>
        <w:trPr>
          <w:trHeight w:val="189"/>
        </w:trPr>
        <w:tc>
          <w:tcPr>
            <w:tcW w:w="3160" w:type="dxa"/>
            <w:vAlign w:val="bottom"/>
            <w:tcBorders>
              <w:left w:val="single" w:sz="8" w:color="E52823"/>
            </w:tcBorders>
            <w:gridSpan w:val="2"/>
          </w:tcPr>
          <w:p>
            <w:pPr>
              <w:ind w:left="220"/>
              <w:spacing w:after="0"/>
              <w:rPr>
                <w:sz w:val="20"/>
                <w:szCs w:val="20"/>
                <w:color w:val="auto"/>
              </w:rPr>
            </w:pPr>
            <w:r>
              <w:rPr>
                <w:rFonts w:ascii="Arial" w:cs="Arial" w:eastAsia="Arial" w:hAnsi="Arial"/>
                <w:sz w:val="16"/>
                <w:szCs w:val="16"/>
                <w:color w:val="auto"/>
              </w:rPr>
              <w:t>Deloitte SA as our independent</w:t>
            </w:r>
          </w:p>
        </w:tc>
        <w:tc>
          <w:tcPr>
            <w:tcW w:w="7880" w:type="dxa"/>
            <w:vAlign w:val="bottom"/>
            <w:tcBorders>
              <w:right w:val="single" w:sz="8" w:color="E52823"/>
            </w:tcBorders>
          </w:tcPr>
          <w:p>
            <w:pPr>
              <w:ind w:left="380"/>
              <w:spacing w:after="0"/>
              <w:rPr>
                <w:sz w:val="20"/>
                <w:szCs w:val="20"/>
                <w:color w:val="auto"/>
              </w:rPr>
            </w:pPr>
            <w:r>
              <w:rPr>
                <w:rFonts w:ascii="Arial" w:cs="Arial" w:eastAsia="Arial" w:hAnsi="Arial"/>
                <w:sz w:val="16"/>
                <w:szCs w:val="16"/>
                <w:color w:val="auto"/>
              </w:rPr>
              <w:t>independent registered public accounting firm for the fiscal year ending December 31, 2020.</w:t>
            </w:r>
          </w:p>
        </w:tc>
        <w:tc>
          <w:tcPr>
            <w:tcW w:w="0" w:type="dxa"/>
            <w:vAlign w:val="bottom"/>
          </w:tcPr>
          <w:p>
            <w:pPr>
              <w:spacing w:after="0"/>
              <w:rPr>
                <w:sz w:val="1"/>
                <w:szCs w:val="1"/>
                <w:color w:val="auto"/>
              </w:rPr>
            </w:pPr>
          </w:p>
        </w:tc>
      </w:tr>
      <w:tr>
        <w:trPr>
          <w:trHeight w:val="189"/>
        </w:trPr>
        <w:tc>
          <w:tcPr>
            <w:tcW w:w="3160" w:type="dxa"/>
            <w:vAlign w:val="bottom"/>
            <w:tcBorders>
              <w:left w:val="single" w:sz="8" w:color="E52823"/>
            </w:tcBorders>
            <w:gridSpan w:val="2"/>
          </w:tcPr>
          <w:p>
            <w:pPr>
              <w:ind w:left="220"/>
              <w:spacing w:after="0"/>
              <w:rPr>
                <w:sz w:val="20"/>
                <w:szCs w:val="20"/>
                <w:color w:val="auto"/>
              </w:rPr>
            </w:pPr>
            <w:r>
              <w:rPr>
                <w:rFonts w:ascii="Arial" w:cs="Arial" w:eastAsia="Arial" w:hAnsi="Arial"/>
                <w:sz w:val="16"/>
                <w:szCs w:val="16"/>
                <w:color w:val="auto"/>
              </w:rPr>
              <w:t>registered public accounting firm for the</w:t>
            </w:r>
          </w:p>
        </w:tc>
        <w:tc>
          <w:tcPr>
            <w:tcW w:w="7880" w:type="dxa"/>
            <w:vAlign w:val="bottom"/>
            <w:tcBorders>
              <w:right w:val="single" w:sz="8" w:color="E52823"/>
            </w:tcBorders>
            <w:vMerge w:val="restart"/>
          </w:tcPr>
          <w:p>
            <w:pPr>
              <w:ind w:left="380"/>
              <w:spacing w:after="0"/>
              <w:rPr>
                <w:sz w:val="20"/>
                <w:szCs w:val="20"/>
                <w:color w:val="auto"/>
              </w:rPr>
            </w:pPr>
            <w:r>
              <w:rPr>
                <w:rFonts w:ascii="Arial" w:cs="Arial" w:eastAsia="Arial" w:hAnsi="Arial"/>
                <w:sz w:val="16"/>
                <w:szCs w:val="16"/>
                <w:color w:val="auto"/>
              </w:rPr>
              <w:t>See “Proposal Two—Ratification of Appointment of Independent Registered Public Accounting Firm”</w:t>
            </w:r>
          </w:p>
        </w:tc>
        <w:tc>
          <w:tcPr>
            <w:tcW w:w="0" w:type="dxa"/>
            <w:vAlign w:val="bottom"/>
          </w:tcPr>
          <w:p>
            <w:pPr>
              <w:spacing w:after="0"/>
              <w:rPr>
                <w:sz w:val="1"/>
                <w:szCs w:val="1"/>
                <w:color w:val="auto"/>
              </w:rPr>
            </w:pPr>
          </w:p>
        </w:tc>
      </w:tr>
      <w:tr>
        <w:trPr>
          <w:trHeight w:val="81"/>
        </w:trPr>
        <w:tc>
          <w:tcPr>
            <w:tcW w:w="3160" w:type="dxa"/>
            <w:vAlign w:val="bottom"/>
            <w:tcBorders>
              <w:left w:val="single" w:sz="8" w:color="E52823"/>
            </w:tcBorders>
            <w:gridSpan w:val="2"/>
            <w:vMerge w:val="restart"/>
          </w:tcPr>
          <w:p>
            <w:pPr>
              <w:ind w:left="220"/>
              <w:spacing w:after="0"/>
              <w:rPr>
                <w:sz w:val="20"/>
                <w:szCs w:val="20"/>
                <w:color w:val="auto"/>
              </w:rPr>
            </w:pPr>
            <w:r>
              <w:rPr>
                <w:rFonts w:ascii="Arial" w:cs="Arial" w:eastAsia="Arial" w:hAnsi="Arial"/>
                <w:sz w:val="16"/>
                <w:szCs w:val="16"/>
                <w:color w:val="auto"/>
              </w:rPr>
              <w:t>fiscal year ending December 31, 2020</w:t>
            </w:r>
          </w:p>
        </w:tc>
        <w:tc>
          <w:tcPr>
            <w:tcW w:w="7880" w:type="dxa"/>
            <w:vAlign w:val="bottom"/>
            <w:tcBorders>
              <w:right w:val="single" w:sz="8" w:color="E5282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E52823"/>
            </w:tcBorders>
            <w:gridSpan w:val="2"/>
            <w:vMerge w:val="continue"/>
          </w:tcPr>
          <w:p>
            <w:pPr>
              <w:spacing w:after="0"/>
              <w:rPr>
                <w:sz w:val="9"/>
                <w:szCs w:val="9"/>
                <w:color w:val="auto"/>
              </w:rPr>
            </w:pPr>
          </w:p>
        </w:tc>
        <w:tc>
          <w:tcPr>
            <w:tcW w:w="7880" w:type="dxa"/>
            <w:vAlign w:val="bottom"/>
            <w:tcBorders>
              <w:right w:val="single" w:sz="8" w:color="E52823"/>
            </w:tcBorders>
            <w:vMerge w:val="restart"/>
          </w:tcPr>
          <w:p>
            <w:pPr>
              <w:ind w:left="380"/>
              <w:spacing w:after="0"/>
              <w:rPr>
                <w:sz w:val="20"/>
                <w:szCs w:val="20"/>
                <w:color w:val="auto"/>
              </w:rPr>
            </w:pPr>
            <w:r>
              <w:rPr>
                <w:rFonts w:ascii="Arial" w:cs="Arial" w:eastAsia="Arial" w:hAnsi="Arial"/>
                <w:sz w:val="16"/>
                <w:szCs w:val="16"/>
                <w:color w:val="auto"/>
              </w:rPr>
              <w:t xml:space="preserve">beginning on </w:t>
            </w:r>
            <w:r>
              <w:rPr>
                <w:rFonts w:ascii="Arial" w:cs="Arial" w:eastAsia="Arial" w:hAnsi="Arial"/>
                <w:sz w:val="16"/>
                <w:szCs w:val="16"/>
                <w:color w:val="E52823"/>
              </w:rPr>
              <w:t>page 63</w:t>
            </w:r>
            <w:r>
              <w:rPr>
                <w:rFonts w:ascii="Arial" w:cs="Arial" w:eastAsia="Arial" w:hAnsi="Arial"/>
                <w:sz w:val="16"/>
                <w:szCs w:val="16"/>
                <w:color w:val="auto"/>
              </w:rPr>
              <w:t xml:space="preserve"> of this proxy statement.</w:t>
            </w:r>
          </w:p>
        </w:tc>
        <w:tc>
          <w:tcPr>
            <w:tcW w:w="0" w:type="dxa"/>
            <w:vAlign w:val="bottom"/>
          </w:tcPr>
          <w:p>
            <w:pPr>
              <w:spacing w:after="0"/>
              <w:rPr>
                <w:sz w:val="1"/>
                <w:szCs w:val="1"/>
                <w:color w:val="auto"/>
              </w:rPr>
            </w:pPr>
          </w:p>
        </w:tc>
      </w:tr>
      <w:tr>
        <w:trPr>
          <w:trHeight w:val="84"/>
        </w:trPr>
        <w:tc>
          <w:tcPr>
            <w:tcW w:w="1900" w:type="dxa"/>
            <w:vAlign w:val="bottom"/>
            <w:tcBorders>
              <w:left w:val="single" w:sz="8" w:color="E52823"/>
              <w:bottom w:val="single" w:sz="8" w:color="E52823"/>
            </w:tcBorders>
          </w:tcPr>
          <w:p>
            <w:pPr>
              <w:spacing w:after="0"/>
              <w:rPr>
                <w:sz w:val="7"/>
                <w:szCs w:val="7"/>
                <w:color w:val="auto"/>
              </w:rPr>
            </w:pPr>
          </w:p>
        </w:tc>
        <w:tc>
          <w:tcPr>
            <w:tcW w:w="1260" w:type="dxa"/>
            <w:vAlign w:val="bottom"/>
            <w:tcBorders>
              <w:bottom w:val="single" w:sz="8" w:color="E52823"/>
            </w:tcBorders>
          </w:tcPr>
          <w:p>
            <w:pPr>
              <w:spacing w:after="0"/>
              <w:rPr>
                <w:sz w:val="7"/>
                <w:szCs w:val="7"/>
                <w:color w:val="auto"/>
              </w:rPr>
            </w:pPr>
          </w:p>
        </w:tc>
        <w:tc>
          <w:tcPr>
            <w:tcW w:w="7880" w:type="dxa"/>
            <w:vAlign w:val="bottom"/>
            <w:tcBorders>
              <w:bottom w:val="single" w:sz="8" w:color="E52823"/>
              <w:right w:val="single" w:sz="8" w:color="E5282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900" w:type="dxa"/>
            <w:vAlign w:val="bottom"/>
            <w:tcBorders>
              <w:bottom w:val="single" w:sz="8" w:color="E52823"/>
            </w:tcBorders>
          </w:tcPr>
          <w:p>
            <w:pPr>
              <w:spacing w:after="0"/>
              <w:rPr>
                <w:sz w:val="20"/>
                <w:szCs w:val="20"/>
                <w:color w:val="auto"/>
              </w:rPr>
            </w:pPr>
          </w:p>
        </w:tc>
        <w:tc>
          <w:tcPr>
            <w:tcW w:w="1260" w:type="dxa"/>
            <w:vAlign w:val="bottom"/>
            <w:tcBorders>
              <w:bottom w:val="single" w:sz="8" w:color="E52823"/>
            </w:tcBorders>
          </w:tcPr>
          <w:p>
            <w:pPr>
              <w:spacing w:after="0"/>
              <w:rPr>
                <w:sz w:val="20"/>
                <w:szCs w:val="20"/>
                <w:color w:val="auto"/>
              </w:rPr>
            </w:pPr>
          </w:p>
        </w:tc>
        <w:tc>
          <w:tcPr>
            <w:tcW w:w="7880" w:type="dxa"/>
            <w:vAlign w:val="bottom"/>
            <w:tcBorders>
              <w:bottom w:val="single" w:sz="8" w:color="E52823"/>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900" w:type="dxa"/>
            <w:vAlign w:val="bottom"/>
          </w:tcPr>
          <w:p>
            <w:pPr>
              <w:ind w:left="220"/>
              <w:spacing w:after="0"/>
              <w:rPr>
                <w:sz w:val="20"/>
                <w:szCs w:val="20"/>
                <w:color w:val="auto"/>
              </w:rPr>
            </w:pPr>
            <w:r>
              <w:rPr>
                <w:rFonts w:ascii="Arial" w:cs="Arial" w:eastAsia="Arial" w:hAnsi="Arial"/>
                <w:sz w:val="16"/>
                <w:szCs w:val="16"/>
                <w:color w:val="E52823"/>
              </w:rPr>
              <w:t>Proposal 3</w:t>
            </w:r>
          </w:p>
        </w:tc>
        <w:tc>
          <w:tcPr>
            <w:tcW w:w="1260" w:type="dxa"/>
            <w:vAlign w:val="bottom"/>
          </w:tcPr>
          <w:p>
            <w:pPr>
              <w:spacing w:after="0"/>
              <w:rPr>
                <w:sz w:val="17"/>
                <w:szCs w:val="17"/>
                <w:color w:val="auto"/>
              </w:rPr>
            </w:pPr>
          </w:p>
        </w:tc>
        <w:tc>
          <w:tcPr>
            <w:tcW w:w="7880" w:type="dxa"/>
            <w:vAlign w:val="bottom"/>
          </w:tcPr>
          <w:p>
            <w:pPr>
              <w:ind w:left="140"/>
              <w:spacing w:after="0"/>
              <w:rPr>
                <w:sz w:val="20"/>
                <w:szCs w:val="20"/>
                <w:color w:val="auto"/>
              </w:rPr>
            </w:pPr>
            <w:r>
              <w:rPr>
                <w:rFonts w:ascii="Arial" w:cs="Arial" w:eastAsia="Arial" w:hAnsi="Arial"/>
                <w:sz w:val="16"/>
                <w:szCs w:val="16"/>
                <w:color w:val="E52823"/>
              </w:rPr>
              <w:t>Board Recommendation and Page No.</w:t>
            </w:r>
          </w:p>
        </w:tc>
        <w:tc>
          <w:tcPr>
            <w:tcW w:w="0" w:type="dxa"/>
            <w:vAlign w:val="bottom"/>
          </w:tcPr>
          <w:p>
            <w:pPr>
              <w:spacing w:after="0"/>
              <w:rPr>
                <w:sz w:val="1"/>
                <w:szCs w:val="1"/>
                <w:color w:val="auto"/>
              </w:rPr>
            </w:pPr>
          </w:p>
        </w:tc>
      </w:tr>
      <w:tr>
        <w:trPr>
          <w:trHeight w:val="359"/>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Approval, on an advisory (non-binding)</w:t>
            </w:r>
          </w:p>
        </w:tc>
        <w:tc>
          <w:tcPr>
            <w:tcW w:w="7880" w:type="dxa"/>
            <w:vAlign w:val="bottom"/>
          </w:tcPr>
          <w:p>
            <w:pPr>
              <w:ind w:left="480"/>
              <w:spacing w:after="0"/>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color w:val="E52823"/>
              </w:rPr>
              <w:t>“FOR”</w:t>
            </w:r>
            <w:r>
              <w:rPr>
                <w:rFonts w:ascii="Arial" w:cs="Arial" w:eastAsia="Arial" w:hAnsi="Arial"/>
                <w:sz w:val="16"/>
                <w:szCs w:val="16"/>
                <w:color w:val="auto"/>
              </w:rPr>
              <w:t xml:space="preserve"> the approval, on an advisory (non-binding) basis, of the</w:t>
            </w:r>
          </w:p>
        </w:tc>
        <w:tc>
          <w:tcPr>
            <w:tcW w:w="0" w:type="dxa"/>
            <w:vAlign w:val="bottom"/>
          </w:tcPr>
          <w:p>
            <w:pPr>
              <w:spacing w:after="0"/>
              <w:rPr>
                <w:sz w:val="1"/>
                <w:szCs w:val="1"/>
                <w:color w:val="auto"/>
              </w:rPr>
            </w:pPr>
          </w:p>
        </w:tc>
      </w:tr>
      <w:tr>
        <w:trPr>
          <w:trHeight w:val="189"/>
        </w:trPr>
        <w:tc>
          <w:tcPr>
            <w:tcW w:w="3160" w:type="dxa"/>
            <w:vAlign w:val="bottom"/>
            <w:gridSpan w:val="2"/>
          </w:tcPr>
          <w:p>
            <w:pPr>
              <w:ind w:left="220"/>
              <w:spacing w:after="0"/>
              <w:rPr>
                <w:sz w:val="20"/>
                <w:szCs w:val="20"/>
                <w:color w:val="auto"/>
              </w:rPr>
            </w:pPr>
            <w:r>
              <w:rPr>
                <w:rFonts w:ascii="Arial" w:cs="Arial" w:eastAsia="Arial" w:hAnsi="Arial"/>
                <w:sz w:val="16"/>
                <w:szCs w:val="16"/>
                <w:color w:val="auto"/>
              </w:rPr>
              <w:t>basis, of the compensation of our named</w:t>
            </w:r>
          </w:p>
        </w:tc>
        <w:tc>
          <w:tcPr>
            <w:tcW w:w="7880" w:type="dxa"/>
            <w:vAlign w:val="bottom"/>
          </w:tcPr>
          <w:p>
            <w:pPr>
              <w:ind w:left="480"/>
              <w:spacing w:after="0"/>
              <w:rPr>
                <w:sz w:val="20"/>
                <w:szCs w:val="20"/>
                <w:color w:val="auto"/>
              </w:rPr>
            </w:pPr>
            <w:r>
              <w:rPr>
                <w:rFonts w:ascii="Arial" w:cs="Arial" w:eastAsia="Arial" w:hAnsi="Arial"/>
                <w:sz w:val="16"/>
                <w:szCs w:val="16"/>
                <w:color w:val="auto"/>
              </w:rPr>
              <w:t>compensation of our named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-2872105</wp:posOffset>
            </wp:positionV>
            <wp:extent cx="85725"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-2700655</wp:posOffset>
            </wp:positionV>
            <wp:extent cx="85725" cy="85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-2529205</wp:posOffset>
            </wp:positionV>
            <wp:extent cx="85725"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-2357755</wp:posOffset>
            </wp:positionV>
            <wp:extent cx="85725"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-2186305</wp:posOffset>
            </wp:positionV>
            <wp:extent cx="85725" cy="85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-1894840</wp:posOffset>
            </wp:positionV>
            <wp:extent cx="85725" cy="85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-1723390</wp:posOffset>
            </wp:positionV>
            <wp:extent cx="85725" cy="85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-1140460</wp:posOffset>
            </wp:positionV>
            <wp:extent cx="14541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-840740</wp:posOffset>
            </wp:positionV>
            <wp:extent cx="14541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7003415" cy="917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3415" cy="917575"/>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5"/>
        </w:trPr>
        <w:tc>
          <w:tcPr>
            <w:tcW w:w="3080" w:type="dxa"/>
            <w:vAlign w:val="bottom"/>
          </w:tcPr>
          <w:p>
            <w:pPr>
              <w:spacing w:after="0"/>
              <w:rPr>
                <w:sz w:val="20"/>
                <w:szCs w:val="20"/>
                <w:color w:val="auto"/>
              </w:rPr>
            </w:pPr>
            <w:r>
              <w:rPr>
                <w:rFonts w:ascii="Arial" w:cs="Arial" w:eastAsia="Arial" w:hAnsi="Arial"/>
                <w:sz w:val="16"/>
                <w:szCs w:val="16"/>
                <w:color w:val="auto"/>
              </w:rPr>
              <w:t>executive officers (“Say-on-Pay Vote”)</w:t>
            </w:r>
          </w:p>
        </w:tc>
        <w:tc>
          <w:tcPr>
            <w:tcW w:w="7360" w:type="dxa"/>
            <w:vAlign w:val="bottom"/>
            <w:vMerge w:val="restart"/>
          </w:tcPr>
          <w:p>
            <w:pPr>
              <w:ind w:left="340"/>
              <w:spacing w:after="0"/>
              <w:rPr>
                <w:sz w:val="20"/>
                <w:szCs w:val="20"/>
                <w:color w:val="auto"/>
              </w:rPr>
            </w:pPr>
            <w:r>
              <w:rPr>
                <w:rFonts w:ascii="Arial" w:cs="Arial" w:eastAsia="Arial" w:hAnsi="Arial"/>
                <w:sz w:val="16"/>
                <w:szCs w:val="16"/>
                <w:color w:val="auto"/>
              </w:rPr>
              <w:t>See “Proposal Three—Approval, on an Advisory (Non-Binding) Basis, of the Compensation of Our</w:t>
            </w:r>
          </w:p>
        </w:tc>
        <w:tc>
          <w:tcPr>
            <w:tcW w:w="0" w:type="dxa"/>
            <w:vAlign w:val="bottom"/>
          </w:tcPr>
          <w:p>
            <w:pPr>
              <w:spacing w:after="0"/>
              <w:rPr>
                <w:sz w:val="1"/>
                <w:szCs w:val="1"/>
                <w:color w:val="auto"/>
              </w:rPr>
            </w:pPr>
          </w:p>
        </w:tc>
      </w:tr>
      <w:tr>
        <w:trPr>
          <w:trHeight w:val="75"/>
        </w:trPr>
        <w:tc>
          <w:tcPr>
            <w:tcW w:w="3080" w:type="dxa"/>
            <w:vAlign w:val="bottom"/>
          </w:tcPr>
          <w:p>
            <w:pPr>
              <w:spacing w:after="0"/>
              <w:rPr>
                <w:sz w:val="6"/>
                <w:szCs w:val="6"/>
                <w:color w:val="auto"/>
              </w:rPr>
            </w:pPr>
          </w:p>
        </w:tc>
        <w:tc>
          <w:tcPr>
            <w:tcW w:w="7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7360" w:type="dxa"/>
            <w:vAlign w:val="bottom"/>
          </w:tcPr>
          <w:p>
            <w:pPr>
              <w:ind w:left="340"/>
              <w:spacing w:after="0"/>
              <w:rPr>
                <w:sz w:val="20"/>
                <w:szCs w:val="20"/>
                <w:color w:val="auto"/>
              </w:rPr>
            </w:pPr>
            <w:r>
              <w:rPr>
                <w:rFonts w:ascii="Arial" w:cs="Arial" w:eastAsia="Arial" w:hAnsi="Arial"/>
                <w:sz w:val="16"/>
                <w:szCs w:val="16"/>
                <w:color w:val="auto"/>
              </w:rPr>
              <w:t xml:space="preserve">Named Executive Officers (“Say-on-Pay Vote”)” beginning on </w:t>
            </w:r>
            <w:r>
              <w:rPr>
                <w:rFonts w:ascii="Arial" w:cs="Arial" w:eastAsia="Arial" w:hAnsi="Arial"/>
                <w:sz w:val="16"/>
                <w:szCs w:val="16"/>
                <w:color w:val="E52823"/>
              </w:rPr>
              <w:t>page 66</w:t>
            </w:r>
            <w:r>
              <w:rPr>
                <w:rFonts w:ascii="Arial" w:cs="Arial" w:eastAsia="Arial" w:hAnsi="Arial"/>
                <w:sz w:val="16"/>
                <w:szCs w:val="16"/>
                <w:color w:val="auto"/>
              </w:rPr>
              <w:t xml:space="preserve"> of this proxy statement and</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7360" w:type="dxa"/>
            <w:vAlign w:val="bottom"/>
          </w:tcPr>
          <w:p>
            <w:pPr>
              <w:ind w:left="340"/>
              <w:spacing w:after="0"/>
              <w:rPr>
                <w:sz w:val="20"/>
                <w:szCs w:val="20"/>
                <w:color w:val="auto"/>
              </w:rPr>
            </w:pPr>
            <w:r>
              <w:rPr>
                <w:rFonts w:ascii="Arial" w:cs="Arial" w:eastAsia="Arial" w:hAnsi="Arial"/>
                <w:sz w:val="16"/>
                <w:szCs w:val="16"/>
                <w:color w:val="auto"/>
              </w:rPr>
              <w:t xml:space="preserve">“Compensation Discussion and Analysis” beginning on </w:t>
            </w:r>
            <w:r>
              <w:rPr>
                <w:rFonts w:ascii="Arial" w:cs="Arial" w:eastAsia="Arial" w:hAnsi="Arial"/>
                <w:sz w:val="16"/>
                <w:szCs w:val="16"/>
                <w:color w:val="E52823"/>
              </w:rPr>
              <w:t>page 22</w:t>
            </w:r>
            <w:r>
              <w:rPr>
                <w:rFonts w:ascii="Arial" w:cs="Arial" w:eastAsia="Arial" w:hAnsi="Arial"/>
                <w:sz w:val="16"/>
                <w:szCs w:val="16"/>
                <w:color w:val="auto"/>
              </w:rPr>
              <w:t xml:space="preserve"> of this proxy statement.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Compensation Highlights</w:t>
      </w:r>
    </w:p>
    <w:p>
      <w:pPr>
        <w:spacing w:after="0" w:line="213"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Our overall compensation program is structured to attract, motivate and retain highly qualified executive officers by paying them competitively, consistent with our success and their contribution to that success. Our ability to excel depends on the skill, creativity, integrity and teamwork of our employees. We believe compensation should be structured to reward short-term and long-term business results and exceptional performance, and most importantly, maximize stockholder value. In that regard, we selected performance metrics and an award mix that we believed fit our starting plan. Going forward, we remain committed to maintaining disciplined compensation governance processes by periodically reassessing our incentive structures and making necessary changes in light of evolving market practices and changes in our own business goals and strategy. The broader objectives of our 2019 compensation program included:</w:t>
      </w:r>
    </w:p>
    <w:p>
      <w:pPr>
        <w:spacing w:after="0" w:line="73"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6"/>
          <w:szCs w:val="16"/>
          <w:color w:val="E52823"/>
        </w:rPr>
      </w:pPr>
      <w:r>
        <w:rPr>
          <w:rFonts w:ascii="Arial" w:cs="Arial" w:eastAsia="Arial" w:hAnsi="Arial"/>
          <w:sz w:val="16"/>
          <w:szCs w:val="16"/>
          <w:color w:val="auto"/>
        </w:rPr>
        <w:t>Pay-for-performance by tying variable compensation to achievement of Company and individual goals;</w:t>
      </w:r>
    </w:p>
    <w:p>
      <w:pPr>
        <w:spacing w:after="0" w:line="86" w:lineRule="exact"/>
        <w:rPr>
          <w:rFonts w:ascii="Arial" w:cs="Arial" w:eastAsia="Arial" w:hAnsi="Arial"/>
          <w:sz w:val="16"/>
          <w:szCs w:val="16"/>
          <w:color w:val="E52823"/>
        </w:rPr>
      </w:pPr>
    </w:p>
    <w:p>
      <w:pPr>
        <w:ind w:left="340" w:right="220" w:hanging="224"/>
        <w:spacing w:after="0" w:line="260" w:lineRule="auto"/>
        <w:tabs>
          <w:tab w:leader="none" w:pos="340" w:val="left"/>
        </w:tabs>
        <w:numPr>
          <w:ilvl w:val="0"/>
          <w:numId w:val="8"/>
        </w:numPr>
        <w:rPr>
          <w:rFonts w:ascii="Arial" w:cs="Arial" w:eastAsia="Arial" w:hAnsi="Arial"/>
          <w:sz w:val="16"/>
          <w:szCs w:val="16"/>
          <w:color w:val="E52823"/>
        </w:rPr>
      </w:pPr>
      <w:r>
        <w:rPr>
          <w:rFonts w:ascii="Arial" w:cs="Arial" w:eastAsia="Arial" w:hAnsi="Arial"/>
          <w:sz w:val="16"/>
          <w:szCs w:val="16"/>
          <w:color w:val="auto"/>
        </w:rPr>
        <w:t>Selecting performance metrics that reflect the commitments the Company made to its financial stakeholders, which include driving profitable top-line growth and using cash flows to deleverage the Company;</w:t>
      </w:r>
    </w:p>
    <w:p>
      <w:pPr>
        <w:spacing w:after="0" w:line="60" w:lineRule="exact"/>
        <w:rPr>
          <w:rFonts w:ascii="Arial" w:cs="Arial" w:eastAsia="Arial" w:hAnsi="Arial"/>
          <w:sz w:val="16"/>
          <w:szCs w:val="16"/>
          <w:color w:val="E52823"/>
        </w:rPr>
      </w:pPr>
    </w:p>
    <w:p>
      <w:pPr>
        <w:ind w:left="340" w:right="340" w:hanging="224"/>
        <w:spacing w:after="0" w:line="260" w:lineRule="auto"/>
        <w:tabs>
          <w:tab w:leader="none" w:pos="340" w:val="left"/>
        </w:tabs>
        <w:numPr>
          <w:ilvl w:val="0"/>
          <w:numId w:val="8"/>
        </w:numPr>
        <w:rPr>
          <w:rFonts w:ascii="Arial" w:cs="Arial" w:eastAsia="Arial" w:hAnsi="Arial"/>
          <w:sz w:val="16"/>
          <w:szCs w:val="16"/>
          <w:color w:val="E52823"/>
        </w:rPr>
      </w:pPr>
      <w:r>
        <w:rPr>
          <w:rFonts w:ascii="Arial" w:cs="Arial" w:eastAsia="Arial" w:hAnsi="Arial"/>
          <w:sz w:val="16"/>
          <w:szCs w:val="16"/>
          <w:color w:val="auto"/>
        </w:rPr>
        <w:t>Aligning executives’ interests with stockholders’ by having a significant portion of our executive officers’ total compensation delivered in the form of stock-based incentives; and</w:t>
      </w:r>
    </w:p>
    <w:p>
      <w:pPr>
        <w:spacing w:after="0" w:line="60" w:lineRule="exact"/>
        <w:rPr>
          <w:rFonts w:ascii="Arial" w:cs="Arial" w:eastAsia="Arial" w:hAnsi="Arial"/>
          <w:sz w:val="16"/>
          <w:szCs w:val="16"/>
          <w:color w:val="E52823"/>
        </w:rPr>
      </w:pPr>
    </w:p>
    <w:p>
      <w:pPr>
        <w:ind w:left="340" w:hanging="224"/>
        <w:spacing w:after="0"/>
        <w:tabs>
          <w:tab w:leader="none" w:pos="340" w:val="left"/>
        </w:tabs>
        <w:numPr>
          <w:ilvl w:val="0"/>
          <w:numId w:val="8"/>
        </w:numPr>
        <w:rPr>
          <w:rFonts w:ascii="Arial" w:cs="Arial" w:eastAsia="Arial" w:hAnsi="Arial"/>
          <w:sz w:val="16"/>
          <w:szCs w:val="16"/>
          <w:color w:val="E52823"/>
        </w:rPr>
      </w:pPr>
      <w:r>
        <w:rPr>
          <w:rFonts w:ascii="Arial" w:cs="Arial" w:eastAsia="Arial" w:hAnsi="Arial"/>
          <w:sz w:val="16"/>
          <w:szCs w:val="16"/>
          <w:color w:val="auto"/>
        </w:rPr>
        <w:t>Adhering to good governance principles in setting compensation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6254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iv</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2020 Executive Compensation Program</w:t>
      </w:r>
    </w:p>
    <w:p>
      <w:pPr>
        <w:spacing w:after="0" w:line="213"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In designing our executive compensation program for 2020, the Compensation Committee built on the guiding principles of our 2019 compensation program, including a pay-for-performance philosophy, strong governance practices and aligning interests with those of our stockholders. In particular, the Compensation Committee focused on designing an incentive-based compensation program that aims to align our executive officers’ compensation opportunities with achievement of the Company’s short- and long-term business goals. For further information regarding our executive compensation program structure for 2020, please see “Compensation Discussion and Analysis—Company Compensation Programs for Fiscal 2020.”</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are certain key highlights of our 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25971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25971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48"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E52823"/>
        </w:rPr>
        <w:t>Commitment to Pay-for-Performance Incentive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right="720"/>
        <w:spacing w:after="0" w:line="260" w:lineRule="auto"/>
        <w:rPr>
          <w:sz w:val="20"/>
          <w:szCs w:val="20"/>
          <w:color w:val="auto"/>
        </w:rPr>
      </w:pPr>
      <w:r>
        <w:rPr>
          <w:rFonts w:ascii="Arial" w:cs="Arial" w:eastAsia="Arial" w:hAnsi="Arial"/>
          <w:sz w:val="16"/>
          <w:szCs w:val="16"/>
          <w:color w:val="E52823"/>
        </w:rPr>
        <w:t>Strong Compensation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Investor Engagement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40" w:hanging="201"/>
        <w:spacing w:after="0"/>
        <w:rPr>
          <w:sz w:val="20"/>
          <w:szCs w:val="20"/>
          <w:color w:val="auto"/>
        </w:rPr>
      </w:pPr>
      <w:r>
        <w:rPr>
          <w:sz w:val="1"/>
          <w:szCs w:val="1"/>
          <w:color w:val="auto"/>
        </w:rPr>
        <w:drawing>
          <wp:inline distT="0" distB="0" distL="0" distR="0">
            <wp:extent cx="85725" cy="857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75% of our Short-Term Incentive Compensation Plan (“ICP”) for 2020 is based on pre-established objective Company performance criteria, with the remaining 25% determined at the Compensation Committee’s discretion based on individual performance.</w:t>
      </w:r>
    </w:p>
    <w:p>
      <w:pPr>
        <w:spacing w:after="0" w:line="75" w:lineRule="exact"/>
        <w:rPr>
          <w:sz w:val="20"/>
          <w:szCs w:val="20"/>
          <w:color w:val="auto"/>
        </w:rPr>
      </w:pPr>
    </w:p>
    <w:p>
      <w:pPr>
        <w:ind w:right="80" w:hanging="201"/>
        <w:spacing w:after="0"/>
        <w:rPr>
          <w:sz w:val="20"/>
          <w:szCs w:val="20"/>
          <w:color w:val="auto"/>
        </w:rPr>
      </w:pPr>
      <w:r>
        <w:rPr>
          <w:sz w:val="1"/>
          <w:szCs w:val="1"/>
          <w:color w:val="auto"/>
        </w:rPr>
        <w:drawing>
          <wp:inline distT="0" distB="0" distL="0" distR="0">
            <wp:extent cx="85725" cy="857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In addition, 60% of the equity awards granted to named executive officers under our Long Term Incentive Plan in 2020 consist of performance stock units.</w:t>
      </w:r>
    </w:p>
    <w:p>
      <w:pPr>
        <w:spacing w:after="0" w:line="75" w:lineRule="exact"/>
        <w:rPr>
          <w:sz w:val="20"/>
          <w:szCs w:val="20"/>
          <w:color w:val="auto"/>
        </w:rPr>
      </w:pPr>
    </w:p>
    <w:p>
      <w:pPr>
        <w:ind w:hanging="201"/>
        <w:spacing w:after="0"/>
        <w:rPr>
          <w:sz w:val="20"/>
          <w:szCs w:val="20"/>
          <w:color w:val="auto"/>
        </w:rPr>
      </w:pPr>
      <w:r>
        <w:rPr>
          <w:sz w:val="1"/>
          <w:szCs w:val="1"/>
          <w:color w:val="auto"/>
        </w:rPr>
        <w:drawing>
          <wp:inline distT="0" distB="0" distL="0" distR="0">
            <wp:extent cx="85725" cy="857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Company performance criteria for the 2020 ICP include Adjusted EBITDA margin and Adjusted Free Cash Flow Conversion goals and performance criteria for the performance stock unit awards include Relative Organic Revenue Growth, Adjusted Free Cash Flow Conversion and relative and absolute Total Shareholder Return goals, reflecting our strategy of driving profitable top-line growth and using our strong cash flow to deleverage the Company.</w:t>
      </w:r>
    </w:p>
    <w:p>
      <w:pPr>
        <w:spacing w:after="0" w:line="75" w:lineRule="exact"/>
        <w:rPr>
          <w:sz w:val="20"/>
          <w:szCs w:val="20"/>
          <w:color w:val="auto"/>
        </w:rPr>
      </w:pPr>
    </w:p>
    <w:p>
      <w:pPr>
        <w:ind w:right="80" w:hanging="201"/>
        <w:spacing w:after="0"/>
        <w:rPr>
          <w:sz w:val="20"/>
          <w:szCs w:val="20"/>
          <w:color w:val="auto"/>
        </w:rPr>
      </w:pPr>
      <w:r>
        <w:rPr>
          <w:sz w:val="1"/>
          <w:szCs w:val="1"/>
          <w:color w:val="auto"/>
        </w:rPr>
        <w:drawing>
          <wp:inline distT="0" distB="0" distL="0" distR="0">
            <wp:extent cx="85725" cy="857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Performance goals were set at challenging levels that will require the Company to achieve significant growth and performance.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targets span a three-year performance period to support long-term value creation.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Multi-year vesting of equity awards granted to our executive officers.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ownership guidelines for executives and directors, with 5x base salary for the 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Double-trigger change-in-control provisions and no excise tax gross-ups.</w:t>
      </w:r>
    </w:p>
    <w:p>
      <w:pPr>
        <w:spacing w:after="0" w:line="86" w:lineRule="exact"/>
        <w:rPr>
          <w:sz w:val="20"/>
          <w:szCs w:val="20"/>
          <w:color w:val="auto"/>
        </w:rPr>
      </w:pPr>
    </w:p>
    <w:p>
      <w:pPr>
        <w:ind w:right="600" w:hanging="201"/>
        <w:spacing w:after="0"/>
        <w:rPr>
          <w:sz w:val="20"/>
          <w:szCs w:val="20"/>
          <w:color w:val="auto"/>
        </w:rPr>
      </w:pPr>
      <w:r>
        <w:rPr>
          <w:sz w:val="1"/>
          <w:szCs w:val="1"/>
          <w:color w:val="auto"/>
        </w:rPr>
        <w:drawing>
          <wp:inline distT="0" distB="0" distL="0" distR="0">
            <wp:extent cx="85725" cy="857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Anti-hedging and anti-pledging policy that prohibits executives and directors from pledging or hedging our securities.</w:t>
      </w:r>
    </w:p>
    <w:p>
      <w:pPr>
        <w:spacing w:after="0" w:line="750" w:lineRule="exact"/>
        <w:rPr>
          <w:sz w:val="20"/>
          <w:szCs w:val="20"/>
          <w:color w:val="auto"/>
        </w:rPr>
      </w:pPr>
    </w:p>
    <w:p>
      <w:pPr>
        <w:sectPr>
          <w:pgSz w:w="11900" w:h="16838" w:orient="portrait"/>
          <w:cols w:equalWidth="0" w:num="2">
            <w:col w:w="2480" w:space="480"/>
            <w:col w:w="8180"/>
          </w:cols>
          <w:pgMar w:left="320" w:top="459" w:right="439" w:bottom="1440" w:gutter="0" w:footer="0" w:header="0"/>
          <w:type w:val="continuous"/>
        </w:sectPr>
      </w:pPr>
    </w:p>
    <w:p>
      <w:pPr>
        <w:ind w:left="120" w:right="340"/>
        <w:spacing w:after="0" w:line="253" w:lineRule="auto"/>
        <w:rPr>
          <w:sz w:val="20"/>
          <w:szCs w:val="20"/>
          <w:color w:val="auto"/>
        </w:rPr>
      </w:pPr>
      <w:r>
        <w:rPr>
          <w:rFonts w:ascii="Arial" w:cs="Arial" w:eastAsia="Arial" w:hAnsi="Arial"/>
          <w:sz w:val="16"/>
          <w:szCs w:val="16"/>
          <w:color w:val="auto"/>
        </w:rPr>
        <w:t>Garrett Motion engages with investors and analysts through a regular cadence of public quarterly conference calls, financial conferences, one-on-one meetings, teleconferences, and non-deal roadshows. We typically discuss our financial position, corporate governance, strategic priorities, business outlook, and other topics of prime importance to investors.</w:t>
      </w:r>
    </w:p>
    <w:p>
      <w:pPr>
        <w:spacing w:after="0" w:line="66" w:lineRule="exact"/>
        <w:rPr>
          <w:sz w:val="20"/>
          <w:szCs w:val="20"/>
          <w:color w:val="auto"/>
        </w:rPr>
      </w:pPr>
    </w:p>
    <w:p>
      <w:pPr>
        <w:ind w:left="340" w:right="340" w:hanging="224"/>
        <w:spacing w:after="0" w:line="253" w:lineRule="auto"/>
        <w:tabs>
          <w:tab w:leader="none" w:pos="340" w:val="left"/>
        </w:tabs>
        <w:numPr>
          <w:ilvl w:val="0"/>
          <w:numId w:val="9"/>
        </w:numPr>
        <w:rPr>
          <w:rFonts w:ascii="Arial" w:cs="Arial" w:eastAsia="Arial" w:hAnsi="Arial"/>
          <w:sz w:val="16"/>
          <w:szCs w:val="16"/>
          <w:color w:val="E52823"/>
        </w:rPr>
      </w:pPr>
      <w:r>
        <w:rPr>
          <w:rFonts w:ascii="Arial" w:cs="Arial" w:eastAsia="Arial" w:hAnsi="Arial"/>
          <w:sz w:val="16"/>
          <w:szCs w:val="16"/>
          <w:color w:val="auto"/>
        </w:rPr>
        <w:t>In 2019, senior management met with stockholders totaling approximately 40% of Garrett’s outstanding shares as well as numerous prospective investors as a direct result of our robust investor targeting and outreach program designed to attract long-term investors that match our company’s profile.</w:t>
      </w:r>
    </w:p>
    <w:p>
      <w:pPr>
        <w:spacing w:after="0" w:line="66" w:lineRule="exact"/>
        <w:rPr>
          <w:rFonts w:ascii="Arial" w:cs="Arial" w:eastAsia="Arial" w:hAnsi="Arial"/>
          <w:sz w:val="16"/>
          <w:szCs w:val="16"/>
          <w:color w:val="E52823"/>
        </w:rPr>
      </w:pPr>
    </w:p>
    <w:p>
      <w:pPr>
        <w:ind w:left="340" w:right="40" w:hanging="224"/>
        <w:spacing w:after="0" w:line="251" w:lineRule="auto"/>
        <w:tabs>
          <w:tab w:leader="none" w:pos="340" w:val="left"/>
        </w:tabs>
        <w:numPr>
          <w:ilvl w:val="0"/>
          <w:numId w:val="9"/>
        </w:numPr>
        <w:rPr>
          <w:rFonts w:ascii="Arial" w:cs="Arial" w:eastAsia="Arial" w:hAnsi="Arial"/>
          <w:sz w:val="16"/>
          <w:szCs w:val="16"/>
          <w:color w:val="E52823"/>
        </w:rPr>
      </w:pPr>
      <w:r>
        <w:rPr>
          <w:rFonts w:ascii="Arial" w:cs="Arial" w:eastAsia="Arial" w:hAnsi="Arial"/>
          <w:sz w:val="16"/>
          <w:szCs w:val="16"/>
          <w:color w:val="auto"/>
        </w:rPr>
        <w:t>Independent Board members also launched a stockholder outreach program in 2019 led by the Chairman of our Board and the Chairs of the Compensation and Nominating &amp; Corporate Governance Committees. This group conducted outreach with stockholders representing approximately 22% of our outstanding shares. We provide a summary of the feedback we received from this outreach and the related changes made to our executive compensation program on page 24.</w:t>
      </w:r>
    </w:p>
    <w:p>
      <w:pPr>
        <w:spacing w:after="0" w:line="67" w:lineRule="exact"/>
        <w:rPr>
          <w:rFonts w:ascii="Arial" w:cs="Arial" w:eastAsia="Arial" w:hAnsi="Arial"/>
          <w:sz w:val="16"/>
          <w:szCs w:val="16"/>
          <w:color w:val="E52823"/>
        </w:rPr>
      </w:pPr>
    </w:p>
    <w:p>
      <w:pPr>
        <w:ind w:left="340" w:right="180" w:hanging="224"/>
        <w:spacing w:after="0" w:line="260" w:lineRule="auto"/>
        <w:tabs>
          <w:tab w:leader="none" w:pos="340" w:val="left"/>
        </w:tabs>
        <w:numPr>
          <w:ilvl w:val="0"/>
          <w:numId w:val="9"/>
        </w:numPr>
        <w:rPr>
          <w:rFonts w:ascii="Arial" w:cs="Arial" w:eastAsia="Arial" w:hAnsi="Arial"/>
          <w:sz w:val="16"/>
          <w:szCs w:val="16"/>
          <w:color w:val="E52823"/>
        </w:rPr>
      </w:pPr>
      <w:r>
        <w:rPr>
          <w:rFonts w:ascii="Arial" w:cs="Arial" w:eastAsia="Arial" w:hAnsi="Arial"/>
          <w:sz w:val="16"/>
          <w:szCs w:val="16"/>
          <w:color w:val="auto"/>
        </w:rPr>
        <w:t>We are committed to maintaining an active dialogue with investors to better understand their perspectives and consider their ideas as we continue to evolve our corporate governance and business practices, and public disclosures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6254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v</w:t>
      </w:r>
    </w:p>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977265</wp:posOffset>
            </wp:positionV>
            <wp:extent cx="1337310" cy="445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373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GARRETT MOTION INC.</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La Pièce 16</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Rolle, Switzerland 1180</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PROXY STATEMENT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For the 2020 Annual Meeting of Stockholders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To Be Held on Thursday, May 28, 2020</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GENERAL INFORMATION ABOUT VOTING AND THE ANNUAL MEETING</w:t>
      </w:r>
    </w:p>
    <w:p>
      <w:pPr>
        <w:spacing w:after="0" w:line="153"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This proxy statement is being furnished in connection with the solicitation of proxies by the board of directors (the “Board”) of Garrett Motion Inc. (the “Company”, “Garrett”, “we” or “us”), for use at the 2020 Annual Meeting of Stockholders (the “Annual Meeting”) to be held on Thursday, May 28, 2020, at 10:00 a.m. Eastern Time (4:00 p.m. Central Europe Time), and at any postponement, continuation or adjournment thereof. The Annual Meeting will be a completely virtual meeting, which will be conducted via live webcast. You will be able to attend the Annual Meeting online and submit your questions during the meeting by visiting www.virtualshareholdermeeting.com/GTX2020 and entering your 16-digit control number included in your Notice of Internet Availability of Proxy Materials (“Internet Notice”), proxy card, or on the instructions that accompanied your proxy materials.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proxy statement, proxy card and our 2019 Annual Report will be released on or about April 15, 2020.</w:t>
      </w:r>
    </w:p>
    <w:p>
      <w:pPr>
        <w:spacing w:after="0" w:line="161"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Meeting of Stockholders To Be Held on May 28, 2020:</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This proxy statement and our 2019 Annual Report are available for viewing, printing and downloading at </w:t>
      </w:r>
      <w:r>
        <w:rPr>
          <w:rFonts w:ascii="Arial" w:cs="Arial" w:eastAsia="Arial" w:hAnsi="Arial"/>
          <w:sz w:val="16"/>
          <w:szCs w:val="16"/>
          <w:b w:val="1"/>
          <w:bCs w:val="1"/>
          <w:color w:val="E52823"/>
        </w:rPr>
        <w:t>www.proxyvote.com.</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Directions to the Annual Meeting are available on the Company’s website at </w:t>
      </w:r>
      <w:r>
        <w:rPr>
          <w:rFonts w:ascii="Arial" w:cs="Arial" w:eastAsia="Arial" w:hAnsi="Arial"/>
          <w:sz w:val="16"/>
          <w:szCs w:val="16"/>
          <w:color w:val="E52823"/>
        </w:rPr>
        <w:t>www.investors.garrettmotion.com/events-and-presentations</w:t>
      </w:r>
      <w:r>
        <w:rPr>
          <w:rFonts w:ascii="Arial" w:cs="Arial" w:eastAsia="Arial" w:hAnsi="Arial"/>
          <w:sz w:val="16"/>
          <w:szCs w:val="16"/>
          <w:color w:val="auto"/>
        </w:rPr>
        <w:t>.</w:t>
      </w:r>
    </w:p>
    <w:p>
      <w:pPr>
        <w:spacing w:after="0" w:line="181"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Garrett became an independent publicly-traded company through a pro rata distribution by Honeywell International Inc. (“Honeywell”) of 100% of the then-outstanding shares of Garrett to Honeywell’s stockholders (the “Spin-Off”). Each Honeywell stockholder of record received one share of Garrett common stock for every 10 shares of Honeywell common stock held on the record date. Approximately 74 million shares of Garrett common stock were distributed on October 1, 2018 to Honeywell stockholders. In connection with the Spin-Off, Garrett´s common stock began trading “regular-way” under the ticker symbol “GTX” on the New York Stock Exchange (the “NYSE”) on October 1, 2018.</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Garrett’s Voting Securities</w:t>
      </w:r>
    </w:p>
    <w:p>
      <w:pPr>
        <w:spacing w:after="0" w:line="213"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Holders of record of our common stock at the close of business on Friday, April 3, 2020 (the “Record Date”) will be entitled to notice of, and such stockholders and holders of a valid proxy will be entitled to vote at, the Annual Meeting or any postponement, continuation or adjournment of the Annual Meeting. On that date, 75,571,651 shares of our common stock were issued and outstanding and entitled to vote at the Annual Meeting. Each share of common stock entitles the holder thereof to one vote with respect to all matters submitted to stockholders at the Annual Meeting. We have no other securities entitled to vote at the Annual Meeting.</w:t>
      </w:r>
    </w:p>
    <w:p>
      <w:pPr>
        <w:spacing w:after="0" w:line="16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Notice of Internet Availability of Proxy Materials. As permitted by the Securities and Exchange Commission (the “SEC”) rules, Garrett is making this proxy statement and its 2019 Annual Report available to its stockholders electronically via the Internet. On or about April 15, 2020, we mailed to our stockholders a Notice of Internet Availability of Proxy Materials (the “Internet Notice”) containing instructions on how to access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6254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and our 2019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2019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176"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Printed Copies of Our Proxy Materials. If you received printed copies of our proxy materials, then instructions regarding how you can vote are contained on the proxy card included in those materials.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Voting Your Shares</w:t>
      </w:r>
    </w:p>
    <w:p>
      <w:pPr>
        <w:spacing w:after="0" w:line="200"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If you are the record holder of your shares, you may vote in one of four ways. You may vote by submitting your proxy over the Internet, by telephone, or by mail or you may vote electronically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23114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1140" cy="197485"/>
                    </a:xfrm>
                    <a:prstGeom prst="rect">
                      <a:avLst/>
                    </a:prstGeom>
                    <a:noFill/>
                  </pic:spPr>
                </pic:pic>
              </a:graphicData>
            </a:graphic>
          </wp:anchor>
        </w:drawing>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6"/>
          <w:szCs w:val="16"/>
          <w:color w:val="E52823"/>
        </w:rPr>
        <w:t xml:space="preserve">By Internet                </w:t>
      </w:r>
      <w:r>
        <w:rPr>
          <w:sz w:val="1"/>
          <w:szCs w:val="1"/>
          <w:color w:val="auto"/>
        </w:rPr>
        <w:drawing>
          <wp:inline distT="0" distB="0" distL="0" distR="0">
            <wp:extent cx="248285" cy="1714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8285" cy="171450"/>
                    </a:xfrm>
                    <a:prstGeom prst="rect">
                      <a:avLst/>
                    </a:prstGeom>
                    <a:noFill/>
                    <a:ln>
                      <a:noFill/>
                    </a:ln>
                  </pic:spPr>
                </pic:pic>
              </a:graphicData>
            </a:graphic>
          </wp:inline>
        </w:drawing>
      </w:r>
      <w:r>
        <w:rPr>
          <w:rFonts w:ascii="Arial" w:cs="Arial" w:eastAsia="Arial" w:hAnsi="Arial"/>
          <w:sz w:val="16"/>
          <w:szCs w:val="16"/>
          <w:color w:val="E52823"/>
        </w:rPr>
        <w:t xml:space="preserve">  By Telephone               </w:t>
      </w:r>
      <w:r>
        <w:rPr>
          <w:sz w:val="1"/>
          <w:szCs w:val="1"/>
          <w:color w:val="auto"/>
        </w:rPr>
        <w:drawing>
          <wp:inline distT="0" distB="0" distL="0" distR="0">
            <wp:extent cx="240030" cy="1460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0030" cy="146050"/>
                    </a:xfrm>
                    <a:prstGeom prst="rect">
                      <a:avLst/>
                    </a:prstGeom>
                    <a:noFill/>
                    <a:ln>
                      <a:noFill/>
                    </a:ln>
                  </pic:spPr>
                </pic:pic>
              </a:graphicData>
            </a:graphic>
          </wp:inline>
        </w:drawing>
      </w:r>
      <w:r>
        <w:rPr>
          <w:rFonts w:ascii="Arial" w:cs="Arial" w:eastAsia="Arial" w:hAnsi="Arial"/>
          <w:sz w:val="16"/>
          <w:szCs w:val="16"/>
          <w:color w:val="E52823"/>
        </w:rPr>
        <w:t xml:space="preserve">  By Mail                     </w:t>
      </w:r>
      <w:r>
        <w:rPr>
          <w:sz w:val="1"/>
          <w:szCs w:val="1"/>
          <w:color w:val="auto"/>
        </w:rPr>
        <w:drawing>
          <wp:inline distT="0" distB="0" distL="0" distR="0">
            <wp:extent cx="162560" cy="1631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2560" cy="163195"/>
                    </a:xfrm>
                    <a:prstGeom prst="rect">
                      <a:avLst/>
                    </a:prstGeom>
                    <a:noFill/>
                    <a:ln>
                      <a:noFill/>
                    </a:ln>
                  </pic:spPr>
                </pic:pic>
              </a:graphicData>
            </a:graphic>
          </wp:inline>
        </w:drawing>
      </w:r>
      <w:r>
        <w:rPr>
          <w:rFonts w:ascii="Arial" w:cs="Arial" w:eastAsia="Arial" w:hAnsi="Arial"/>
          <w:sz w:val="16"/>
          <w:szCs w:val="16"/>
          <w:color w:val="E52823"/>
        </w:rPr>
        <w:t xml:space="preserve">  During the Meeting</w:t>
      </w:r>
    </w:p>
    <w:p>
      <w:pPr>
        <w:sectPr>
          <w:pgSz w:w="11900" w:h="16838" w:orient="portrait"/>
          <w:cols w:equalWidth="0" w:num="1">
            <w:col w:w="11120"/>
          </w:cols>
          <w:pgMar w:left="320" w:top="459" w:right="459" w:bottom="1440" w:gutter="0" w:footer="0" w:header="0"/>
        </w:sectPr>
      </w:pPr>
    </w:p>
    <w:p>
      <w:pPr>
        <w:spacing w:after="0" w:line="26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 xml:space="preserve">If you have Internet access, you may vote your shares from any location in the world at </w:t>
      </w:r>
      <w:r>
        <w:rPr>
          <w:rFonts w:ascii="Arial" w:cs="Arial" w:eastAsia="Arial" w:hAnsi="Arial"/>
          <w:sz w:val="16"/>
          <w:szCs w:val="16"/>
          <w:color w:val="E52823"/>
        </w:rPr>
        <w:t xml:space="preserve">www.proxyvote.com </w:t>
      </w:r>
      <w:r>
        <w:rPr>
          <w:rFonts w:ascii="Arial" w:cs="Arial" w:eastAsia="Arial" w:hAnsi="Arial"/>
          <w:sz w:val="16"/>
          <w:szCs w:val="16"/>
          <w:color w:val="000000"/>
        </w:rPr>
        <w:t>by following</w:t>
      </w:r>
      <w:r>
        <w:rPr>
          <w:rFonts w:ascii="Arial" w:cs="Arial" w:eastAsia="Arial" w:hAnsi="Arial"/>
          <w:sz w:val="16"/>
          <w:szCs w:val="16"/>
          <w:color w:val="E52823"/>
        </w:rPr>
        <w:t xml:space="preserve"> </w:t>
      </w:r>
      <w:r>
        <w:rPr>
          <w:rFonts w:ascii="Arial" w:cs="Arial" w:eastAsia="Arial" w:hAnsi="Arial"/>
          <w:sz w:val="16"/>
          <w:szCs w:val="16"/>
          <w:color w:val="000000"/>
        </w:rPr>
        <w:t>the instructions on the Internet Notice or proxy card.</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You may vote your shares by calling 1-800-690-6903 and following the instructions on the proxy card.</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received a proxy card by mail, you may vote by completing, dating and signing the proxy card.</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attend the online Annual Meeting, you may vote electronically on the Annual Meeting page.</w:t>
      </w:r>
    </w:p>
    <w:p>
      <w:pPr>
        <w:spacing w:after="0" w:line="727" w:lineRule="exact"/>
        <w:rPr>
          <w:sz w:val="20"/>
          <w:szCs w:val="20"/>
          <w:color w:val="auto"/>
        </w:rPr>
      </w:pPr>
    </w:p>
    <w:p>
      <w:pPr>
        <w:sectPr>
          <w:pgSz w:w="11900" w:h="16838" w:orient="portrait"/>
          <w:cols w:equalWidth="0" w:num="4">
            <w:col w:w="2440" w:space="340"/>
            <w:col w:w="2580" w:space="280"/>
            <w:col w:w="2600" w:space="260"/>
            <w:col w:w="2620"/>
          </w:cols>
          <w:pgMar w:left="320" w:top="459" w:right="459" w:bottom="1440" w:gutter="0" w:footer="0" w:header="0"/>
          <w:type w:val="continuous"/>
        </w:sectPr>
      </w:pPr>
    </w:p>
    <w:p>
      <w:pPr>
        <w:ind w:left="120" w:right="220"/>
        <w:spacing w:after="0" w:line="253" w:lineRule="auto"/>
        <w:rPr>
          <w:sz w:val="20"/>
          <w:szCs w:val="20"/>
          <w:color w:val="auto"/>
        </w:rPr>
      </w:pPr>
      <w:r>
        <w:rPr>
          <w:rFonts w:ascii="Arial" w:cs="Arial" w:eastAsia="Arial" w:hAnsi="Arial"/>
          <w:sz w:val="16"/>
          <w:szCs w:val="16"/>
          <w:color w:val="auto"/>
        </w:rPr>
        <w:t>Internet and telephone voting facilities for stockholders of record will be available 24 hours a day and will close at 11:59 p.m. Eastern Time, on May 27, 2020. Note that, in light of possible disruptions in mail service related to the COVID-19 outbreak, we encourage stockholders to submit their proxy via telephone or online.</w:t>
      </w:r>
    </w:p>
    <w:p>
      <w:pPr>
        <w:spacing w:after="0" w:line="17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If the shares you own are held in your bank or brokerage firm account in a fiduciary capacity (typically referred to as being held in “street name”), you can vote by following the directions provided to you by your bank or brokerage firm. If the shares you own are held in street name and you wish to vote electronically at the Annual Meeting, you should contact your bank or broker to obtain your 16-digit control number or otherwise vote through the bank or broker.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Attending the Annual Meeting Online</w:t>
      </w:r>
    </w:p>
    <w:p>
      <w:pPr>
        <w:spacing w:after="0" w:line="200" w:lineRule="exact"/>
        <w:rPr>
          <w:sz w:val="20"/>
          <w:szCs w:val="20"/>
          <w:color w:val="auto"/>
        </w:rPr>
      </w:pPr>
    </w:p>
    <w:p>
      <w:pPr>
        <w:ind w:left="120" w:right="80"/>
        <w:spacing w:after="0" w:line="247" w:lineRule="auto"/>
        <w:rPr>
          <w:sz w:val="20"/>
          <w:szCs w:val="20"/>
          <w:color w:val="auto"/>
        </w:rPr>
      </w:pPr>
      <w:r>
        <w:rPr>
          <w:rFonts w:ascii="Arial" w:cs="Arial" w:eastAsia="Arial" w:hAnsi="Arial"/>
          <w:sz w:val="16"/>
          <w:szCs w:val="16"/>
          <w:color w:val="auto"/>
        </w:rPr>
        <w:t>As part of our effort to maintain a safe and healthy environment for our directors, members of management and stockholders who wish to attend the Annual Meeting, in light of the COVID-19 outbreak, we have decided to hold the Annual Meeting entirely online this year. A virtual meeting also enables increased stockholder attendance and participation because stockholders can participate from any location around the world. You may attend the Annual Meeting only if you are a Garrett stockholder who is entitled to vote at the Annual Meeting, or if you hold a valid proxy for the Annual Meeting. You may attend and participate in the Annual Meeting by visiting the following website: www.virtualshareholdermeeting.com/GTX2020. To attend and participate in the Annual Meeting, you will need the 16-digit control number included in your Internet Notice, proxy card, or on the instructions that accompanied your proxy materials. If your shares are held in “street name,” as described below, you should contact your broker or other nominee to obtain your 16-digit control number or otherwise vote through the broker or other nominee. You will need to obtain your own Internet access if you choose to attend the Annual Meeting online and/or vote over the Internet. If you lose your 16-digit control number, you may join the Annual Meeting as a “Guest” but you will not be able to vote, ask questions or access the list of stockholders as of the Record Date. The meeting webcast will begin promptly at 10:00 a.m. Eastern Time (4:00 p.m. Central Europe Time). We encourage you to access the meeting prior to the start time. Online check-in will begin at 9:45 a.m. Eastern Time (3:45 p.m. Central Europe Time) and you should allow ample time for check-in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244475</wp:posOffset>
            </wp:positionV>
            <wp:extent cx="6995160" cy="626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w:t>
      </w:r>
    </w:p>
    <w:p>
      <w:pPr>
        <w:sectPr>
          <w:pgSz w:w="11900" w:h="16838" w:orient="portrait"/>
          <w:cols w:equalWidth="0" w:num="1">
            <w:col w:w="11120"/>
          </w:cols>
          <w:pgMar w:left="32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Technical Difficulties</w:t>
      </w:r>
    </w:p>
    <w:p>
      <w:pPr>
        <w:spacing w:after="0" w:line="213"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We will have technicians ready to assist you with any technical difficulties you may have accessing the virtual meeting website, and the information for assistance will be located on the Annual Meeting login page.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Questions and Answers during the Annual Meeting</w:t>
      </w:r>
    </w:p>
    <w:p>
      <w:pPr>
        <w:spacing w:after="0" w:line="200"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auto"/>
        </w:rPr>
        <w:t>As part of the Annual Meeting, we will hold a live Q&amp;A session, during which we intend to answer questions submitted during the meeting that are pertinent to the Company and the meeting matters, as time permits.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Recommendations of the Board</w:t>
      </w:r>
    </w:p>
    <w:p>
      <w:pPr>
        <w:spacing w:after="0" w:line="200"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At the Annual Meeting, our stockholders will be asked to vote on the proposals set forth below. The Board recommends that you vote your shares as indicated below. If you return a properly completed proxy card, or vote your shares by telephone or over the Internet, your shares of common stock will be voted on your behalf as you direct. If not otherwise specified, the shares of common stock represented by the proxies will be voted in accordance with the Board’s recommendations as follows:</w:t>
      </w:r>
    </w:p>
    <w:p>
      <w:pPr>
        <w:spacing w:after="0" w:line="47" w:lineRule="exact"/>
        <w:rPr>
          <w:sz w:val="20"/>
          <w:szCs w:val="20"/>
          <w:color w:val="auto"/>
        </w:rPr>
      </w:pPr>
    </w:p>
    <w:p>
      <w:pPr>
        <w:ind w:left="460" w:right="2480"/>
        <w:spacing w:after="0" w:line="396" w:lineRule="auto"/>
        <w:rPr>
          <w:sz w:val="20"/>
          <w:szCs w:val="20"/>
          <w:color w:val="auto"/>
        </w:rPr>
      </w:pPr>
      <w:r>
        <w:rPr>
          <w:rFonts w:ascii="Arial" w:cs="Arial" w:eastAsia="Arial" w:hAnsi="Arial"/>
          <w:sz w:val="16"/>
          <w:szCs w:val="16"/>
          <w:b w:val="1"/>
          <w:bCs w:val="1"/>
          <w:color w:val="E52823"/>
        </w:rPr>
        <w:t>“FOR</w:t>
      </w:r>
      <w:r>
        <w:rPr>
          <w:rFonts w:ascii="Arial" w:cs="Arial" w:eastAsia="Arial" w:hAnsi="Arial"/>
          <w:sz w:val="16"/>
          <w:szCs w:val="16"/>
          <w:color w:val="E52823"/>
        </w:rPr>
        <w:t>”</w:t>
      </w:r>
      <w:r>
        <w:rPr>
          <w:rFonts w:ascii="Arial" w:cs="Arial" w:eastAsia="Arial" w:hAnsi="Arial"/>
          <w:sz w:val="16"/>
          <w:szCs w:val="16"/>
          <w:b w:val="1"/>
          <w:bCs w:val="1"/>
          <w:color w:val="E52823"/>
        </w:rPr>
        <w:t xml:space="preserve"> </w:t>
      </w:r>
      <w:r>
        <w:rPr>
          <w:rFonts w:ascii="Arial" w:cs="Arial" w:eastAsia="Arial" w:hAnsi="Arial"/>
          <w:sz w:val="16"/>
          <w:szCs w:val="16"/>
          <w:color w:val="000000"/>
        </w:rPr>
        <w:t>the election of Courtney M. Enghauser, Carsten J. Reinhardt and Jérôme Stoll as Class II directors;</w:t>
      </w:r>
      <w:r>
        <w:rPr>
          <w:rFonts w:ascii="Arial" w:cs="Arial" w:eastAsia="Arial" w:hAnsi="Arial"/>
          <w:sz w:val="16"/>
          <w:szCs w:val="16"/>
          <w:b w:val="1"/>
          <w:bCs w:val="1"/>
          <w:color w:val="E52823"/>
        </w:rPr>
        <w:t xml:space="preserve"> “FOR</w:t>
      </w:r>
      <w:r>
        <w:rPr>
          <w:rFonts w:ascii="Arial" w:cs="Arial" w:eastAsia="Arial" w:hAnsi="Arial"/>
          <w:sz w:val="16"/>
          <w:szCs w:val="16"/>
          <w:color w:val="E52823"/>
        </w:rPr>
        <w:t>”</w:t>
      </w:r>
      <w:r>
        <w:rPr>
          <w:rFonts w:ascii="Arial" w:cs="Arial" w:eastAsia="Arial" w:hAnsi="Arial"/>
          <w:sz w:val="16"/>
          <w:szCs w:val="16"/>
          <w:b w:val="1"/>
          <w:bCs w:val="1"/>
          <w:color w:val="E52823"/>
        </w:rPr>
        <w:t xml:space="preserve"> </w:t>
      </w:r>
      <w:r>
        <w:rPr>
          <w:rFonts w:ascii="Arial" w:cs="Arial" w:eastAsia="Arial" w:hAnsi="Arial"/>
          <w:sz w:val="16"/>
          <w:szCs w:val="16"/>
          <w:color w:val="000000"/>
        </w:rPr>
        <w:t>the ratification of the appointment of Deloitte SA as our independent registered public accounting firm;</w:t>
      </w:r>
      <w:r>
        <w:rPr>
          <w:rFonts w:ascii="Arial" w:cs="Arial" w:eastAsia="Arial" w:hAnsi="Arial"/>
          <w:sz w:val="16"/>
          <w:szCs w:val="16"/>
          <w:b w:val="1"/>
          <w:bCs w:val="1"/>
          <w:color w:val="E52823"/>
        </w:rPr>
        <w:t xml:space="preserve"> “FOR</w:t>
      </w:r>
      <w:r>
        <w:rPr>
          <w:rFonts w:ascii="Arial" w:cs="Arial" w:eastAsia="Arial" w:hAnsi="Arial"/>
          <w:sz w:val="16"/>
          <w:szCs w:val="16"/>
          <w:color w:val="E52823"/>
        </w:rPr>
        <w:t>”</w:t>
      </w:r>
      <w:r>
        <w:rPr>
          <w:rFonts w:ascii="Arial" w:cs="Arial" w:eastAsia="Arial" w:hAnsi="Arial"/>
          <w:sz w:val="16"/>
          <w:szCs w:val="16"/>
          <w:b w:val="1"/>
          <w:bCs w:val="1"/>
          <w:color w:val="E52823"/>
        </w:rPr>
        <w:t xml:space="preserve"> </w:t>
      </w:r>
      <w:r>
        <w:rPr>
          <w:rFonts w:ascii="Arial" w:cs="Arial" w:eastAsia="Arial" w:hAnsi="Arial"/>
          <w:sz w:val="16"/>
          <w:szCs w:val="16"/>
          <w:color w:val="000000"/>
        </w:rPr>
        <w:t>the approval, on an advisory (non-binding) basis, of the compensation of our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-566420</wp:posOffset>
            </wp:positionV>
            <wp:extent cx="14605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-377825</wp:posOffset>
            </wp:positionV>
            <wp:extent cx="14605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-189230</wp:posOffset>
            </wp:positionV>
            <wp:extent cx="14605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-635</wp:posOffset>
            </wp:positionV>
            <wp:extent cx="14605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14541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In the discretion of the persons appointed as proxies on any other items that may properly come before the Annual Meeting.</w:t>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Broker Non-Votes</w:t>
      </w:r>
    </w:p>
    <w:p>
      <w:pPr>
        <w:spacing w:after="0" w:line="213"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If the shares you own are held in street name through a bank or brokerage firm, the bank or brokerage firm is required to vote your shares in accordance with your instructions. You should direct your broker how to vote the shares held in your account. Under applicable stock exchange rules, if you do not instruct your broker on how to vote your shares, your broker will be able to vote your shares with respect to certain “routine” matters, but will not be allowed to vote your shares with respect to certain “non-routine” matters. The ratification of the appointment of Deloitte SA as our independent registered public accounting firm is a routine matter. Each other proposal to be voted on at the Annual Meeting is a non-routine matter. Generally, broker non-votes occur when shares held by a broker in “street name” for a beneficial owner are not voted with respect to a particular proposal because the broker has not received voting instructions from the beneficial owner and lacks discretionary voting power to vote those shares.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Revoking Your Proxy or Changing Your Vote</w:t>
      </w:r>
    </w:p>
    <w:p>
      <w:pPr>
        <w:spacing w:after="0" w:line="20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Voting over the Internet or by telephone or execution of a proxy will not in any way affect a stockholder’s right to attend the Annual Meeting and vote electronically. A proxy may be revoked before it is used to cast a vote at the Annual Meeting. If the shares you own are held in your name, you can revoke a proxy by doing one of the following:</w:t>
      </w:r>
    </w:p>
    <w:p>
      <w:pPr>
        <w:spacing w:after="0" w:line="66"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16"/>
          <w:szCs w:val="16"/>
          <w:color w:val="E52823"/>
        </w:rPr>
      </w:pPr>
      <w:r>
        <w:rPr>
          <w:rFonts w:ascii="Arial" w:cs="Arial" w:eastAsia="Arial" w:hAnsi="Arial"/>
          <w:sz w:val="16"/>
          <w:szCs w:val="16"/>
          <w:color w:val="auto"/>
        </w:rPr>
        <w:t>filing with our Secretary, at or before the taking of the vote at the Annual Meeting, a written notice of revocation bearing a later date than the proxy;</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10"/>
        </w:numPr>
        <w:rPr>
          <w:rFonts w:ascii="Arial" w:cs="Arial" w:eastAsia="Arial" w:hAnsi="Arial"/>
          <w:sz w:val="16"/>
          <w:szCs w:val="16"/>
          <w:color w:val="E52823"/>
        </w:rPr>
      </w:pPr>
      <w:r>
        <w:rPr>
          <w:rFonts w:ascii="Arial" w:cs="Arial" w:eastAsia="Arial" w:hAnsi="Arial"/>
          <w:sz w:val="16"/>
          <w:szCs w:val="16"/>
          <w:color w:val="auto"/>
        </w:rPr>
        <w:t>duly executing a later-dated proxy relating to the same shares and delivering it to our Secretary before the taking of the vote; or</w:t>
      </w:r>
    </w:p>
    <w:p>
      <w:pPr>
        <w:spacing w:after="0" w:line="86" w:lineRule="exact"/>
        <w:rPr>
          <w:rFonts w:ascii="Arial" w:cs="Arial" w:eastAsia="Arial" w:hAnsi="Arial"/>
          <w:sz w:val="16"/>
          <w:szCs w:val="16"/>
          <w:color w:val="E52823"/>
        </w:rPr>
      </w:pPr>
    </w:p>
    <w:p>
      <w:pPr>
        <w:ind w:left="340" w:right="460" w:hanging="224"/>
        <w:spacing w:after="0" w:line="260" w:lineRule="auto"/>
        <w:tabs>
          <w:tab w:leader="none" w:pos="340" w:val="left"/>
        </w:tabs>
        <w:numPr>
          <w:ilvl w:val="0"/>
          <w:numId w:val="10"/>
        </w:numPr>
        <w:rPr>
          <w:rFonts w:ascii="Arial" w:cs="Arial" w:eastAsia="Arial" w:hAnsi="Arial"/>
          <w:sz w:val="16"/>
          <w:szCs w:val="16"/>
          <w:color w:val="E52823"/>
        </w:rPr>
      </w:pPr>
      <w:r>
        <w:rPr>
          <w:rFonts w:ascii="Arial" w:cs="Arial" w:eastAsia="Arial" w:hAnsi="Arial"/>
          <w:sz w:val="16"/>
          <w:szCs w:val="16"/>
          <w:color w:val="auto"/>
        </w:rPr>
        <w:t>attending the Annual Meeting and voting electronically. However, your attendance at the Annual Meeting will not automatically revoke your proxy unless you vote again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written notice of revocation or subsequent proxy should be sent to us at the following address: Garrett Motion Inc., La Pièce 16, Rolle, Switzerland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1180, Attention: Jérôme Maironi, Secretary.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shares you own are held in street name, you will need to follow the directions provided to you by your bank or brokerage firm to change your vote.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Quorum and Votes Required</w:t>
      </w:r>
    </w:p>
    <w:p>
      <w:pPr>
        <w:spacing w:after="0" w:line="200"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The presence electronically or representation by proxy of a majority in voting power of the shares of common stock of the Company entitled to vote at the Annual Meeting is necessary to establish a quorum. Abstentions and broker non-votes are included in the shares present or represented at the Annual Meeting for purposes of determining whether a quorum is present. If a quorum is not present, the chair of the Annual Meeting may adjourn the meeting until a quorum is obtained.</w:t>
      </w:r>
    </w:p>
    <w:p>
      <w:pPr>
        <w:spacing w:after="0" w:line="162"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auto"/>
        </w:rPr>
        <w:t>The table below sets forth the vote required for the approval of each proposal before the Annual Meeting, and the effect of abstentions and broker non-votes.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580" w:type="dxa"/>
            <w:vAlign w:val="bottom"/>
          </w:tcPr>
          <w:p>
            <w:pPr>
              <w:jc w:val="center"/>
              <w:ind w:left="85"/>
              <w:spacing w:after="0"/>
              <w:rPr>
                <w:sz w:val="20"/>
                <w:szCs w:val="20"/>
                <w:color w:val="auto"/>
              </w:rPr>
            </w:pPr>
            <w:r>
              <w:rPr>
                <w:rFonts w:ascii="Arial" w:cs="Arial" w:eastAsia="Arial" w:hAnsi="Arial"/>
                <w:sz w:val="14"/>
                <w:szCs w:val="14"/>
                <w:color w:val="E52823"/>
              </w:rPr>
              <w:t>Effect of Abstentions</w:t>
            </w:r>
          </w:p>
        </w:tc>
      </w:tr>
      <w:tr>
        <w:trPr>
          <w:trHeight w:val="164"/>
        </w:trPr>
        <w:tc>
          <w:tcPr>
            <w:tcW w:w="38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E52823"/>
              </w:rPr>
              <w:t>Proposal</w:t>
            </w:r>
          </w:p>
        </w:tc>
        <w:tc>
          <w:tcPr>
            <w:tcW w:w="3600" w:type="dxa"/>
            <w:vAlign w:val="bottom"/>
            <w:tcBorders>
              <w:bottom w:val="single" w:sz="8" w:color="auto"/>
            </w:tcBorders>
          </w:tcPr>
          <w:p>
            <w:pPr>
              <w:ind w:left="1400"/>
              <w:spacing w:after="0" w:line="157" w:lineRule="exact"/>
              <w:rPr>
                <w:sz w:val="20"/>
                <w:szCs w:val="20"/>
                <w:color w:val="auto"/>
              </w:rPr>
            </w:pPr>
            <w:r>
              <w:rPr>
                <w:rFonts w:ascii="Arial" w:cs="Arial" w:eastAsia="Arial" w:hAnsi="Arial"/>
                <w:sz w:val="14"/>
                <w:szCs w:val="14"/>
                <w:color w:val="E52823"/>
              </w:rPr>
              <w:t>Votes Required</w:t>
            </w:r>
          </w:p>
        </w:tc>
        <w:tc>
          <w:tcPr>
            <w:tcW w:w="3580" w:type="dxa"/>
            <w:vAlign w:val="bottom"/>
            <w:tcBorders>
              <w:bottom w:val="single" w:sz="8" w:color="auto"/>
            </w:tcBorders>
          </w:tcPr>
          <w:p>
            <w:pPr>
              <w:jc w:val="center"/>
              <w:ind w:left="85"/>
              <w:spacing w:after="0" w:line="157" w:lineRule="exact"/>
              <w:rPr>
                <w:sz w:val="20"/>
                <w:szCs w:val="20"/>
                <w:color w:val="auto"/>
              </w:rPr>
            </w:pPr>
            <w:r>
              <w:rPr>
                <w:rFonts w:ascii="Arial" w:cs="Arial" w:eastAsia="Arial" w:hAnsi="Arial"/>
                <w:sz w:val="14"/>
                <w:szCs w:val="14"/>
                <w:color w:val="E52823"/>
              </w:rPr>
              <w:t>and Broker Non-Votes</w:t>
            </w:r>
          </w:p>
        </w:tc>
      </w:tr>
      <w:tr>
        <w:trPr>
          <w:trHeight w:val="204"/>
        </w:trPr>
        <w:tc>
          <w:tcPr>
            <w:tcW w:w="3840" w:type="dxa"/>
            <w:vAlign w:val="bottom"/>
            <w:shd w:val="clear" w:color="auto" w:fill="EDEDED"/>
          </w:tcPr>
          <w:p>
            <w:pPr>
              <w:ind w:left="60"/>
              <w:spacing w:after="0"/>
              <w:rPr>
                <w:sz w:val="20"/>
                <w:szCs w:val="20"/>
                <w:color w:val="auto"/>
              </w:rPr>
            </w:pPr>
            <w:r>
              <w:rPr>
                <w:rFonts w:ascii="Arial" w:cs="Arial" w:eastAsia="Arial" w:hAnsi="Arial"/>
                <w:sz w:val="16"/>
                <w:szCs w:val="16"/>
                <w:color w:val="auto"/>
              </w:rPr>
              <w:t>Proposal 1: Election of Directors</w:t>
            </w:r>
          </w:p>
        </w:tc>
        <w:tc>
          <w:tcPr>
            <w:tcW w:w="36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Majority of votes cast (votes cast “FOR” each</w:t>
            </w:r>
          </w:p>
        </w:tc>
        <w:tc>
          <w:tcPr>
            <w:tcW w:w="3580" w:type="dxa"/>
            <w:vAlign w:val="bottom"/>
            <w:shd w:val="clear" w:color="auto" w:fill="EDEDED"/>
          </w:tcPr>
          <w:p>
            <w:pPr>
              <w:ind w:left="180"/>
              <w:spacing w:after="0"/>
              <w:rPr>
                <w:sz w:val="20"/>
                <w:szCs w:val="20"/>
                <w:color w:val="auto"/>
              </w:rPr>
            </w:pPr>
            <w:r>
              <w:rPr>
                <w:rFonts w:ascii="Arial" w:cs="Arial" w:eastAsia="Arial" w:hAnsi="Arial"/>
                <w:sz w:val="16"/>
                <w:szCs w:val="16"/>
                <w:color w:val="auto"/>
              </w:rPr>
              <w:t>No effect.</w:t>
            </w:r>
          </w:p>
        </w:tc>
      </w:tr>
      <w:tr>
        <w:trPr>
          <w:trHeight w:val="187"/>
        </w:trPr>
        <w:tc>
          <w:tcPr>
            <w:tcW w:w="3840" w:type="dxa"/>
            <w:vAlign w:val="bottom"/>
            <w:shd w:val="clear" w:color="auto" w:fill="EDEDED"/>
          </w:tcPr>
          <w:p>
            <w:pPr>
              <w:spacing w:after="0"/>
              <w:rPr>
                <w:sz w:val="16"/>
                <w:szCs w:val="16"/>
                <w:color w:val="auto"/>
              </w:rPr>
            </w:pPr>
          </w:p>
        </w:tc>
        <w:tc>
          <w:tcPr>
            <w:tcW w:w="3600" w:type="dxa"/>
            <w:vAlign w:val="bottom"/>
            <w:shd w:val="clear" w:color="auto" w:fill="EDEDED"/>
          </w:tcPr>
          <w:p>
            <w:pPr>
              <w:ind w:left="120"/>
              <w:spacing w:after="0"/>
              <w:rPr>
                <w:sz w:val="20"/>
                <w:szCs w:val="20"/>
                <w:color w:val="auto"/>
              </w:rPr>
            </w:pPr>
            <w:r>
              <w:rPr>
                <w:rFonts w:ascii="Arial" w:cs="Arial" w:eastAsia="Arial" w:hAnsi="Arial"/>
                <w:sz w:val="16"/>
                <w:szCs w:val="16"/>
                <w:color w:val="auto"/>
              </w:rPr>
              <w:t>nominee must exceed votes cast “AGAINST”).</w:t>
            </w:r>
          </w:p>
        </w:tc>
        <w:tc>
          <w:tcPr>
            <w:tcW w:w="3580" w:type="dxa"/>
            <w:vAlign w:val="bottom"/>
            <w:shd w:val="clear" w:color="auto" w:fill="EDEDED"/>
          </w:tcPr>
          <w:p>
            <w:pPr>
              <w:spacing w:after="0"/>
              <w:rPr>
                <w:sz w:val="16"/>
                <w:szCs w:val="16"/>
                <w:color w:val="auto"/>
              </w:rPr>
            </w:pPr>
          </w:p>
        </w:tc>
      </w:tr>
    </w:tbl>
    <w:p>
      <w:pPr>
        <w:spacing w:after="0" w:line="29"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80"/>
        <w:spacing w:after="0"/>
        <w:tabs>
          <w:tab w:leader="none" w:pos="4060" w:val="left"/>
        </w:tabs>
        <w:rPr>
          <w:sz w:val="20"/>
          <w:szCs w:val="20"/>
          <w:color w:val="auto"/>
        </w:rPr>
      </w:pPr>
      <w:r>
        <w:rPr>
          <w:rFonts w:ascii="Arial" w:cs="Arial" w:eastAsia="Arial" w:hAnsi="Arial"/>
          <w:sz w:val="16"/>
          <w:szCs w:val="16"/>
          <w:color w:val="auto"/>
        </w:rPr>
        <w:t>Proposal 2: Ratification of Appointment of</w:t>
      </w:r>
      <w:r>
        <w:rPr>
          <w:sz w:val="20"/>
          <w:szCs w:val="20"/>
          <w:color w:val="auto"/>
        </w:rPr>
        <w:tab/>
      </w:r>
      <w:r>
        <w:rPr>
          <w:rFonts w:ascii="Arial" w:cs="Arial" w:eastAsia="Arial" w:hAnsi="Arial"/>
          <w:sz w:val="16"/>
          <w:szCs w:val="16"/>
          <w:color w:val="auto"/>
        </w:rPr>
        <w:t>Approval of a majority in voting power of the</w:t>
      </w:r>
    </w:p>
    <w:p>
      <w:pPr>
        <w:spacing w:after="0" w:line="5" w:lineRule="exact"/>
        <w:rPr>
          <w:sz w:val="20"/>
          <w:szCs w:val="20"/>
          <w:color w:val="auto"/>
        </w:rPr>
      </w:pPr>
    </w:p>
    <w:p>
      <w:pPr>
        <w:ind w:left="180"/>
        <w:spacing w:after="0"/>
        <w:tabs>
          <w:tab w:leader="none" w:pos="4060" w:val="left"/>
        </w:tabs>
        <w:rPr>
          <w:sz w:val="20"/>
          <w:szCs w:val="20"/>
          <w:color w:val="auto"/>
        </w:rPr>
      </w:pPr>
      <w:r>
        <w:rPr>
          <w:rFonts w:ascii="Arial" w:cs="Arial" w:eastAsia="Arial" w:hAnsi="Arial"/>
          <w:sz w:val="16"/>
          <w:szCs w:val="16"/>
          <w:color w:val="auto"/>
        </w:rPr>
        <w:t>Independent Registered Public Accounting Firm</w:t>
      </w:r>
      <w:r>
        <w:rPr>
          <w:sz w:val="20"/>
          <w:szCs w:val="20"/>
          <w:color w:val="auto"/>
        </w:rPr>
        <w:tab/>
      </w:r>
      <w:r>
        <w:rPr>
          <w:rFonts w:ascii="Arial" w:cs="Arial" w:eastAsia="Arial" w:hAnsi="Arial"/>
          <w:sz w:val="16"/>
          <w:szCs w:val="16"/>
          <w:color w:val="auto"/>
        </w:rPr>
        <w:t>shares of common stock present virtually or</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represented by proxy and entitled to vote.</w:t>
      </w:r>
    </w:p>
    <w:p>
      <w:pPr>
        <w:spacing w:after="0" w:line="20" w:lineRule="exact"/>
        <w:rPr>
          <w:sz w:val="20"/>
          <w:szCs w:val="20"/>
          <w:color w:val="auto"/>
        </w:rPr>
      </w:pPr>
      <w:r>
        <w:rPr>
          <w:sz w:val="20"/>
          <w:szCs w:val="20"/>
          <w:color w:val="auto"/>
        </w:rPr>
        <w:br w:type="column"/>
      </w:r>
    </w:p>
    <w:p>
      <w:pPr>
        <w:ind w:right="40"/>
        <w:spacing w:after="0" w:line="260" w:lineRule="auto"/>
        <w:rPr>
          <w:sz w:val="20"/>
          <w:szCs w:val="20"/>
          <w:color w:val="auto"/>
        </w:rPr>
      </w:pPr>
      <w:r>
        <w:rPr>
          <w:rFonts w:ascii="Arial" w:cs="Arial" w:eastAsia="Arial" w:hAnsi="Arial"/>
          <w:sz w:val="16"/>
          <w:szCs w:val="16"/>
          <w:color w:val="auto"/>
        </w:rPr>
        <w:t>Abstentions will be treated as votes against; no broker non-votes expected.</w:t>
      </w:r>
    </w:p>
    <w:p>
      <w:pPr>
        <w:spacing w:after="0" w:line="184" w:lineRule="exact"/>
        <w:rPr>
          <w:sz w:val="20"/>
          <w:szCs w:val="20"/>
          <w:color w:val="auto"/>
        </w:rPr>
      </w:pPr>
    </w:p>
    <w:p>
      <w:pPr>
        <w:sectPr>
          <w:pgSz w:w="11900" w:h="16838" w:orient="portrait"/>
          <w:cols w:equalWidth="0" w:num="2">
            <w:col w:w="7240" w:space="500"/>
            <w:col w:w="34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0"/>
        </w:trPr>
        <w:tc>
          <w:tcPr>
            <w:tcW w:w="3840" w:type="dxa"/>
            <w:vAlign w:val="bottom"/>
            <w:shd w:val="clear" w:color="auto" w:fill="EDEDED"/>
          </w:tcPr>
          <w:p>
            <w:pPr>
              <w:ind w:left="60"/>
              <w:spacing w:after="0"/>
              <w:rPr>
                <w:sz w:val="20"/>
                <w:szCs w:val="20"/>
                <w:color w:val="auto"/>
              </w:rPr>
            </w:pPr>
            <w:r>
              <w:rPr>
                <w:rFonts w:ascii="Arial" w:cs="Arial" w:eastAsia="Arial" w:hAnsi="Arial"/>
                <w:sz w:val="16"/>
                <w:szCs w:val="16"/>
                <w:color w:val="auto"/>
              </w:rPr>
              <w:t>Proposal 3: Approval, on an Advisory (Non-Binding)</w:t>
            </w:r>
          </w:p>
        </w:tc>
        <w:tc>
          <w:tcPr>
            <w:tcW w:w="35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Approval of a majority in voting power of the</w:t>
            </w:r>
          </w:p>
        </w:tc>
        <w:tc>
          <w:tcPr>
            <w:tcW w:w="3660" w:type="dxa"/>
            <w:vAlign w:val="bottom"/>
            <w:shd w:val="clear" w:color="auto" w:fill="EDEDED"/>
          </w:tcPr>
          <w:p>
            <w:pPr>
              <w:ind w:left="260"/>
              <w:spacing w:after="0"/>
              <w:rPr>
                <w:sz w:val="20"/>
                <w:szCs w:val="20"/>
                <w:color w:val="auto"/>
              </w:rPr>
            </w:pPr>
            <w:r>
              <w:rPr>
                <w:rFonts w:ascii="Arial" w:cs="Arial" w:eastAsia="Arial" w:hAnsi="Arial"/>
                <w:sz w:val="16"/>
                <w:szCs w:val="16"/>
                <w:color w:val="auto"/>
              </w:rPr>
              <w:t>Abstentions will be treated as votes against;</w:t>
            </w:r>
          </w:p>
        </w:tc>
      </w:tr>
      <w:tr>
        <w:trPr>
          <w:trHeight w:val="189"/>
        </w:trPr>
        <w:tc>
          <w:tcPr>
            <w:tcW w:w="3840" w:type="dxa"/>
            <w:vAlign w:val="bottom"/>
            <w:shd w:val="clear" w:color="auto" w:fill="EDEDED"/>
          </w:tcPr>
          <w:p>
            <w:pPr>
              <w:ind w:left="60"/>
              <w:spacing w:after="0"/>
              <w:rPr>
                <w:sz w:val="20"/>
                <w:szCs w:val="20"/>
                <w:color w:val="auto"/>
              </w:rPr>
            </w:pPr>
            <w:r>
              <w:rPr>
                <w:rFonts w:ascii="Arial" w:cs="Arial" w:eastAsia="Arial" w:hAnsi="Arial"/>
                <w:sz w:val="16"/>
                <w:szCs w:val="16"/>
                <w:color w:val="auto"/>
              </w:rPr>
              <w:t>Basis, of the Compensation of our Named Executive</w:t>
            </w:r>
          </w:p>
        </w:tc>
        <w:tc>
          <w:tcPr>
            <w:tcW w:w="35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shares of common stock present virtually or</w:t>
            </w:r>
          </w:p>
        </w:tc>
        <w:tc>
          <w:tcPr>
            <w:tcW w:w="3660" w:type="dxa"/>
            <w:vAlign w:val="bottom"/>
            <w:shd w:val="clear" w:color="auto" w:fill="EDEDED"/>
          </w:tcPr>
          <w:p>
            <w:pPr>
              <w:ind w:left="260"/>
              <w:spacing w:after="0"/>
              <w:rPr>
                <w:sz w:val="20"/>
                <w:szCs w:val="20"/>
                <w:color w:val="auto"/>
              </w:rPr>
            </w:pPr>
            <w:r>
              <w:rPr>
                <w:rFonts w:ascii="Arial" w:cs="Arial" w:eastAsia="Arial" w:hAnsi="Arial"/>
                <w:sz w:val="16"/>
                <w:szCs w:val="16"/>
                <w:color w:val="auto"/>
              </w:rPr>
              <w:t>broker non-votes will have no effect.</w:t>
            </w:r>
          </w:p>
        </w:tc>
      </w:tr>
      <w:tr>
        <w:trPr>
          <w:trHeight w:val="187"/>
        </w:trPr>
        <w:tc>
          <w:tcPr>
            <w:tcW w:w="3840" w:type="dxa"/>
            <w:vAlign w:val="bottom"/>
            <w:tcBorders>
              <w:bottom w:val="single" w:sz="8" w:color="E52823"/>
            </w:tcBorders>
            <w:shd w:val="clear" w:color="auto" w:fill="EDEDED"/>
          </w:tcPr>
          <w:p>
            <w:pPr>
              <w:ind w:left="60"/>
              <w:spacing w:after="0"/>
              <w:rPr>
                <w:sz w:val="20"/>
                <w:szCs w:val="20"/>
                <w:color w:val="auto"/>
              </w:rPr>
            </w:pPr>
            <w:r>
              <w:rPr>
                <w:rFonts w:ascii="Arial" w:cs="Arial" w:eastAsia="Arial" w:hAnsi="Arial"/>
                <w:sz w:val="16"/>
                <w:szCs w:val="16"/>
                <w:color w:val="auto"/>
              </w:rPr>
              <w:t>Officers (“Say-on-Pay Vote”)</w:t>
            </w:r>
          </w:p>
        </w:tc>
        <w:tc>
          <w:tcPr>
            <w:tcW w:w="3520" w:type="dxa"/>
            <w:vAlign w:val="bottom"/>
            <w:tcBorders>
              <w:bottom w:val="single" w:sz="8" w:color="E52823"/>
            </w:tcBorders>
            <w:shd w:val="clear" w:color="auto" w:fill="EDEDED"/>
          </w:tcPr>
          <w:p>
            <w:pPr>
              <w:ind w:left="120"/>
              <w:spacing w:after="0"/>
              <w:rPr>
                <w:sz w:val="20"/>
                <w:szCs w:val="20"/>
                <w:color w:val="auto"/>
              </w:rPr>
            </w:pPr>
            <w:r>
              <w:rPr>
                <w:rFonts w:ascii="Arial" w:cs="Arial" w:eastAsia="Arial" w:hAnsi="Arial"/>
                <w:sz w:val="16"/>
                <w:szCs w:val="16"/>
                <w:color w:val="auto"/>
              </w:rPr>
              <w:t>represented by proxy and entitled to vote.</w:t>
            </w:r>
          </w:p>
        </w:tc>
        <w:tc>
          <w:tcPr>
            <w:tcW w:w="3660" w:type="dxa"/>
            <w:vAlign w:val="bottom"/>
            <w:tcBorders>
              <w:bottom w:val="single" w:sz="8" w:color="E52823"/>
            </w:tcBorders>
            <w:shd w:val="clear" w:color="auto" w:fill="EDEDED"/>
          </w:tcPr>
          <w:p>
            <w:pPr>
              <w:spacing w:after="0"/>
              <w:rPr>
                <w:sz w:val="16"/>
                <w:szCs w:val="16"/>
                <w:color w:val="auto"/>
              </w:rPr>
            </w:pPr>
          </w:p>
        </w:tc>
      </w:tr>
    </w:tbl>
    <w:p>
      <w:pPr>
        <w:spacing w:after="0" w:line="191"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auto"/>
        </w:rPr>
        <w:t>The votes will be counted, tabulated and certified by a representative of Broadridge Financial Solutions, the Company’s inspector of election for the Annual Meeting. We plan to announce preliminary voting results at the Annual Meeting and we will report the final results in a Current Report on Form 8-K, which we intend to file with the SEC shortly after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6254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4</w:t>
      </w:r>
    </w:p>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PROPOSAL ONE—ELECTION OF DIRECTORS</w:t>
      </w:r>
    </w:p>
    <w:p>
      <w:pPr>
        <w:spacing w:after="0" w:line="234"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auto"/>
        </w:rPr>
        <w:t>The Board has nominated Courtney M. Enghauser, Carsten J. Reinhardt and Jérôme Stoll as Class II director nominees for election at the Annual Meeting.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003415" cy="480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03415" cy="480060"/>
                    </a:xfrm>
                    <a:prstGeom prst="rect">
                      <a:avLst/>
                    </a:prstGeom>
                    <a:noFill/>
                  </pic:spPr>
                </pic:pic>
              </a:graphicData>
            </a:graphic>
          </wp:anchor>
        </w:drawing>
      </w: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xml:space="preserve">Our Board unanimously recommends that you vote </w:t>
      </w:r>
      <w:r>
        <w:rPr>
          <w:rFonts w:ascii="Arial" w:cs="Arial" w:eastAsia="Arial" w:hAnsi="Arial"/>
          <w:sz w:val="18"/>
          <w:szCs w:val="18"/>
          <w:color w:val="E52823"/>
        </w:rPr>
        <w:t>“FOR”</w:t>
      </w:r>
      <w:r>
        <w:rPr>
          <w:rFonts w:ascii="Arial" w:cs="Arial" w:eastAsia="Arial" w:hAnsi="Arial"/>
          <w:sz w:val="18"/>
          <w:szCs w:val="18"/>
          <w:color w:val="auto"/>
        </w:rPr>
        <w:t xml:space="preserve"> the election of each of Courtney M. Enghauser, Carsten J.</w:t>
      </w:r>
    </w:p>
    <w:p>
      <w:pPr>
        <w:ind w:left="1120"/>
        <w:spacing w:after="0"/>
        <w:rPr>
          <w:sz w:val="20"/>
          <w:szCs w:val="20"/>
          <w:color w:val="auto"/>
        </w:rPr>
      </w:pPr>
      <w:r>
        <w:rPr>
          <w:rFonts w:ascii="Arial" w:cs="Arial" w:eastAsia="Arial" w:hAnsi="Arial"/>
          <w:sz w:val="18"/>
          <w:szCs w:val="18"/>
          <w:color w:val="auto"/>
        </w:rPr>
        <w:t>Reinhardt and Jérôme Stoll as Class II directors.</w:t>
      </w:r>
    </w:p>
    <w:p>
      <w:pPr>
        <w:spacing w:after="0" w:line="200" w:lineRule="exact"/>
        <w:rPr>
          <w:sz w:val="20"/>
          <w:szCs w:val="20"/>
          <w:color w:val="auto"/>
        </w:rPr>
      </w:pPr>
    </w:p>
    <w:p>
      <w:pPr>
        <w:spacing w:after="0" w:line="311"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Our Board is currently comprised of eight directors. As described in our Amended and Restated Certificate of Incorporation (“Certificate of Incorporation”) (which was adopted prior to the effective date of our Spin-Off from Honeywell and prior to the election of all of our current directors) our Board is currently divided into three classes. The term of our Class I directors expires at the annual meeting of stockholders in 2022, the term of our Class II directors currently in office expires at this Annual Meeting, and the term of our Class III directors expires at the annual meeting of stockholders in 2021. Our Certificate of Incorporation provides that, beginning with our annual meeting of stockholders in 2022, our Board will be declassified and all director nominees will stand for election for one-year terms that expire at the following year’s annual meeting. The following table describes the schedule for the election of our directors over the next three annual meetings and the terms our directors will serve if elected.</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880" w:type="dxa"/>
            <w:vAlign w:val="bottom"/>
          </w:tcPr>
          <w:p>
            <w:pPr>
              <w:jc w:val="center"/>
              <w:ind w:left="243"/>
              <w:spacing w:after="0"/>
              <w:rPr>
                <w:sz w:val="20"/>
                <w:szCs w:val="20"/>
                <w:color w:val="auto"/>
              </w:rPr>
            </w:pPr>
            <w:r>
              <w:rPr>
                <w:rFonts w:ascii="Arial" w:cs="Arial" w:eastAsia="Arial" w:hAnsi="Arial"/>
                <w:sz w:val="14"/>
                <w:szCs w:val="14"/>
                <w:color w:val="E52823"/>
              </w:rPr>
              <w:t>Class of Directors Standing for</w:t>
            </w:r>
          </w:p>
        </w:tc>
        <w:tc>
          <w:tcPr>
            <w:tcW w:w="3840" w:type="dxa"/>
            <w:vAlign w:val="bottom"/>
          </w:tcPr>
          <w:p>
            <w:pPr>
              <w:spacing w:after="0"/>
              <w:rPr>
                <w:sz w:val="14"/>
                <w:szCs w:val="14"/>
                <w:color w:val="auto"/>
              </w:rPr>
            </w:pPr>
          </w:p>
        </w:tc>
      </w:tr>
      <w:tr>
        <w:trPr>
          <w:trHeight w:val="164"/>
        </w:trPr>
        <w:tc>
          <w:tcPr>
            <w:tcW w:w="430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E52823"/>
              </w:rPr>
              <w:t>Meeting</w:t>
            </w:r>
          </w:p>
        </w:tc>
        <w:tc>
          <w:tcPr>
            <w:tcW w:w="2880" w:type="dxa"/>
            <w:vAlign w:val="bottom"/>
            <w:tcBorders>
              <w:bottom w:val="single" w:sz="8" w:color="auto"/>
            </w:tcBorders>
          </w:tcPr>
          <w:p>
            <w:pPr>
              <w:jc w:val="center"/>
              <w:ind w:left="243"/>
              <w:spacing w:after="0" w:line="157" w:lineRule="exact"/>
              <w:rPr>
                <w:sz w:val="20"/>
                <w:szCs w:val="20"/>
                <w:color w:val="auto"/>
              </w:rPr>
            </w:pPr>
            <w:r>
              <w:rPr>
                <w:rFonts w:ascii="Arial" w:cs="Arial" w:eastAsia="Arial" w:hAnsi="Arial"/>
                <w:sz w:val="14"/>
                <w:szCs w:val="14"/>
                <w:color w:val="E52823"/>
              </w:rPr>
              <w:t>Election</w:t>
            </w:r>
          </w:p>
        </w:tc>
        <w:tc>
          <w:tcPr>
            <w:tcW w:w="3840" w:type="dxa"/>
            <w:vAlign w:val="bottom"/>
            <w:tcBorders>
              <w:bottom w:val="single" w:sz="8" w:color="auto"/>
            </w:tcBorders>
          </w:tcPr>
          <w:p>
            <w:pPr>
              <w:ind w:left="1920"/>
              <w:spacing w:after="0" w:line="157" w:lineRule="exact"/>
              <w:rPr>
                <w:sz w:val="20"/>
                <w:szCs w:val="20"/>
                <w:color w:val="auto"/>
              </w:rPr>
            </w:pPr>
            <w:r>
              <w:rPr>
                <w:rFonts w:ascii="Arial" w:cs="Arial" w:eastAsia="Arial" w:hAnsi="Arial"/>
                <w:sz w:val="14"/>
                <w:szCs w:val="14"/>
                <w:color w:val="E52823"/>
              </w:rPr>
              <w:t>Term</w:t>
            </w:r>
          </w:p>
        </w:tc>
      </w:tr>
      <w:tr>
        <w:trPr>
          <w:trHeight w:val="203"/>
        </w:trPr>
        <w:tc>
          <w:tcPr>
            <w:tcW w:w="4300" w:type="dxa"/>
            <w:vAlign w:val="bottom"/>
            <w:shd w:val="clear" w:color="auto" w:fill="EDEDED"/>
          </w:tcPr>
          <w:p>
            <w:pPr>
              <w:ind w:left="60"/>
              <w:spacing w:after="0"/>
              <w:rPr>
                <w:sz w:val="20"/>
                <w:szCs w:val="20"/>
                <w:color w:val="auto"/>
              </w:rPr>
            </w:pPr>
            <w:r>
              <w:rPr>
                <w:rFonts w:ascii="Arial" w:cs="Arial" w:eastAsia="Arial" w:hAnsi="Arial"/>
                <w:sz w:val="16"/>
                <w:szCs w:val="16"/>
                <w:color w:val="auto"/>
              </w:rPr>
              <w:t>2020 Annual Meeting</w:t>
            </w:r>
          </w:p>
        </w:tc>
        <w:tc>
          <w:tcPr>
            <w:tcW w:w="288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Class II</w:t>
            </w:r>
          </w:p>
        </w:tc>
        <w:tc>
          <w:tcPr>
            <w:tcW w:w="3840" w:type="dxa"/>
            <w:vAlign w:val="bottom"/>
            <w:shd w:val="clear" w:color="auto" w:fill="EDEDED"/>
          </w:tcPr>
          <w:p>
            <w:pPr>
              <w:ind w:left="300"/>
              <w:spacing w:after="0"/>
              <w:rPr>
                <w:sz w:val="20"/>
                <w:szCs w:val="20"/>
                <w:color w:val="auto"/>
              </w:rPr>
            </w:pPr>
            <w:r>
              <w:rPr>
                <w:rFonts w:ascii="Arial" w:cs="Arial" w:eastAsia="Arial" w:hAnsi="Arial"/>
                <w:sz w:val="16"/>
                <w:szCs w:val="16"/>
                <w:color w:val="auto"/>
              </w:rPr>
              <w:t>Two-year term expiring at 2022 Annual Meeting</w:t>
            </w:r>
          </w:p>
        </w:tc>
      </w:tr>
      <w:tr>
        <w:trPr>
          <w:trHeight w:val="216"/>
        </w:trPr>
        <w:tc>
          <w:tcPr>
            <w:tcW w:w="4300" w:type="dxa"/>
            <w:vAlign w:val="bottom"/>
          </w:tcPr>
          <w:p>
            <w:pPr>
              <w:ind w:left="60"/>
              <w:spacing w:after="0"/>
              <w:rPr>
                <w:sz w:val="20"/>
                <w:szCs w:val="20"/>
                <w:color w:val="auto"/>
              </w:rPr>
            </w:pPr>
            <w:r>
              <w:rPr>
                <w:rFonts w:ascii="Arial" w:cs="Arial" w:eastAsia="Arial" w:hAnsi="Arial"/>
                <w:sz w:val="16"/>
                <w:szCs w:val="16"/>
                <w:color w:val="auto"/>
              </w:rPr>
              <w:t>2021 Annual Meeting</w:t>
            </w:r>
          </w:p>
        </w:tc>
        <w:tc>
          <w:tcPr>
            <w:tcW w:w="2880" w:type="dxa"/>
            <w:vAlign w:val="bottom"/>
          </w:tcPr>
          <w:p>
            <w:pPr>
              <w:ind w:left="120"/>
              <w:spacing w:after="0"/>
              <w:rPr>
                <w:sz w:val="20"/>
                <w:szCs w:val="20"/>
                <w:color w:val="auto"/>
              </w:rPr>
            </w:pPr>
            <w:r>
              <w:rPr>
                <w:rFonts w:ascii="Arial" w:cs="Arial" w:eastAsia="Arial" w:hAnsi="Arial"/>
                <w:sz w:val="16"/>
                <w:szCs w:val="16"/>
                <w:color w:val="auto"/>
              </w:rPr>
              <w:t>Class III</w:t>
            </w:r>
          </w:p>
        </w:tc>
        <w:tc>
          <w:tcPr>
            <w:tcW w:w="3840" w:type="dxa"/>
            <w:vAlign w:val="bottom"/>
          </w:tcPr>
          <w:p>
            <w:pPr>
              <w:ind w:left="300"/>
              <w:spacing w:after="0"/>
              <w:rPr>
                <w:sz w:val="20"/>
                <w:szCs w:val="20"/>
                <w:color w:val="auto"/>
              </w:rPr>
            </w:pPr>
            <w:r>
              <w:rPr>
                <w:rFonts w:ascii="Arial" w:cs="Arial" w:eastAsia="Arial" w:hAnsi="Arial"/>
                <w:sz w:val="16"/>
                <w:szCs w:val="16"/>
                <w:color w:val="auto"/>
              </w:rPr>
              <w:t>One-year term expiring at 2022 Annual Meeting</w:t>
            </w:r>
          </w:p>
        </w:tc>
      </w:tr>
      <w:tr>
        <w:trPr>
          <w:trHeight w:val="216"/>
        </w:trPr>
        <w:tc>
          <w:tcPr>
            <w:tcW w:w="4300" w:type="dxa"/>
            <w:vAlign w:val="bottom"/>
            <w:tcBorders>
              <w:bottom w:val="single" w:sz="8" w:color="E52823"/>
            </w:tcBorders>
            <w:shd w:val="clear" w:color="auto" w:fill="EDEDED"/>
          </w:tcPr>
          <w:p>
            <w:pPr>
              <w:ind w:left="60"/>
              <w:spacing w:after="0"/>
              <w:rPr>
                <w:sz w:val="20"/>
                <w:szCs w:val="20"/>
                <w:color w:val="auto"/>
              </w:rPr>
            </w:pPr>
            <w:r>
              <w:rPr>
                <w:rFonts w:ascii="Arial" w:cs="Arial" w:eastAsia="Arial" w:hAnsi="Arial"/>
                <w:sz w:val="16"/>
                <w:szCs w:val="16"/>
                <w:color w:val="auto"/>
              </w:rPr>
              <w:t>2022 Annual Meeting</w:t>
            </w:r>
          </w:p>
        </w:tc>
        <w:tc>
          <w:tcPr>
            <w:tcW w:w="2880" w:type="dxa"/>
            <w:vAlign w:val="bottom"/>
            <w:tcBorders>
              <w:bottom w:val="single" w:sz="8" w:color="E52823"/>
            </w:tcBorders>
            <w:shd w:val="clear" w:color="auto" w:fill="EDEDED"/>
          </w:tcPr>
          <w:p>
            <w:pPr>
              <w:ind w:left="120"/>
              <w:spacing w:after="0"/>
              <w:rPr>
                <w:sz w:val="20"/>
                <w:szCs w:val="20"/>
                <w:color w:val="auto"/>
              </w:rPr>
            </w:pPr>
            <w:r>
              <w:rPr>
                <w:rFonts w:ascii="Arial" w:cs="Arial" w:eastAsia="Arial" w:hAnsi="Arial"/>
                <w:sz w:val="16"/>
                <w:szCs w:val="16"/>
                <w:color w:val="auto"/>
              </w:rPr>
              <w:t>All directors</w:t>
            </w:r>
          </w:p>
        </w:tc>
        <w:tc>
          <w:tcPr>
            <w:tcW w:w="3840" w:type="dxa"/>
            <w:vAlign w:val="bottom"/>
            <w:tcBorders>
              <w:bottom w:val="single" w:sz="8" w:color="E52823"/>
            </w:tcBorders>
            <w:shd w:val="clear" w:color="auto" w:fill="EDEDED"/>
          </w:tcPr>
          <w:p>
            <w:pPr>
              <w:ind w:left="300"/>
              <w:spacing w:after="0"/>
              <w:rPr>
                <w:sz w:val="20"/>
                <w:szCs w:val="20"/>
                <w:color w:val="auto"/>
              </w:rPr>
            </w:pPr>
            <w:r>
              <w:rPr>
                <w:rFonts w:ascii="Arial" w:cs="Arial" w:eastAsia="Arial" w:hAnsi="Arial"/>
                <w:sz w:val="16"/>
                <w:szCs w:val="16"/>
                <w:color w:val="auto"/>
              </w:rPr>
              <w:t>One-year term expiring at 2023 Annual Meeting</w:t>
            </w:r>
          </w:p>
        </w:tc>
      </w:tr>
    </w:tbl>
    <w:p>
      <w:pPr>
        <w:spacing w:after="0" w:line="177" w:lineRule="exact"/>
        <w:rPr>
          <w:sz w:val="20"/>
          <w:szCs w:val="20"/>
          <w:color w:val="auto"/>
        </w:rPr>
      </w:pPr>
    </w:p>
    <w:p>
      <w:pPr>
        <w:ind w:left="120" w:right="320"/>
        <w:spacing w:after="0" w:line="250" w:lineRule="auto"/>
        <w:rPr>
          <w:sz w:val="20"/>
          <w:szCs w:val="20"/>
          <w:color w:val="auto"/>
        </w:rPr>
      </w:pPr>
      <w:r>
        <w:rPr>
          <w:rFonts w:ascii="Arial" w:cs="Arial" w:eastAsia="Arial" w:hAnsi="Arial"/>
          <w:sz w:val="16"/>
          <w:szCs w:val="16"/>
          <w:color w:val="auto"/>
        </w:rPr>
        <w:t>If you return a duly executed proxy card without specifying how your shares are to be voted, the persons named in the proxy card will vote to elect Courtney M. Enghauser, Carsten J. Reinhardt and Jérôme Stoll as Class II directors. Courtney M. Enghauser, Carsten J. Reinhardt and Jérôme Stoll currently serve on our Board and have indicated their willingness to continue to serve if elected. However, if any director nominee should be unable to serve, or for good cause will not serve, the shares of common stock represented by proxies may be voted for a substitute nominee designated by our Board, or our Board may reduce its size. Our Board has no reason to believe that any of the nominees will be unable to serve if elected.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Resignation Policy</w:t>
      </w:r>
    </w:p>
    <w:p>
      <w:pPr>
        <w:spacing w:after="0" w:line="213"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In accordance with our Amended and Restated By-laws (the “Bylaws”) and our Corporate Governance Guidelines, upon appointment, election or re-nomination to the Board, directors must agree to submit an irrevocable resignation effective upon the director’s failure to receive a majority of the votes cast in an uncontested election and the acceptance of such resignation by the Board. If a director fails to receive a majority of votes cast, the Board will have 90 days from the date the election results are certified to make a decision whether to accept or reject the resignation. Once the Board makes its decision, the Company will promptly make a public announcement of the Board’s decision. If the Board rejects the resignation, the public announcement will include a statement regarding the reasons for its decision. The Chair of the nominating and governance committee (the “Nominating and Governance Committee”) of the Board or, in the event the Chair of the Nominating and Governance Committee did not receive a majority of the votes cast, the independent directors who did receive a majority of the votes cast, has the authority to manage the Board’s review of the resignation. Any director whose resignation is being considered will not participate in any deliberations or vote on whether to accept or reject his or her own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241300</wp:posOffset>
            </wp:positionV>
            <wp:extent cx="6995160" cy="6254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5</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Board of Directors</w:t>
      </w:r>
    </w:p>
    <w:p>
      <w:pPr>
        <w:spacing w:after="0" w:line="21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The chart below summarizes the notable skills, qualifications and experience of each of our directors and highlights the balanced mix of skills, qualifications and experience of the Board as a whole. These align with the needs of Garrett’s long-term commercial and strategic goals. This high-level summary is not intended to be an exhaustive list of each director’s skills or contributions to the Board.</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140" w:type="dxa"/>
            <w:vAlign w:val="bottom"/>
          </w:tcPr>
          <w:p>
            <w:pPr>
              <w:jc w:val="center"/>
              <w:ind w:left="81"/>
              <w:spacing w:after="0"/>
              <w:rPr>
                <w:sz w:val="20"/>
                <w:szCs w:val="20"/>
                <w:color w:val="auto"/>
              </w:rPr>
            </w:pPr>
            <w:r>
              <w:rPr>
                <w:rFonts w:ascii="Arial" w:cs="Arial" w:eastAsia="Arial" w:hAnsi="Arial"/>
                <w:sz w:val="14"/>
                <w:szCs w:val="14"/>
                <w:color w:val="E52823"/>
              </w:rPr>
              <w:t>Carlos M.</w:t>
            </w:r>
          </w:p>
        </w:tc>
        <w:tc>
          <w:tcPr>
            <w:tcW w:w="920" w:type="dxa"/>
            <w:vAlign w:val="bottom"/>
          </w:tcPr>
          <w:p>
            <w:pPr>
              <w:jc w:val="center"/>
              <w:spacing w:after="0"/>
              <w:rPr>
                <w:sz w:val="20"/>
                <w:szCs w:val="20"/>
                <w:color w:val="auto"/>
              </w:rPr>
            </w:pPr>
            <w:r>
              <w:rPr>
                <w:rFonts w:ascii="Arial" w:cs="Arial" w:eastAsia="Arial" w:hAnsi="Arial"/>
                <w:sz w:val="14"/>
                <w:szCs w:val="14"/>
                <w:color w:val="E52823"/>
              </w:rPr>
              <w:t>Maura J.</w:t>
            </w:r>
          </w:p>
        </w:tc>
        <w:tc>
          <w:tcPr>
            <w:tcW w:w="1140" w:type="dxa"/>
            <w:vAlign w:val="bottom"/>
          </w:tcPr>
          <w:p>
            <w:pPr>
              <w:jc w:val="center"/>
              <w:spacing w:after="0"/>
              <w:rPr>
                <w:sz w:val="20"/>
                <w:szCs w:val="20"/>
                <w:color w:val="auto"/>
              </w:rPr>
            </w:pPr>
            <w:r>
              <w:rPr>
                <w:rFonts w:ascii="Arial" w:cs="Arial" w:eastAsia="Arial" w:hAnsi="Arial"/>
                <w:sz w:val="14"/>
                <w:szCs w:val="14"/>
                <w:color w:val="E52823"/>
              </w:rPr>
              <w:t>Courtney M.</w:t>
            </w:r>
          </w:p>
        </w:tc>
        <w:tc>
          <w:tcPr>
            <w:tcW w:w="940" w:type="dxa"/>
            <w:vAlign w:val="bottom"/>
          </w:tcPr>
          <w:p>
            <w:pPr>
              <w:jc w:val="center"/>
              <w:spacing w:after="0"/>
              <w:rPr>
                <w:sz w:val="20"/>
                <w:szCs w:val="20"/>
                <w:color w:val="auto"/>
              </w:rPr>
            </w:pPr>
            <w:r>
              <w:rPr>
                <w:rFonts w:ascii="Arial" w:cs="Arial" w:eastAsia="Arial" w:hAnsi="Arial"/>
                <w:sz w:val="14"/>
                <w:szCs w:val="14"/>
                <w:color w:val="E52823"/>
              </w:rPr>
              <w:t>Susan L.</w:t>
            </w:r>
          </w:p>
        </w:tc>
        <w:tc>
          <w:tcPr>
            <w:tcW w:w="840" w:type="dxa"/>
            <w:vAlign w:val="bottom"/>
          </w:tcPr>
          <w:p>
            <w:pPr>
              <w:jc w:val="center"/>
              <w:spacing w:after="0"/>
              <w:rPr>
                <w:sz w:val="20"/>
                <w:szCs w:val="20"/>
                <w:color w:val="auto"/>
              </w:rPr>
            </w:pPr>
            <w:r>
              <w:rPr>
                <w:rFonts w:ascii="Arial" w:cs="Arial" w:eastAsia="Arial" w:hAnsi="Arial"/>
                <w:sz w:val="14"/>
                <w:szCs w:val="14"/>
                <w:color w:val="E52823"/>
              </w:rPr>
              <w:t>Olivier</w:t>
            </w:r>
          </w:p>
        </w:tc>
        <w:tc>
          <w:tcPr>
            <w:tcW w:w="1020" w:type="dxa"/>
            <w:vAlign w:val="bottom"/>
          </w:tcPr>
          <w:p>
            <w:pPr>
              <w:jc w:val="center"/>
              <w:spacing w:after="0"/>
              <w:rPr>
                <w:sz w:val="20"/>
                <w:szCs w:val="20"/>
                <w:color w:val="auto"/>
              </w:rPr>
            </w:pPr>
            <w:r>
              <w:rPr>
                <w:rFonts w:ascii="Arial" w:cs="Arial" w:eastAsia="Arial" w:hAnsi="Arial"/>
                <w:sz w:val="14"/>
                <w:szCs w:val="14"/>
                <w:color w:val="E52823"/>
              </w:rPr>
              <w:t>Carsten J.</w:t>
            </w:r>
          </w:p>
        </w:tc>
        <w:tc>
          <w:tcPr>
            <w:tcW w:w="780" w:type="dxa"/>
            <w:vAlign w:val="bottom"/>
          </w:tcPr>
          <w:p>
            <w:pPr>
              <w:jc w:val="center"/>
              <w:spacing w:after="0"/>
              <w:rPr>
                <w:sz w:val="20"/>
                <w:szCs w:val="20"/>
                <w:color w:val="auto"/>
              </w:rPr>
            </w:pPr>
            <w:r>
              <w:rPr>
                <w:rFonts w:ascii="Arial" w:cs="Arial" w:eastAsia="Arial" w:hAnsi="Arial"/>
                <w:sz w:val="14"/>
                <w:szCs w:val="14"/>
                <w:color w:val="E52823"/>
              </w:rPr>
              <w:t>Jérôme</w:t>
            </w:r>
          </w:p>
        </w:tc>
        <w:tc>
          <w:tcPr>
            <w:tcW w:w="620" w:type="dxa"/>
            <w:vAlign w:val="bottom"/>
          </w:tcPr>
          <w:p>
            <w:pPr>
              <w:jc w:val="center"/>
              <w:ind w:left="41"/>
              <w:spacing w:after="0"/>
              <w:rPr>
                <w:sz w:val="20"/>
                <w:szCs w:val="20"/>
                <w:color w:val="auto"/>
              </w:rPr>
            </w:pPr>
            <w:r>
              <w:rPr>
                <w:rFonts w:ascii="Arial" w:cs="Arial" w:eastAsia="Arial" w:hAnsi="Arial"/>
                <w:sz w:val="14"/>
                <w:szCs w:val="14"/>
                <w:color w:val="E52823"/>
              </w:rPr>
              <w:t>Scott A.</w:t>
            </w:r>
          </w:p>
        </w:tc>
        <w:tc>
          <w:tcPr>
            <w:tcW w:w="0" w:type="dxa"/>
            <w:vAlign w:val="bottom"/>
          </w:tcPr>
          <w:p>
            <w:pPr>
              <w:spacing w:after="0"/>
              <w:rPr>
                <w:sz w:val="1"/>
                <w:szCs w:val="1"/>
                <w:color w:val="auto"/>
              </w:rPr>
            </w:pPr>
          </w:p>
        </w:tc>
      </w:tr>
      <w:tr>
        <w:trPr>
          <w:trHeight w:val="178"/>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E52823"/>
              </w:rPr>
              <w:t>Skills/Qualifications/Experience</w:t>
            </w:r>
          </w:p>
        </w:tc>
        <w:tc>
          <w:tcPr>
            <w:tcW w:w="1140" w:type="dxa"/>
            <w:vAlign w:val="bottom"/>
            <w:tcBorders>
              <w:bottom w:val="single" w:sz="8" w:color="auto"/>
            </w:tcBorders>
          </w:tcPr>
          <w:p>
            <w:pPr>
              <w:jc w:val="center"/>
              <w:ind w:left="81"/>
              <w:spacing w:after="0"/>
              <w:rPr>
                <w:sz w:val="20"/>
                <w:szCs w:val="20"/>
                <w:color w:val="auto"/>
              </w:rPr>
            </w:pPr>
            <w:r>
              <w:rPr>
                <w:rFonts w:ascii="Arial" w:cs="Arial" w:eastAsia="Arial" w:hAnsi="Arial"/>
                <w:sz w:val="14"/>
                <w:szCs w:val="14"/>
                <w:color w:val="E52823"/>
              </w:rPr>
              <w:t>Cardoso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E52823"/>
                <w:w w:val="97"/>
              </w:rPr>
              <w:t>Clark</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E52823"/>
              </w:rPr>
              <w:t>Enghauser</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E52823"/>
                <w:w w:val="98"/>
              </w:rPr>
              <w:t>Main</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E52823"/>
              </w:rPr>
              <w:t>Rabiller</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E52823"/>
              </w:rPr>
              <w:t>Reinhardt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E52823"/>
              </w:rPr>
              <w:t>Stoll</w:t>
            </w:r>
          </w:p>
        </w:tc>
        <w:tc>
          <w:tcPr>
            <w:tcW w:w="62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color w:val="E52823"/>
                <w:w w:val="97"/>
              </w:rPr>
              <w:t>Tozier</w:t>
            </w:r>
          </w:p>
        </w:tc>
        <w:tc>
          <w:tcPr>
            <w:tcW w:w="0" w:type="dxa"/>
            <w:vAlign w:val="bottom"/>
          </w:tcPr>
          <w:p>
            <w:pPr>
              <w:spacing w:after="0"/>
              <w:rPr>
                <w:sz w:val="1"/>
                <w:szCs w:val="1"/>
                <w:color w:val="auto"/>
              </w:rPr>
            </w:pPr>
          </w:p>
        </w:tc>
      </w:tr>
      <w:tr>
        <w:trPr>
          <w:trHeight w:val="203"/>
        </w:trPr>
        <w:tc>
          <w:tcPr>
            <w:tcW w:w="3620" w:type="dxa"/>
            <w:vAlign w:val="bottom"/>
            <w:shd w:val="clear" w:color="auto" w:fill="EDEDED"/>
          </w:tcPr>
          <w:p>
            <w:pPr>
              <w:ind w:left="60"/>
              <w:spacing w:after="0" w:line="202" w:lineRule="exact"/>
              <w:rPr>
                <w:sz w:val="20"/>
                <w:szCs w:val="20"/>
                <w:color w:val="auto"/>
              </w:rPr>
            </w:pPr>
            <w:r>
              <w:rPr>
                <w:rFonts w:ascii="Arial" w:cs="Arial" w:eastAsia="Arial" w:hAnsi="Arial"/>
                <w:sz w:val="14"/>
                <w:szCs w:val="14"/>
                <w:color w:val="auto"/>
              </w:rPr>
              <w:t>Financial Expertise</w:t>
            </w:r>
            <w:r>
              <w:rPr>
                <w:rFonts w:ascii="Arial" w:cs="Arial" w:eastAsia="Arial" w:hAnsi="Arial"/>
                <w:sz w:val="23"/>
                <w:szCs w:val="23"/>
                <w:color w:val="auto"/>
                <w:vertAlign w:val="superscript"/>
              </w:rPr>
              <w:t>(1)</w:t>
            </w:r>
          </w:p>
        </w:tc>
        <w:tc>
          <w:tcPr>
            <w:tcW w:w="1140" w:type="dxa"/>
            <w:vAlign w:val="bottom"/>
            <w:shd w:val="clear" w:color="auto" w:fill="EDEDED"/>
          </w:tcPr>
          <w:p>
            <w:pPr>
              <w:jc w:val="center"/>
              <w:ind w:left="81"/>
              <w:spacing w:after="0"/>
              <w:rPr>
                <w:sz w:val="20"/>
                <w:szCs w:val="20"/>
                <w:color w:val="auto"/>
              </w:rPr>
            </w:pPr>
            <w:r>
              <w:rPr>
                <w:rFonts w:ascii="Arial" w:cs="Arial" w:eastAsia="Arial" w:hAnsi="Arial"/>
                <w:sz w:val="16"/>
                <w:szCs w:val="16"/>
                <w:color w:val="E52823"/>
              </w:rPr>
              <w:t>●</w:t>
            </w:r>
          </w:p>
        </w:tc>
        <w:tc>
          <w:tcPr>
            <w:tcW w:w="920" w:type="dxa"/>
            <w:vAlign w:val="bottom"/>
            <w:shd w:val="clear" w:color="auto" w:fill="EDEDED"/>
          </w:tcPr>
          <w:p>
            <w:pPr>
              <w:jc w:val="center"/>
              <w:spacing w:after="0"/>
              <w:rPr>
                <w:sz w:val="20"/>
                <w:szCs w:val="20"/>
                <w:color w:val="auto"/>
              </w:rPr>
            </w:pPr>
            <w:r>
              <w:rPr>
                <w:rFonts w:ascii="Arial" w:cs="Arial" w:eastAsia="Arial" w:hAnsi="Arial"/>
                <w:sz w:val="16"/>
                <w:szCs w:val="16"/>
                <w:color w:val="E52823"/>
                <w:w w:val="82"/>
              </w:rPr>
              <w:t>●</w:t>
            </w:r>
          </w:p>
        </w:tc>
        <w:tc>
          <w:tcPr>
            <w:tcW w:w="1140" w:type="dxa"/>
            <w:vAlign w:val="bottom"/>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940" w:type="dxa"/>
            <w:vAlign w:val="bottom"/>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840" w:type="dxa"/>
            <w:vAlign w:val="bottom"/>
            <w:shd w:val="clear" w:color="auto" w:fill="EDEDED"/>
          </w:tcPr>
          <w:p>
            <w:pPr>
              <w:spacing w:after="0"/>
              <w:rPr>
                <w:sz w:val="17"/>
                <w:szCs w:val="17"/>
                <w:color w:val="auto"/>
              </w:rPr>
            </w:pPr>
          </w:p>
        </w:tc>
        <w:tc>
          <w:tcPr>
            <w:tcW w:w="1020" w:type="dxa"/>
            <w:vAlign w:val="bottom"/>
            <w:shd w:val="clear" w:color="auto" w:fill="EDEDED"/>
          </w:tcPr>
          <w:p>
            <w:pPr>
              <w:spacing w:after="0"/>
              <w:rPr>
                <w:sz w:val="17"/>
                <w:szCs w:val="17"/>
                <w:color w:val="auto"/>
              </w:rPr>
            </w:pPr>
          </w:p>
        </w:tc>
        <w:tc>
          <w:tcPr>
            <w:tcW w:w="780" w:type="dxa"/>
            <w:vAlign w:val="bottom"/>
            <w:shd w:val="clear" w:color="auto" w:fill="EDEDED"/>
          </w:tcPr>
          <w:p>
            <w:pPr>
              <w:spacing w:after="0"/>
              <w:rPr>
                <w:sz w:val="17"/>
                <w:szCs w:val="17"/>
                <w:color w:val="auto"/>
              </w:rPr>
            </w:pPr>
          </w:p>
        </w:tc>
        <w:tc>
          <w:tcPr>
            <w:tcW w:w="620" w:type="dxa"/>
            <w:vAlign w:val="bottom"/>
            <w:shd w:val="clear" w:color="auto" w:fill="EDEDED"/>
          </w:tcPr>
          <w:p>
            <w:pPr>
              <w:jc w:val="center"/>
              <w:ind w:left="41"/>
              <w:spacing w:after="0"/>
              <w:rPr>
                <w:sz w:val="20"/>
                <w:szCs w:val="20"/>
                <w:color w:val="auto"/>
              </w:rPr>
            </w:pPr>
            <w:r>
              <w:rPr>
                <w:rFonts w:ascii="Arial" w:cs="Arial" w:eastAsia="Arial" w:hAnsi="Arial"/>
                <w:sz w:val="16"/>
                <w:szCs w:val="16"/>
                <w:color w:val="E52823"/>
              </w:rPr>
              <w:t>●</w:t>
            </w:r>
          </w:p>
        </w:tc>
        <w:tc>
          <w:tcPr>
            <w:tcW w:w="0" w:type="dxa"/>
            <w:vAlign w:val="bottom"/>
          </w:tcPr>
          <w:p>
            <w:pPr>
              <w:spacing w:after="0"/>
              <w:rPr>
                <w:sz w:val="1"/>
                <w:szCs w:val="1"/>
                <w:color w:val="auto"/>
              </w:rPr>
            </w:pPr>
          </w:p>
        </w:tc>
      </w:tr>
      <w:tr>
        <w:trPr>
          <w:trHeight w:val="203"/>
        </w:trPr>
        <w:tc>
          <w:tcPr>
            <w:tcW w:w="3620" w:type="dxa"/>
            <w:vAlign w:val="bottom"/>
          </w:tcPr>
          <w:p>
            <w:pPr>
              <w:ind w:left="60"/>
              <w:spacing w:after="0" w:line="202" w:lineRule="exact"/>
              <w:rPr>
                <w:sz w:val="20"/>
                <w:szCs w:val="20"/>
                <w:color w:val="auto"/>
              </w:rPr>
            </w:pPr>
            <w:r>
              <w:rPr>
                <w:rFonts w:ascii="Arial" w:cs="Arial" w:eastAsia="Arial" w:hAnsi="Arial"/>
                <w:sz w:val="14"/>
                <w:szCs w:val="14"/>
                <w:color w:val="auto"/>
              </w:rPr>
              <w:t>Industry Background</w:t>
            </w:r>
            <w:r>
              <w:rPr>
                <w:rFonts w:ascii="Arial" w:cs="Arial" w:eastAsia="Arial" w:hAnsi="Arial"/>
                <w:sz w:val="23"/>
                <w:szCs w:val="23"/>
                <w:color w:val="auto"/>
                <w:vertAlign w:val="superscript"/>
              </w:rPr>
              <w:t>(2)</w:t>
            </w:r>
          </w:p>
        </w:tc>
        <w:tc>
          <w:tcPr>
            <w:tcW w:w="1140" w:type="dxa"/>
            <w:vAlign w:val="bottom"/>
          </w:tcPr>
          <w:p>
            <w:pPr>
              <w:jc w:val="center"/>
              <w:ind w:left="81"/>
              <w:spacing w:after="0"/>
              <w:rPr>
                <w:sz w:val="20"/>
                <w:szCs w:val="20"/>
                <w:color w:val="auto"/>
              </w:rPr>
            </w:pPr>
            <w:r>
              <w:rPr>
                <w:rFonts w:ascii="Arial" w:cs="Arial" w:eastAsia="Arial" w:hAnsi="Arial"/>
                <w:sz w:val="16"/>
                <w:szCs w:val="16"/>
                <w:color w:val="E52823"/>
              </w:rPr>
              <w:t>●</w:t>
            </w:r>
          </w:p>
        </w:tc>
        <w:tc>
          <w:tcPr>
            <w:tcW w:w="9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E52823"/>
              </w:rPr>
              <w:t>●</w:t>
            </w:r>
          </w:p>
        </w:tc>
        <w:tc>
          <w:tcPr>
            <w:tcW w:w="9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E52823"/>
              </w:rPr>
              <w:t>●</w:t>
            </w:r>
          </w:p>
        </w:tc>
        <w:tc>
          <w:tcPr>
            <w:tcW w:w="1020" w:type="dxa"/>
            <w:vAlign w:val="bottom"/>
          </w:tcPr>
          <w:p>
            <w:pPr>
              <w:jc w:val="center"/>
              <w:spacing w:after="0"/>
              <w:rPr>
                <w:sz w:val="20"/>
                <w:szCs w:val="20"/>
                <w:color w:val="auto"/>
              </w:rPr>
            </w:pPr>
            <w:r>
              <w:rPr>
                <w:rFonts w:ascii="Arial" w:cs="Arial" w:eastAsia="Arial" w:hAnsi="Arial"/>
                <w:sz w:val="16"/>
                <w:szCs w:val="16"/>
                <w:color w:val="E52823"/>
              </w:rPr>
              <w:t>●</w:t>
            </w:r>
          </w:p>
        </w:tc>
        <w:tc>
          <w:tcPr>
            <w:tcW w:w="780" w:type="dxa"/>
            <w:vAlign w:val="bottom"/>
          </w:tcPr>
          <w:p>
            <w:pPr>
              <w:jc w:val="center"/>
              <w:spacing w:after="0"/>
              <w:rPr>
                <w:sz w:val="20"/>
                <w:szCs w:val="20"/>
                <w:color w:val="auto"/>
              </w:rPr>
            </w:pPr>
            <w:r>
              <w:rPr>
                <w:rFonts w:ascii="Arial" w:cs="Arial" w:eastAsia="Arial" w:hAnsi="Arial"/>
                <w:sz w:val="16"/>
                <w:szCs w:val="16"/>
                <w:color w:val="E52823"/>
                <w:w w:val="82"/>
              </w:rPr>
              <w:t>●</w:t>
            </w:r>
          </w:p>
        </w:tc>
        <w:tc>
          <w:tcPr>
            <w:tcW w:w="620" w:type="dxa"/>
            <w:vAlign w:val="bottom"/>
          </w:tcPr>
          <w:p>
            <w:pPr>
              <w:jc w:val="center"/>
              <w:ind w:left="41"/>
              <w:spacing w:after="0"/>
              <w:rPr>
                <w:sz w:val="20"/>
                <w:szCs w:val="20"/>
                <w:color w:val="auto"/>
              </w:rPr>
            </w:pPr>
            <w:r>
              <w:rPr>
                <w:rFonts w:ascii="Arial" w:cs="Arial" w:eastAsia="Arial" w:hAnsi="Arial"/>
                <w:sz w:val="16"/>
                <w:szCs w:val="16"/>
                <w:color w:val="E52823"/>
              </w:rPr>
              <w:t>●</w:t>
            </w:r>
          </w:p>
        </w:tc>
        <w:tc>
          <w:tcPr>
            <w:tcW w:w="0" w:type="dxa"/>
            <w:vAlign w:val="bottom"/>
          </w:tcPr>
          <w:p>
            <w:pPr>
              <w:spacing w:after="0"/>
              <w:rPr>
                <w:sz w:val="1"/>
                <w:szCs w:val="1"/>
                <w:color w:val="auto"/>
              </w:rPr>
            </w:pPr>
          </w:p>
        </w:tc>
      </w:tr>
      <w:tr>
        <w:trPr>
          <w:trHeight w:val="203"/>
        </w:trPr>
        <w:tc>
          <w:tcPr>
            <w:tcW w:w="3620" w:type="dxa"/>
            <w:vAlign w:val="bottom"/>
            <w:shd w:val="clear" w:color="auto" w:fill="EDEDED"/>
          </w:tcPr>
          <w:p>
            <w:pPr>
              <w:ind w:left="60"/>
              <w:spacing w:after="0" w:line="202" w:lineRule="exact"/>
              <w:rPr>
                <w:sz w:val="20"/>
                <w:szCs w:val="20"/>
                <w:color w:val="auto"/>
              </w:rPr>
            </w:pPr>
            <w:r>
              <w:rPr>
                <w:rFonts w:ascii="Arial" w:cs="Arial" w:eastAsia="Arial" w:hAnsi="Arial"/>
                <w:sz w:val="14"/>
                <w:szCs w:val="14"/>
                <w:color w:val="auto"/>
              </w:rPr>
              <w:t>Technology, Innovation and Security</w:t>
            </w:r>
            <w:r>
              <w:rPr>
                <w:rFonts w:ascii="Arial" w:cs="Arial" w:eastAsia="Arial" w:hAnsi="Arial"/>
                <w:sz w:val="23"/>
                <w:szCs w:val="23"/>
                <w:color w:val="auto"/>
                <w:vertAlign w:val="superscript"/>
              </w:rPr>
              <w:t>(3)</w:t>
            </w:r>
          </w:p>
        </w:tc>
        <w:tc>
          <w:tcPr>
            <w:tcW w:w="1140" w:type="dxa"/>
            <w:vAlign w:val="bottom"/>
            <w:shd w:val="clear" w:color="auto" w:fill="EDEDED"/>
          </w:tcPr>
          <w:p>
            <w:pPr>
              <w:jc w:val="center"/>
              <w:ind w:left="81"/>
              <w:spacing w:after="0"/>
              <w:rPr>
                <w:sz w:val="20"/>
                <w:szCs w:val="20"/>
                <w:color w:val="auto"/>
              </w:rPr>
            </w:pPr>
            <w:r>
              <w:rPr>
                <w:rFonts w:ascii="Arial" w:cs="Arial" w:eastAsia="Arial" w:hAnsi="Arial"/>
                <w:sz w:val="16"/>
                <w:szCs w:val="16"/>
                <w:color w:val="E52823"/>
              </w:rPr>
              <w:t>●</w:t>
            </w:r>
          </w:p>
        </w:tc>
        <w:tc>
          <w:tcPr>
            <w:tcW w:w="920" w:type="dxa"/>
            <w:vAlign w:val="bottom"/>
            <w:shd w:val="clear" w:color="auto" w:fill="EDEDED"/>
          </w:tcPr>
          <w:p>
            <w:pPr>
              <w:spacing w:after="0"/>
              <w:rPr>
                <w:sz w:val="17"/>
                <w:szCs w:val="17"/>
                <w:color w:val="auto"/>
              </w:rPr>
            </w:pPr>
          </w:p>
        </w:tc>
        <w:tc>
          <w:tcPr>
            <w:tcW w:w="1140" w:type="dxa"/>
            <w:vAlign w:val="bottom"/>
            <w:shd w:val="clear" w:color="auto" w:fill="EDEDED"/>
          </w:tcPr>
          <w:p>
            <w:pPr>
              <w:spacing w:after="0"/>
              <w:rPr>
                <w:sz w:val="17"/>
                <w:szCs w:val="17"/>
                <w:color w:val="auto"/>
              </w:rPr>
            </w:pPr>
          </w:p>
        </w:tc>
        <w:tc>
          <w:tcPr>
            <w:tcW w:w="940" w:type="dxa"/>
            <w:vAlign w:val="bottom"/>
            <w:shd w:val="clear" w:color="auto" w:fill="EDEDED"/>
          </w:tcPr>
          <w:p>
            <w:pPr>
              <w:spacing w:after="0"/>
              <w:rPr>
                <w:sz w:val="17"/>
                <w:szCs w:val="17"/>
                <w:color w:val="auto"/>
              </w:rPr>
            </w:pPr>
          </w:p>
        </w:tc>
        <w:tc>
          <w:tcPr>
            <w:tcW w:w="840" w:type="dxa"/>
            <w:vAlign w:val="bottom"/>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1020" w:type="dxa"/>
            <w:vAlign w:val="bottom"/>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780" w:type="dxa"/>
            <w:vAlign w:val="bottom"/>
            <w:shd w:val="clear" w:color="auto" w:fill="EDEDED"/>
          </w:tcPr>
          <w:p>
            <w:pPr>
              <w:jc w:val="center"/>
              <w:spacing w:after="0"/>
              <w:rPr>
                <w:sz w:val="20"/>
                <w:szCs w:val="20"/>
                <w:color w:val="auto"/>
              </w:rPr>
            </w:pPr>
            <w:r>
              <w:rPr>
                <w:rFonts w:ascii="Arial" w:cs="Arial" w:eastAsia="Arial" w:hAnsi="Arial"/>
                <w:sz w:val="16"/>
                <w:szCs w:val="16"/>
                <w:color w:val="E52823"/>
                <w:w w:val="82"/>
              </w:rPr>
              <w:t>●</w:t>
            </w:r>
          </w:p>
        </w:tc>
        <w:tc>
          <w:tcPr>
            <w:tcW w:w="620" w:type="dxa"/>
            <w:vAlign w:val="bottom"/>
            <w:shd w:val="clear" w:color="auto" w:fill="EDEDED"/>
          </w:tcPr>
          <w:p>
            <w:pPr>
              <w:jc w:val="center"/>
              <w:ind w:left="41"/>
              <w:spacing w:after="0"/>
              <w:rPr>
                <w:sz w:val="20"/>
                <w:szCs w:val="20"/>
                <w:color w:val="auto"/>
              </w:rPr>
            </w:pPr>
            <w:r>
              <w:rPr>
                <w:rFonts w:ascii="Arial" w:cs="Arial" w:eastAsia="Arial" w:hAnsi="Arial"/>
                <w:sz w:val="16"/>
                <w:szCs w:val="16"/>
                <w:color w:val="E52823"/>
              </w:rPr>
              <w:t>●</w:t>
            </w:r>
          </w:p>
        </w:tc>
        <w:tc>
          <w:tcPr>
            <w:tcW w:w="0" w:type="dxa"/>
            <w:vAlign w:val="bottom"/>
          </w:tcPr>
          <w:p>
            <w:pPr>
              <w:spacing w:after="0"/>
              <w:rPr>
                <w:sz w:val="1"/>
                <w:szCs w:val="1"/>
                <w:color w:val="auto"/>
              </w:rPr>
            </w:pPr>
          </w:p>
        </w:tc>
      </w:tr>
      <w:tr>
        <w:trPr>
          <w:trHeight w:val="203"/>
        </w:trPr>
        <w:tc>
          <w:tcPr>
            <w:tcW w:w="3620" w:type="dxa"/>
            <w:vAlign w:val="bottom"/>
          </w:tcPr>
          <w:p>
            <w:pPr>
              <w:ind w:left="60"/>
              <w:spacing w:after="0" w:line="202" w:lineRule="exact"/>
              <w:rPr>
                <w:sz w:val="20"/>
                <w:szCs w:val="20"/>
                <w:color w:val="auto"/>
              </w:rPr>
            </w:pPr>
            <w:r>
              <w:rPr>
                <w:rFonts w:ascii="Arial" w:cs="Arial" w:eastAsia="Arial" w:hAnsi="Arial"/>
                <w:sz w:val="14"/>
                <w:szCs w:val="14"/>
                <w:color w:val="auto"/>
              </w:rPr>
              <w:t>Global Business</w:t>
            </w:r>
            <w:r>
              <w:rPr>
                <w:rFonts w:ascii="Arial" w:cs="Arial" w:eastAsia="Arial" w:hAnsi="Arial"/>
                <w:sz w:val="23"/>
                <w:szCs w:val="23"/>
                <w:color w:val="auto"/>
                <w:vertAlign w:val="superscript"/>
              </w:rPr>
              <w:t>(4)</w:t>
            </w:r>
          </w:p>
        </w:tc>
        <w:tc>
          <w:tcPr>
            <w:tcW w:w="1140" w:type="dxa"/>
            <w:vAlign w:val="bottom"/>
          </w:tcPr>
          <w:p>
            <w:pPr>
              <w:jc w:val="center"/>
              <w:ind w:left="81"/>
              <w:spacing w:after="0"/>
              <w:rPr>
                <w:sz w:val="20"/>
                <w:szCs w:val="20"/>
                <w:color w:val="auto"/>
              </w:rPr>
            </w:pPr>
            <w:r>
              <w:rPr>
                <w:rFonts w:ascii="Arial" w:cs="Arial" w:eastAsia="Arial" w:hAnsi="Arial"/>
                <w:sz w:val="16"/>
                <w:szCs w:val="16"/>
                <w:color w:val="E52823"/>
              </w:rPr>
              <w:t>●</w:t>
            </w:r>
          </w:p>
        </w:tc>
        <w:tc>
          <w:tcPr>
            <w:tcW w:w="9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E52823"/>
              </w:rPr>
              <w:t>●</w:t>
            </w:r>
          </w:p>
        </w:tc>
        <w:tc>
          <w:tcPr>
            <w:tcW w:w="940" w:type="dxa"/>
            <w:vAlign w:val="bottom"/>
          </w:tcPr>
          <w:p>
            <w:pPr>
              <w:jc w:val="center"/>
              <w:spacing w:after="0"/>
              <w:rPr>
                <w:sz w:val="20"/>
                <w:szCs w:val="20"/>
                <w:color w:val="auto"/>
              </w:rPr>
            </w:pPr>
            <w:r>
              <w:rPr>
                <w:rFonts w:ascii="Arial" w:cs="Arial" w:eastAsia="Arial" w:hAnsi="Arial"/>
                <w:sz w:val="16"/>
                <w:szCs w:val="16"/>
                <w:color w:val="E52823"/>
              </w:rPr>
              <w:t>●</w:t>
            </w:r>
          </w:p>
        </w:tc>
        <w:tc>
          <w:tcPr>
            <w:tcW w:w="840" w:type="dxa"/>
            <w:vAlign w:val="bottom"/>
          </w:tcPr>
          <w:p>
            <w:pPr>
              <w:jc w:val="center"/>
              <w:spacing w:after="0"/>
              <w:rPr>
                <w:sz w:val="20"/>
                <w:szCs w:val="20"/>
                <w:color w:val="auto"/>
              </w:rPr>
            </w:pPr>
            <w:r>
              <w:rPr>
                <w:rFonts w:ascii="Arial" w:cs="Arial" w:eastAsia="Arial" w:hAnsi="Arial"/>
                <w:sz w:val="16"/>
                <w:szCs w:val="16"/>
                <w:color w:val="E52823"/>
              </w:rPr>
              <w:t>●</w:t>
            </w:r>
          </w:p>
        </w:tc>
        <w:tc>
          <w:tcPr>
            <w:tcW w:w="1020" w:type="dxa"/>
            <w:vAlign w:val="bottom"/>
          </w:tcPr>
          <w:p>
            <w:pPr>
              <w:jc w:val="center"/>
              <w:spacing w:after="0"/>
              <w:rPr>
                <w:sz w:val="20"/>
                <w:szCs w:val="20"/>
                <w:color w:val="auto"/>
              </w:rPr>
            </w:pPr>
            <w:r>
              <w:rPr>
                <w:rFonts w:ascii="Arial" w:cs="Arial" w:eastAsia="Arial" w:hAnsi="Arial"/>
                <w:sz w:val="16"/>
                <w:szCs w:val="16"/>
                <w:color w:val="E52823"/>
              </w:rPr>
              <w:t>●</w:t>
            </w:r>
          </w:p>
        </w:tc>
        <w:tc>
          <w:tcPr>
            <w:tcW w:w="780" w:type="dxa"/>
            <w:vAlign w:val="bottom"/>
          </w:tcPr>
          <w:p>
            <w:pPr>
              <w:jc w:val="center"/>
              <w:spacing w:after="0"/>
              <w:rPr>
                <w:sz w:val="20"/>
                <w:szCs w:val="20"/>
                <w:color w:val="auto"/>
              </w:rPr>
            </w:pPr>
            <w:r>
              <w:rPr>
                <w:rFonts w:ascii="Arial" w:cs="Arial" w:eastAsia="Arial" w:hAnsi="Arial"/>
                <w:sz w:val="16"/>
                <w:szCs w:val="16"/>
                <w:color w:val="E52823"/>
                <w:w w:val="82"/>
              </w:rPr>
              <w:t>●</w:t>
            </w:r>
          </w:p>
        </w:tc>
        <w:tc>
          <w:tcPr>
            <w:tcW w:w="620" w:type="dxa"/>
            <w:vAlign w:val="bottom"/>
          </w:tcPr>
          <w:p>
            <w:pPr>
              <w:jc w:val="center"/>
              <w:ind w:left="41"/>
              <w:spacing w:after="0"/>
              <w:rPr>
                <w:sz w:val="20"/>
                <w:szCs w:val="20"/>
                <w:color w:val="auto"/>
              </w:rPr>
            </w:pPr>
            <w:r>
              <w:rPr>
                <w:rFonts w:ascii="Arial" w:cs="Arial" w:eastAsia="Arial" w:hAnsi="Arial"/>
                <w:sz w:val="16"/>
                <w:szCs w:val="16"/>
                <w:color w:val="E52823"/>
              </w:rPr>
              <w:t>●</w:t>
            </w:r>
          </w:p>
        </w:tc>
        <w:tc>
          <w:tcPr>
            <w:tcW w:w="0" w:type="dxa"/>
            <w:vAlign w:val="bottom"/>
          </w:tcPr>
          <w:p>
            <w:pPr>
              <w:spacing w:after="0"/>
              <w:rPr>
                <w:sz w:val="1"/>
                <w:szCs w:val="1"/>
                <w:color w:val="auto"/>
              </w:rPr>
            </w:pPr>
          </w:p>
        </w:tc>
      </w:tr>
      <w:tr>
        <w:trPr>
          <w:trHeight w:val="186"/>
        </w:trPr>
        <w:tc>
          <w:tcPr>
            <w:tcW w:w="3620" w:type="dxa"/>
            <w:vAlign w:val="bottom"/>
            <w:shd w:val="clear" w:color="auto" w:fill="EDEDED"/>
          </w:tcPr>
          <w:p>
            <w:pPr>
              <w:ind w:left="60"/>
              <w:spacing w:after="0"/>
              <w:rPr>
                <w:sz w:val="20"/>
                <w:szCs w:val="20"/>
                <w:color w:val="auto"/>
              </w:rPr>
            </w:pPr>
            <w:r>
              <w:rPr>
                <w:rFonts w:ascii="Arial" w:cs="Arial" w:eastAsia="Arial" w:hAnsi="Arial"/>
                <w:sz w:val="16"/>
                <w:szCs w:val="16"/>
                <w:color w:val="auto"/>
              </w:rPr>
              <w:t>Public Company Governance and Risk</w:t>
            </w:r>
          </w:p>
        </w:tc>
        <w:tc>
          <w:tcPr>
            <w:tcW w:w="1140" w:type="dxa"/>
            <w:vAlign w:val="bottom"/>
            <w:vMerge w:val="restart"/>
            <w:shd w:val="clear" w:color="auto" w:fill="EDEDED"/>
          </w:tcPr>
          <w:p>
            <w:pPr>
              <w:jc w:val="center"/>
              <w:ind w:left="81"/>
              <w:spacing w:after="0"/>
              <w:rPr>
                <w:sz w:val="20"/>
                <w:szCs w:val="20"/>
                <w:color w:val="auto"/>
              </w:rPr>
            </w:pPr>
            <w:r>
              <w:rPr>
                <w:rFonts w:ascii="Arial" w:cs="Arial" w:eastAsia="Arial" w:hAnsi="Arial"/>
                <w:sz w:val="16"/>
                <w:szCs w:val="16"/>
                <w:color w:val="E52823"/>
              </w:rPr>
              <w:t>●</w:t>
            </w:r>
          </w:p>
        </w:tc>
        <w:tc>
          <w:tcPr>
            <w:tcW w:w="92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E52823"/>
                <w:w w:val="82"/>
              </w:rPr>
              <w:t>●</w:t>
            </w:r>
          </w:p>
        </w:tc>
        <w:tc>
          <w:tcPr>
            <w:tcW w:w="1140" w:type="dxa"/>
            <w:vAlign w:val="bottom"/>
            <w:shd w:val="clear" w:color="auto" w:fill="EDEDED"/>
          </w:tcPr>
          <w:p>
            <w:pPr>
              <w:spacing w:after="0"/>
              <w:rPr>
                <w:sz w:val="16"/>
                <w:szCs w:val="16"/>
                <w:color w:val="auto"/>
              </w:rPr>
            </w:pPr>
          </w:p>
        </w:tc>
        <w:tc>
          <w:tcPr>
            <w:tcW w:w="94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84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102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780" w:type="dxa"/>
            <w:vAlign w:val="bottom"/>
            <w:vMerge w:val="restart"/>
            <w:shd w:val="clear" w:color="auto" w:fill="EDEDED"/>
          </w:tcPr>
          <w:p>
            <w:pPr>
              <w:jc w:val="center"/>
              <w:spacing w:after="0"/>
              <w:rPr>
                <w:sz w:val="20"/>
                <w:szCs w:val="20"/>
                <w:color w:val="auto"/>
              </w:rPr>
            </w:pPr>
            <w:r>
              <w:rPr>
                <w:rFonts w:ascii="Arial" w:cs="Arial" w:eastAsia="Arial" w:hAnsi="Arial"/>
                <w:sz w:val="16"/>
                <w:szCs w:val="16"/>
                <w:color w:val="E52823"/>
                <w:w w:val="82"/>
              </w:rPr>
              <w:t>●</w:t>
            </w:r>
          </w:p>
        </w:tc>
        <w:tc>
          <w:tcPr>
            <w:tcW w:w="620" w:type="dxa"/>
            <w:vAlign w:val="bottom"/>
            <w:vMerge w:val="restart"/>
            <w:shd w:val="clear" w:color="auto" w:fill="EDEDED"/>
          </w:tcPr>
          <w:p>
            <w:pPr>
              <w:jc w:val="center"/>
              <w:ind w:left="41"/>
              <w:spacing w:after="0"/>
              <w:rPr>
                <w:sz w:val="20"/>
                <w:szCs w:val="20"/>
                <w:color w:val="auto"/>
              </w:rPr>
            </w:pPr>
            <w:r>
              <w:rPr>
                <w:rFonts w:ascii="Arial" w:cs="Arial" w:eastAsia="Arial" w:hAnsi="Arial"/>
                <w:sz w:val="16"/>
                <w:szCs w:val="16"/>
                <w:color w:val="E52823"/>
              </w:rPr>
              <w:t>●</w:t>
            </w:r>
          </w:p>
        </w:tc>
        <w:tc>
          <w:tcPr>
            <w:tcW w:w="0" w:type="dxa"/>
            <w:vAlign w:val="bottom"/>
          </w:tcPr>
          <w:p>
            <w:pPr>
              <w:spacing w:after="0"/>
              <w:rPr>
                <w:sz w:val="1"/>
                <w:szCs w:val="1"/>
                <w:color w:val="auto"/>
              </w:rPr>
            </w:pPr>
          </w:p>
        </w:tc>
      </w:tr>
      <w:tr>
        <w:trPr>
          <w:trHeight w:val="92"/>
        </w:trPr>
        <w:tc>
          <w:tcPr>
            <w:tcW w:w="3620" w:type="dxa"/>
            <w:vAlign w:val="bottom"/>
            <w:vMerge w:val="restart"/>
            <w:shd w:val="clear" w:color="auto" w:fill="EDEDED"/>
          </w:tcPr>
          <w:p>
            <w:pPr>
              <w:ind w:left="60"/>
              <w:spacing w:after="0" w:line="192" w:lineRule="exact"/>
              <w:rPr>
                <w:sz w:val="20"/>
                <w:szCs w:val="20"/>
                <w:color w:val="auto"/>
              </w:rPr>
            </w:pPr>
            <w:r>
              <w:rPr>
                <w:rFonts w:ascii="Arial" w:cs="Arial" w:eastAsia="Arial" w:hAnsi="Arial"/>
                <w:sz w:val="14"/>
                <w:szCs w:val="14"/>
                <w:color w:val="auto"/>
              </w:rPr>
              <w:t>Management</w:t>
            </w:r>
            <w:r>
              <w:rPr>
                <w:rFonts w:ascii="Arial" w:cs="Arial" w:eastAsia="Arial" w:hAnsi="Arial"/>
                <w:sz w:val="22"/>
                <w:szCs w:val="22"/>
                <w:color w:val="auto"/>
                <w:vertAlign w:val="superscript"/>
              </w:rPr>
              <w:t>(5)</w:t>
            </w:r>
          </w:p>
        </w:tc>
        <w:tc>
          <w:tcPr>
            <w:tcW w:w="1140" w:type="dxa"/>
            <w:vAlign w:val="bottom"/>
            <w:vMerge w:val="continue"/>
            <w:shd w:val="clear" w:color="auto" w:fill="EDEDED"/>
          </w:tcPr>
          <w:p>
            <w:pPr>
              <w:spacing w:after="0"/>
              <w:rPr>
                <w:sz w:val="7"/>
                <w:szCs w:val="7"/>
                <w:color w:val="auto"/>
              </w:rPr>
            </w:pPr>
          </w:p>
        </w:tc>
        <w:tc>
          <w:tcPr>
            <w:tcW w:w="920" w:type="dxa"/>
            <w:vAlign w:val="bottom"/>
            <w:vMerge w:val="continue"/>
            <w:shd w:val="clear" w:color="auto" w:fill="EDEDED"/>
          </w:tcPr>
          <w:p>
            <w:pPr>
              <w:spacing w:after="0"/>
              <w:rPr>
                <w:sz w:val="7"/>
                <w:szCs w:val="7"/>
                <w:color w:val="auto"/>
              </w:rPr>
            </w:pPr>
          </w:p>
        </w:tc>
        <w:tc>
          <w:tcPr>
            <w:tcW w:w="1140" w:type="dxa"/>
            <w:vAlign w:val="bottom"/>
            <w:shd w:val="clear" w:color="auto" w:fill="EDEDED"/>
          </w:tcPr>
          <w:p>
            <w:pPr>
              <w:spacing w:after="0"/>
              <w:rPr>
                <w:sz w:val="7"/>
                <w:szCs w:val="7"/>
                <w:color w:val="auto"/>
              </w:rPr>
            </w:pPr>
          </w:p>
        </w:tc>
        <w:tc>
          <w:tcPr>
            <w:tcW w:w="940" w:type="dxa"/>
            <w:vAlign w:val="bottom"/>
            <w:vMerge w:val="continue"/>
            <w:shd w:val="clear" w:color="auto" w:fill="EDEDED"/>
          </w:tcPr>
          <w:p>
            <w:pPr>
              <w:spacing w:after="0"/>
              <w:rPr>
                <w:sz w:val="7"/>
                <w:szCs w:val="7"/>
                <w:color w:val="auto"/>
              </w:rPr>
            </w:pPr>
          </w:p>
        </w:tc>
        <w:tc>
          <w:tcPr>
            <w:tcW w:w="840" w:type="dxa"/>
            <w:vAlign w:val="bottom"/>
            <w:vMerge w:val="continue"/>
            <w:shd w:val="clear" w:color="auto" w:fill="EDEDED"/>
          </w:tcPr>
          <w:p>
            <w:pPr>
              <w:spacing w:after="0"/>
              <w:rPr>
                <w:sz w:val="7"/>
                <w:szCs w:val="7"/>
                <w:color w:val="auto"/>
              </w:rPr>
            </w:pPr>
          </w:p>
        </w:tc>
        <w:tc>
          <w:tcPr>
            <w:tcW w:w="1020" w:type="dxa"/>
            <w:vAlign w:val="bottom"/>
            <w:vMerge w:val="continue"/>
            <w:shd w:val="clear" w:color="auto" w:fill="EDEDED"/>
          </w:tcPr>
          <w:p>
            <w:pPr>
              <w:spacing w:after="0"/>
              <w:rPr>
                <w:sz w:val="7"/>
                <w:szCs w:val="7"/>
                <w:color w:val="auto"/>
              </w:rPr>
            </w:pPr>
          </w:p>
        </w:tc>
        <w:tc>
          <w:tcPr>
            <w:tcW w:w="780" w:type="dxa"/>
            <w:vAlign w:val="bottom"/>
            <w:vMerge w:val="continue"/>
            <w:shd w:val="clear" w:color="auto" w:fill="EDEDED"/>
          </w:tcPr>
          <w:p>
            <w:pPr>
              <w:spacing w:after="0"/>
              <w:rPr>
                <w:sz w:val="7"/>
                <w:szCs w:val="7"/>
                <w:color w:val="auto"/>
              </w:rPr>
            </w:pPr>
          </w:p>
        </w:tc>
        <w:tc>
          <w:tcPr>
            <w:tcW w:w="620" w:type="dxa"/>
            <w:vAlign w:val="bottom"/>
            <w:vMerge w:val="continue"/>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3620" w:type="dxa"/>
            <w:vAlign w:val="bottom"/>
            <w:vMerge w:val="continue"/>
            <w:shd w:val="clear" w:color="auto" w:fill="EDEDED"/>
          </w:tcPr>
          <w:p>
            <w:pPr>
              <w:spacing w:after="0"/>
              <w:rPr>
                <w:sz w:val="8"/>
                <w:szCs w:val="8"/>
                <w:color w:val="auto"/>
              </w:rPr>
            </w:pPr>
          </w:p>
        </w:tc>
        <w:tc>
          <w:tcPr>
            <w:tcW w:w="1140" w:type="dxa"/>
            <w:vAlign w:val="bottom"/>
            <w:shd w:val="clear" w:color="auto" w:fill="EDEDED"/>
          </w:tcPr>
          <w:p>
            <w:pPr>
              <w:spacing w:after="0"/>
              <w:rPr>
                <w:sz w:val="8"/>
                <w:szCs w:val="8"/>
                <w:color w:val="auto"/>
              </w:rPr>
            </w:pPr>
          </w:p>
        </w:tc>
        <w:tc>
          <w:tcPr>
            <w:tcW w:w="920" w:type="dxa"/>
            <w:vAlign w:val="bottom"/>
            <w:shd w:val="clear" w:color="auto" w:fill="EDEDED"/>
          </w:tcPr>
          <w:p>
            <w:pPr>
              <w:spacing w:after="0"/>
              <w:rPr>
                <w:sz w:val="8"/>
                <w:szCs w:val="8"/>
                <w:color w:val="auto"/>
              </w:rPr>
            </w:pPr>
          </w:p>
        </w:tc>
        <w:tc>
          <w:tcPr>
            <w:tcW w:w="1140" w:type="dxa"/>
            <w:vAlign w:val="bottom"/>
            <w:shd w:val="clear" w:color="auto" w:fill="EDEDED"/>
          </w:tcPr>
          <w:p>
            <w:pPr>
              <w:spacing w:after="0"/>
              <w:rPr>
                <w:sz w:val="8"/>
                <w:szCs w:val="8"/>
                <w:color w:val="auto"/>
              </w:rPr>
            </w:pPr>
          </w:p>
        </w:tc>
        <w:tc>
          <w:tcPr>
            <w:tcW w:w="940" w:type="dxa"/>
            <w:vAlign w:val="bottom"/>
            <w:shd w:val="clear" w:color="auto" w:fill="EDEDED"/>
          </w:tcPr>
          <w:p>
            <w:pPr>
              <w:spacing w:after="0"/>
              <w:rPr>
                <w:sz w:val="8"/>
                <w:szCs w:val="8"/>
                <w:color w:val="auto"/>
              </w:rPr>
            </w:pPr>
          </w:p>
        </w:tc>
        <w:tc>
          <w:tcPr>
            <w:tcW w:w="84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780" w:type="dxa"/>
            <w:vAlign w:val="bottom"/>
            <w:shd w:val="clear" w:color="auto" w:fill="EDEDED"/>
          </w:tcPr>
          <w:p>
            <w:pPr>
              <w:spacing w:after="0"/>
              <w:rPr>
                <w:sz w:val="8"/>
                <w:szCs w:val="8"/>
                <w:color w:val="auto"/>
              </w:rPr>
            </w:pPr>
          </w:p>
        </w:tc>
        <w:tc>
          <w:tcPr>
            <w:tcW w:w="62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20" w:type="dxa"/>
            <w:vAlign w:val="bottom"/>
          </w:tcPr>
          <w:p>
            <w:pPr>
              <w:ind w:left="60"/>
              <w:spacing w:after="0" w:line="202" w:lineRule="exact"/>
              <w:rPr>
                <w:sz w:val="20"/>
                <w:szCs w:val="20"/>
                <w:color w:val="auto"/>
              </w:rPr>
            </w:pPr>
            <w:r>
              <w:rPr>
                <w:rFonts w:ascii="Arial" w:cs="Arial" w:eastAsia="Arial" w:hAnsi="Arial"/>
                <w:sz w:val="14"/>
                <w:szCs w:val="14"/>
                <w:color w:val="auto"/>
              </w:rPr>
              <w:t>Current or Former Public Company Executive</w:t>
            </w:r>
            <w:r>
              <w:rPr>
                <w:rFonts w:ascii="Arial" w:cs="Arial" w:eastAsia="Arial" w:hAnsi="Arial"/>
                <w:sz w:val="23"/>
                <w:szCs w:val="23"/>
                <w:color w:val="auto"/>
                <w:vertAlign w:val="superscript"/>
              </w:rPr>
              <w:t>(6)</w:t>
            </w:r>
          </w:p>
        </w:tc>
        <w:tc>
          <w:tcPr>
            <w:tcW w:w="1140" w:type="dxa"/>
            <w:vAlign w:val="bottom"/>
          </w:tcPr>
          <w:p>
            <w:pPr>
              <w:jc w:val="center"/>
              <w:ind w:left="81"/>
              <w:spacing w:after="0"/>
              <w:rPr>
                <w:sz w:val="20"/>
                <w:szCs w:val="20"/>
                <w:color w:val="auto"/>
              </w:rPr>
            </w:pPr>
            <w:r>
              <w:rPr>
                <w:rFonts w:ascii="Arial" w:cs="Arial" w:eastAsia="Arial" w:hAnsi="Arial"/>
                <w:sz w:val="16"/>
                <w:szCs w:val="16"/>
                <w:color w:val="E52823"/>
              </w:rPr>
              <w:t>●</w:t>
            </w: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E52823"/>
              </w:rPr>
              <w:t>●</w:t>
            </w:r>
          </w:p>
        </w:tc>
        <w:tc>
          <w:tcPr>
            <w:tcW w:w="840" w:type="dxa"/>
            <w:vAlign w:val="bottom"/>
          </w:tcPr>
          <w:p>
            <w:pPr>
              <w:jc w:val="center"/>
              <w:spacing w:after="0"/>
              <w:rPr>
                <w:sz w:val="20"/>
                <w:szCs w:val="20"/>
                <w:color w:val="auto"/>
              </w:rPr>
            </w:pPr>
            <w:r>
              <w:rPr>
                <w:rFonts w:ascii="Arial" w:cs="Arial" w:eastAsia="Arial" w:hAnsi="Arial"/>
                <w:sz w:val="16"/>
                <w:szCs w:val="16"/>
                <w:color w:val="E52823"/>
              </w:rPr>
              <w:t>●</w:t>
            </w:r>
          </w:p>
        </w:tc>
        <w:tc>
          <w:tcPr>
            <w:tcW w:w="1020" w:type="dxa"/>
            <w:vAlign w:val="bottom"/>
          </w:tcPr>
          <w:p>
            <w:pPr>
              <w:jc w:val="center"/>
              <w:spacing w:after="0"/>
              <w:rPr>
                <w:sz w:val="20"/>
                <w:szCs w:val="20"/>
                <w:color w:val="auto"/>
              </w:rPr>
            </w:pPr>
            <w:r>
              <w:rPr>
                <w:rFonts w:ascii="Arial" w:cs="Arial" w:eastAsia="Arial" w:hAnsi="Arial"/>
                <w:sz w:val="16"/>
                <w:szCs w:val="16"/>
                <w:color w:val="E52823"/>
              </w:rPr>
              <w:t>●</w:t>
            </w:r>
          </w:p>
        </w:tc>
        <w:tc>
          <w:tcPr>
            <w:tcW w:w="780" w:type="dxa"/>
            <w:vAlign w:val="bottom"/>
          </w:tcPr>
          <w:p>
            <w:pPr>
              <w:spacing w:after="0"/>
              <w:rPr>
                <w:sz w:val="17"/>
                <w:szCs w:val="17"/>
                <w:color w:val="auto"/>
              </w:rPr>
            </w:pPr>
          </w:p>
        </w:tc>
        <w:tc>
          <w:tcPr>
            <w:tcW w:w="620" w:type="dxa"/>
            <w:vAlign w:val="bottom"/>
          </w:tcPr>
          <w:p>
            <w:pPr>
              <w:jc w:val="center"/>
              <w:ind w:left="41"/>
              <w:spacing w:after="0"/>
              <w:rPr>
                <w:sz w:val="20"/>
                <w:szCs w:val="20"/>
                <w:color w:val="auto"/>
              </w:rPr>
            </w:pPr>
            <w:r>
              <w:rPr>
                <w:rFonts w:ascii="Arial" w:cs="Arial" w:eastAsia="Arial" w:hAnsi="Arial"/>
                <w:sz w:val="16"/>
                <w:szCs w:val="16"/>
                <w:color w:val="E52823"/>
              </w:rPr>
              <w:t>●</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E52823"/>
            </w:tcBorders>
            <w:shd w:val="clear" w:color="auto" w:fill="EDEDED"/>
          </w:tcPr>
          <w:p>
            <w:pPr>
              <w:ind w:left="60"/>
              <w:spacing w:after="0" w:line="230" w:lineRule="exact"/>
              <w:rPr>
                <w:sz w:val="20"/>
                <w:szCs w:val="20"/>
                <w:color w:val="auto"/>
              </w:rPr>
            </w:pPr>
            <w:r>
              <w:rPr>
                <w:rFonts w:ascii="Arial" w:cs="Arial" w:eastAsia="Arial" w:hAnsi="Arial"/>
                <w:sz w:val="16"/>
                <w:szCs w:val="16"/>
                <w:color w:val="auto"/>
              </w:rPr>
              <w:t>Diversity</w:t>
            </w:r>
            <w:r>
              <w:rPr>
                <w:rFonts w:ascii="Arial" w:cs="Arial" w:eastAsia="Arial" w:hAnsi="Arial"/>
                <w:sz w:val="26"/>
                <w:szCs w:val="26"/>
                <w:color w:val="auto"/>
                <w:vertAlign w:val="superscript"/>
              </w:rPr>
              <w:t>(7)</w:t>
            </w:r>
          </w:p>
        </w:tc>
        <w:tc>
          <w:tcPr>
            <w:tcW w:w="1140" w:type="dxa"/>
            <w:vAlign w:val="bottom"/>
            <w:tcBorders>
              <w:bottom w:val="single" w:sz="8" w:color="E52823"/>
            </w:tcBorders>
            <w:shd w:val="clear" w:color="auto" w:fill="EDEDED"/>
          </w:tcPr>
          <w:p>
            <w:pPr>
              <w:spacing w:after="0"/>
              <w:rPr>
                <w:sz w:val="19"/>
                <w:szCs w:val="19"/>
                <w:color w:val="auto"/>
              </w:rPr>
            </w:pPr>
          </w:p>
        </w:tc>
        <w:tc>
          <w:tcPr>
            <w:tcW w:w="920" w:type="dxa"/>
            <w:vAlign w:val="bottom"/>
            <w:tcBorders>
              <w:bottom w:val="single" w:sz="8" w:color="E52823"/>
            </w:tcBorders>
            <w:shd w:val="clear" w:color="auto" w:fill="EDEDED"/>
          </w:tcPr>
          <w:p>
            <w:pPr>
              <w:jc w:val="center"/>
              <w:spacing w:after="0"/>
              <w:rPr>
                <w:sz w:val="20"/>
                <w:szCs w:val="20"/>
                <w:color w:val="auto"/>
              </w:rPr>
            </w:pPr>
            <w:r>
              <w:rPr>
                <w:rFonts w:ascii="Arial" w:cs="Arial" w:eastAsia="Arial" w:hAnsi="Arial"/>
                <w:sz w:val="16"/>
                <w:szCs w:val="16"/>
                <w:color w:val="E52823"/>
                <w:w w:val="82"/>
              </w:rPr>
              <w:t>●</w:t>
            </w:r>
          </w:p>
        </w:tc>
        <w:tc>
          <w:tcPr>
            <w:tcW w:w="1140" w:type="dxa"/>
            <w:vAlign w:val="bottom"/>
            <w:tcBorders>
              <w:bottom w:val="single" w:sz="8" w:color="E52823"/>
            </w:tcBorders>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940" w:type="dxa"/>
            <w:vAlign w:val="bottom"/>
            <w:tcBorders>
              <w:bottom w:val="single" w:sz="8" w:color="E52823"/>
            </w:tcBorders>
            <w:shd w:val="clear" w:color="auto" w:fill="EDEDED"/>
          </w:tcPr>
          <w:p>
            <w:pPr>
              <w:jc w:val="center"/>
              <w:spacing w:after="0"/>
              <w:rPr>
                <w:sz w:val="20"/>
                <w:szCs w:val="20"/>
                <w:color w:val="auto"/>
              </w:rPr>
            </w:pPr>
            <w:r>
              <w:rPr>
                <w:rFonts w:ascii="Arial" w:cs="Arial" w:eastAsia="Arial" w:hAnsi="Arial"/>
                <w:sz w:val="16"/>
                <w:szCs w:val="16"/>
                <w:color w:val="E52823"/>
              </w:rPr>
              <w:t>●</w:t>
            </w:r>
          </w:p>
        </w:tc>
        <w:tc>
          <w:tcPr>
            <w:tcW w:w="840" w:type="dxa"/>
            <w:vAlign w:val="bottom"/>
            <w:tcBorders>
              <w:bottom w:val="single" w:sz="8" w:color="E52823"/>
            </w:tcBorders>
            <w:shd w:val="clear" w:color="auto" w:fill="EDEDED"/>
          </w:tcPr>
          <w:p>
            <w:pPr>
              <w:spacing w:after="0"/>
              <w:rPr>
                <w:sz w:val="19"/>
                <w:szCs w:val="19"/>
                <w:color w:val="auto"/>
              </w:rPr>
            </w:pPr>
          </w:p>
        </w:tc>
        <w:tc>
          <w:tcPr>
            <w:tcW w:w="1020" w:type="dxa"/>
            <w:vAlign w:val="bottom"/>
            <w:tcBorders>
              <w:bottom w:val="single" w:sz="8" w:color="E52823"/>
            </w:tcBorders>
            <w:shd w:val="clear" w:color="auto" w:fill="EDEDED"/>
          </w:tcPr>
          <w:p>
            <w:pPr>
              <w:spacing w:after="0"/>
              <w:rPr>
                <w:sz w:val="19"/>
                <w:szCs w:val="19"/>
                <w:color w:val="auto"/>
              </w:rPr>
            </w:pPr>
          </w:p>
        </w:tc>
        <w:tc>
          <w:tcPr>
            <w:tcW w:w="780" w:type="dxa"/>
            <w:vAlign w:val="bottom"/>
            <w:tcBorders>
              <w:bottom w:val="single" w:sz="8" w:color="E52823"/>
            </w:tcBorders>
            <w:shd w:val="clear" w:color="auto" w:fill="EDEDED"/>
          </w:tcPr>
          <w:p>
            <w:pPr>
              <w:spacing w:after="0"/>
              <w:rPr>
                <w:sz w:val="19"/>
                <w:szCs w:val="19"/>
                <w:color w:val="auto"/>
              </w:rPr>
            </w:pPr>
          </w:p>
        </w:tc>
        <w:tc>
          <w:tcPr>
            <w:tcW w:w="620" w:type="dxa"/>
            <w:vAlign w:val="bottom"/>
            <w:tcBorders>
              <w:bottom w:val="single" w:sz="8" w:color="E52823"/>
            </w:tcBorders>
            <w:shd w:val="clear" w:color="auto" w:fill="EDEDED"/>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Understands financial, accounting and tax issues in different jurisdictions and qualifies as an Audit Committee Financial Expert</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Experience as a senior executive in the automotive industry or supply chain management across global markets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Significant experience overseeing complex technological systems, emerging technologies and/or cybersecurity functions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Experience managing businesses across multiple markets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Significant public company governance, risk management, and compliance experience, including experience serving on a board of directors of similar complexity to Garrett</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Served as a Chief Executive Officer, Chief Financial Officer or other executive officer of a public company</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Self-identifies as having diverse characteristics (race, gender, ethnicity, religion, nationality, disability, sexual orientation, or cultural background)</w:t>
      </w:r>
    </w:p>
    <w:p>
      <w:pPr>
        <w:spacing w:after="0" w:line="169"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The biographies of each of our current directors, including our Class II director nominees, are included below. Each of the biographies also highlights specific experience, qualifications, attributes and skills that led us to conclude that such person should serve as a director. We believe that, as a whole, our Board exemplifies the highest standards of personal and professional integrity and the requisite skills and characteristics, leadership traits, work ethic and independence to provide effective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Director Biographies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E52823"/>
        </w:rPr>
        <w:t>Class II director nominees to be elected at the 2020 Annual Meeting (subsequent terms to expire in 2022)</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-1557655</wp:posOffset>
            </wp:positionV>
            <wp:extent cx="2082800" cy="2117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82800" cy="2117725"/>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48</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Committee Memberships:</w:t>
      </w:r>
    </w:p>
    <w:p>
      <w:pPr>
        <w:spacing w:after="0" w:line="40" w:lineRule="exact"/>
        <w:rPr>
          <w:sz w:val="20"/>
          <w:szCs w:val="20"/>
          <w:color w:val="auto"/>
        </w:rPr>
      </w:pPr>
    </w:p>
    <w:p>
      <w:pPr>
        <w:ind w:left="420" w:hanging="120"/>
        <w:spacing w:after="0"/>
        <w:tabs>
          <w:tab w:leader="none" w:pos="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Audit Committee</w:t>
      </w:r>
    </w:p>
    <w:p>
      <w:pPr>
        <w:spacing w:after="0" w:line="30" w:lineRule="exact"/>
        <w:rPr>
          <w:rFonts w:ascii="Arial" w:cs="Arial" w:eastAsia="Arial" w:hAnsi="Arial"/>
          <w:sz w:val="15"/>
          <w:szCs w:val="15"/>
          <w:color w:val="auto"/>
        </w:rPr>
      </w:pPr>
    </w:p>
    <w:p>
      <w:pPr>
        <w:ind w:left="420" w:hanging="120"/>
        <w:spacing w:after="0"/>
        <w:tabs>
          <w:tab w:leader="none" w:pos="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b w:val="1"/>
          <w:bCs w:val="1"/>
          <w:color w:val="E52823"/>
        </w:rPr>
        <w:t>COURTNEY M. ENGHAUSER</w:t>
      </w:r>
    </w:p>
    <w:p>
      <w:pPr>
        <w:spacing w:after="0" w:line="161" w:lineRule="exact"/>
        <w:rPr>
          <w:sz w:val="20"/>
          <w:szCs w:val="20"/>
          <w:color w:val="auto"/>
        </w:rPr>
      </w:pPr>
    </w:p>
    <w:p>
      <w:pPr>
        <w:ind w:right="40"/>
        <w:spacing w:after="0" w:line="227" w:lineRule="auto"/>
        <w:rPr>
          <w:sz w:val="20"/>
          <w:szCs w:val="20"/>
          <w:color w:val="auto"/>
        </w:rPr>
      </w:pPr>
      <w:r>
        <w:rPr>
          <w:rFonts w:ascii="Arial" w:cs="Arial" w:eastAsia="Arial" w:hAnsi="Arial"/>
          <w:sz w:val="15"/>
          <w:szCs w:val="15"/>
          <w:color w:val="auto"/>
        </w:rPr>
        <w:t>Ms. Enghauser has served as a member of the Board since the Spin-Off and has served as the Chief Financial Officer of Agility Global Holdings, a private equity owned platform acquiring and operating businesses in the automotive plastics sector, since November 2019. Prior to her current role, Ms. Enghauser advised private equity firms on acquisitions and transactions in a variety of industries. From April 2013 to June 2017, she was the Chief Financial Officer of Sensus, a leading provider of smart meters, network technologies, and advanced data analytics services that was acquired by Xylem Inc. in 2016. Prior to that, Ms. Enghauser was the Chief Financial Officer of Kinetek, Inc., where she was responsible for the financial management and reporting of a global portfolio company consisting of eleven operating subsidiaries and sixteen holding companies in the electric motors and controls industries located throughout the world. Ms. Enghauser also served as Chief Financial Officer of other businesses and held a variety of other financial positions including Director of Finance, Mergers and Acquisitions and Corporate Controller. She started her career as an Auditor at PricewaterhouseCoopers. Ms. Enghauser graduated with a Bachelor of Science in Accounting from Indiana University and is a Certified Public Accountant.</w:t>
      </w:r>
    </w:p>
    <w:p>
      <w:pPr>
        <w:spacing w:after="0" w:line="107" w:lineRule="exact"/>
        <w:rPr>
          <w:sz w:val="20"/>
          <w:szCs w:val="20"/>
          <w:color w:val="auto"/>
        </w:rPr>
      </w:pPr>
    </w:p>
    <w:p>
      <w:pPr>
        <w:ind w:right="80"/>
        <w:spacing w:after="0" w:line="233" w:lineRule="auto"/>
        <w:rPr>
          <w:sz w:val="20"/>
          <w:szCs w:val="20"/>
          <w:color w:val="auto"/>
        </w:rPr>
      </w:pPr>
      <w:r>
        <w:rPr>
          <w:rFonts w:ascii="Arial" w:cs="Arial" w:eastAsia="Arial" w:hAnsi="Arial"/>
          <w:sz w:val="15"/>
          <w:szCs w:val="15"/>
          <w:color w:val="auto"/>
        </w:rPr>
        <w:t>Skills and Qualifications: We believe Ms. Enghauser is qualified to serve on our Board due to her significant experience in the technology sector and her expertise in global financial strategy. In addition, Ms. Enghauser contributes to the gender diversity of our Board. The Nominating and Governance Committee considered these factors in recommending Ms. Enghauser’s nomination.</w:t>
      </w:r>
    </w:p>
    <w:p>
      <w:pPr>
        <w:spacing w:after="0" w:line="229" w:lineRule="exact"/>
        <w:rPr>
          <w:sz w:val="20"/>
          <w:szCs w:val="20"/>
          <w:color w:val="auto"/>
        </w:rPr>
      </w:pPr>
    </w:p>
    <w:p>
      <w:pPr>
        <w:sectPr>
          <w:pgSz w:w="11900" w:h="16838" w:orient="portrait"/>
          <w:cols w:equalWidth="0" w:num="2">
            <w:col w:w="3160" w:space="380"/>
            <w:col w:w="758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-1557655</wp:posOffset>
            </wp:positionV>
            <wp:extent cx="2082800" cy="2194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82800" cy="2194560"/>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52</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Committee Memberships: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Compensation Committee (</w:t>
      </w:r>
      <w:r>
        <w:rPr>
          <w:rFonts w:ascii="Arial" w:cs="Arial" w:eastAsia="Arial" w:hAnsi="Arial"/>
          <w:sz w:val="15"/>
          <w:szCs w:val="15"/>
          <w:b w:val="1"/>
          <w:bCs w:val="1"/>
          <w:color w:val="auto"/>
        </w:rPr>
        <w:t>CHAIR</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23"/>
          <w:szCs w:val="23"/>
          <w:b w:val="1"/>
          <w:bCs w:val="1"/>
          <w:color w:val="E52823"/>
        </w:rPr>
        <w:t>CARSTEN J. REINHARDT</w:t>
      </w:r>
    </w:p>
    <w:p>
      <w:pPr>
        <w:spacing w:after="0" w:line="161"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Mr. Reinhardt has served as a member of our Board since the Spin-Off. Mr. Reinhardt has served as an independent senior advisor since October 2016. From October 2016 to February 2019, Mr. Reinhardt served as Senior Advisor for RLE International, a development and service provider to the automotive industry. From July 2012 to October 2016, Mr. Reinhardt was President and Chief Executive Officer of Voith Turbo GmbH &amp; Co. KG, a supplier of advanced powertrain technologies to the rail, commercial vehicle, marine, power generation, oil &amp; gas and mining industries. Prior to that, Mr. Reinhardt served as COO of Meritor Inc., a manufacturer of automobile components, from 2008 through 2011 and as President of Meritor’s Commercial Vehicle Division from 2006 until 2008. Before joining Meritor, Mr. Reinhardt served as President and Chief Executive Officer of Detroit Diesel Corp., a diesel engine manufacturer, from 2003 through 2006, following 10 years in a variety of management positions at Daimler Trucks North America, a manufacturer of commercial vehicles. Mr. Reinhardt started his career as Management Trainee at Daimler AG, a multinational automotive corporation, in Stuttgart, Germany. Mr. Reinhardt currently sits on the Board of SAF-Holland S.A., where he serves as a member of the audit committee. He also sits on the Boards of several private companies, including GRUNDFOS Holding A/S, Tegimus Holding, GmbH, and Beinbauer GmbH. Mr. Reinhardt holds a Bachelor’s degree in Mechanical Engineering from Esslingen Technical University in Germany and a Master of Science degree in Automobile Engineering from the University of Hertfordshire, UK.</w:t>
      </w:r>
    </w:p>
    <w:p>
      <w:pPr>
        <w:spacing w:after="0" w:line="103" w:lineRule="exact"/>
        <w:rPr>
          <w:sz w:val="20"/>
          <w:szCs w:val="20"/>
          <w:color w:val="auto"/>
        </w:rPr>
      </w:pPr>
    </w:p>
    <w:p>
      <w:pPr>
        <w:ind w:right="500"/>
        <w:spacing w:after="0" w:line="242" w:lineRule="auto"/>
        <w:rPr>
          <w:sz w:val="20"/>
          <w:szCs w:val="20"/>
          <w:color w:val="auto"/>
        </w:rPr>
      </w:pPr>
      <w:r>
        <w:rPr>
          <w:rFonts w:ascii="Arial" w:cs="Arial" w:eastAsia="Arial" w:hAnsi="Arial"/>
          <w:sz w:val="15"/>
          <w:szCs w:val="15"/>
          <w:color w:val="auto"/>
        </w:rPr>
        <w:t>Skills and Qualifications: We believe Mr. Reinhardt is qualified to serve on our Board due to his extensive experience and operational expertise in the automotive industry across global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244475</wp:posOffset>
            </wp:positionV>
            <wp:extent cx="6995160" cy="625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580"/>
          </w:cols>
          <w:pgMar w:left="320" w:top="459" w:right="45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7</w:t>
      </w:r>
    </w:p>
    <w:p>
      <w:pPr>
        <w:sectPr>
          <w:pgSz w:w="11900" w:h="16838" w:orient="portrait"/>
          <w:cols w:equalWidth="0" w:num="1">
            <w:col w:w="11120"/>
          </w:cols>
          <w:pgMar w:left="32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796925</wp:posOffset>
            </wp:positionV>
            <wp:extent cx="2082800" cy="19888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8280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2020</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3"/>
          <w:szCs w:val="23"/>
          <w:b w:val="1"/>
          <w:bCs w:val="1"/>
          <w:color w:val="E52823"/>
        </w:rPr>
        <w:t>JÉRÔME STOLL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-1283970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-263525</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Mr. Stoll has served as a member of our Board since March 2020. Mr. Stoll has served in numerous senior executive roles at Groupe Renault since 1980, including as Chief Performance Officer from 2013 to 2016; Executive Vice President, Sales and Marketing from 2009 to 2016; Chief Executive Officer of Renault DO Brazil from 2006 to 2009; and Chief Executive Officer of Renault Samsung Motors, South Korea from 2000 to 2006. Since 2013, he has been President of Renault Sport Racing. Mr. Stoll also serves on various Strategic Committees in the automotive sector and is the Vice President of CEDEP, a training organization for high potential executives. Mr. Stoll received an MBA from Ecole Superieure de Commerce de Paris and an Executive MBA from HEC-CPA.</w:t>
      </w:r>
    </w:p>
    <w:p>
      <w:pPr>
        <w:spacing w:after="0" w:line="101"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Skills and Qualifications: We believe Mr. Stoll is qualified to serve on our Board due to his extensive management experience in the automotive industry, his global business experience and his strong leadership skills.</w:t>
      </w:r>
    </w:p>
    <w:p>
      <w:pPr>
        <w:spacing w:after="0" w:line="403" w:lineRule="exact"/>
        <w:rPr>
          <w:sz w:val="20"/>
          <w:szCs w:val="20"/>
          <w:color w:val="auto"/>
        </w:rPr>
      </w:pPr>
    </w:p>
    <w:p>
      <w:pPr>
        <w:sectPr>
          <w:pgSz w:w="11900" w:h="16838" w:orient="portrait"/>
          <w:cols w:equalWidth="0" w:num="2">
            <w:col w:w="2820" w:space="720"/>
            <w:col w:w="7580"/>
          </w:cols>
          <w:pgMar w:left="320" w:top="459" w:right="459" w:bottom="1440" w:gutter="0" w:footer="0" w:header="0"/>
        </w:sectPr>
      </w:pPr>
    </w:p>
    <w:p>
      <w:pPr>
        <w:ind w:left="300"/>
        <w:spacing w:after="0"/>
        <w:rPr>
          <w:sz w:val="20"/>
          <w:szCs w:val="20"/>
          <w:color w:val="auto"/>
        </w:rPr>
      </w:pPr>
      <w:r>
        <w:rPr>
          <w:rFonts w:ascii="Arial" w:cs="Arial" w:eastAsia="Arial" w:hAnsi="Arial"/>
          <w:sz w:val="16"/>
          <w:szCs w:val="16"/>
          <w:color w:val="auto"/>
        </w:rPr>
        <w:t>Committee Memberships:</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Nominating and Governance Committee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E52823"/>
        </w:rPr>
        <w:t>Class I directors (terms to expire in 2022)</w:t>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-1557655</wp:posOffset>
            </wp:positionV>
            <wp:extent cx="2082800" cy="22199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82800" cy="2219960"/>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61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Committee Memberships:</w:t>
      </w:r>
    </w:p>
    <w:p>
      <w:pPr>
        <w:spacing w:after="0" w:line="40" w:lineRule="exact"/>
        <w:rPr>
          <w:sz w:val="20"/>
          <w:szCs w:val="20"/>
          <w:color w:val="auto"/>
        </w:rPr>
      </w:pPr>
    </w:p>
    <w:p>
      <w:pPr>
        <w:ind w:left="460" w:hanging="160"/>
        <w:spacing w:after="0" w:line="242" w:lineRule="auto"/>
        <w:tabs>
          <w:tab w:leader="none" w:pos="437"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Nominating and Governance Committee (</w:t>
      </w:r>
      <w:r>
        <w:rPr>
          <w:rFonts w:ascii="Arial" w:cs="Arial" w:eastAsia="Arial" w:hAnsi="Arial"/>
          <w:sz w:val="15"/>
          <w:szCs w:val="15"/>
          <w:b w:val="1"/>
          <w:bCs w:val="1"/>
          <w:color w:val="auto"/>
        </w:rPr>
        <w:t>CHAIR</w:t>
      </w: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420" w:hanging="120"/>
        <w:spacing w:after="0"/>
        <w:tabs>
          <w:tab w:leader="none" w:pos="4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Compensation Committee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color w:val="E52823"/>
        </w:rPr>
        <w:t>MAURA J. CLARK</w:t>
      </w:r>
    </w:p>
    <w:p>
      <w:pPr>
        <w:spacing w:after="0" w:line="161"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Ms. Clark has served as a member of our Board since the Spin-Off. From 2005 to 2014, Ms. Clark served as President of Direct Energy Business, LLC, a leading North American retail energy business serving commercial and industrial companies, and Senior Vice President North American Strategy and Mergers and Acquisitions of Direct Energy. Her prior experience includes serving as a Managing Director of Investment Banking Services at Goldman Sachs &amp; Co. and as Executive Vice President of Corporate Development and Chief Financial Officer of Clark USA, an independent oil refining and marketing company. Ms. Clark is a nominee for election to the board of directors of Newmont Corporation and is a member of the boards of directors of Nutrien Ltd, Fortis Inc. and Sanctuary for Families, a New York-based not-for-profit organization. She previously served on the boards of Elizabeth Arden, Inc. and Primary Care Development Corp. She graduated from Queens University with a Bachelor of Arts in Economics. She is also qualified as a Charted Professional Accountant.</w:t>
      </w:r>
    </w:p>
    <w:p>
      <w:pPr>
        <w:spacing w:after="0" w:line="103" w:lineRule="exact"/>
        <w:rPr>
          <w:sz w:val="20"/>
          <w:szCs w:val="20"/>
          <w:color w:val="auto"/>
        </w:rPr>
      </w:pPr>
    </w:p>
    <w:p>
      <w:pPr>
        <w:ind w:right="240"/>
        <w:spacing w:after="0" w:line="233" w:lineRule="auto"/>
        <w:rPr>
          <w:sz w:val="20"/>
          <w:szCs w:val="20"/>
          <w:color w:val="auto"/>
        </w:rPr>
      </w:pPr>
      <w:r>
        <w:rPr>
          <w:rFonts w:ascii="Arial" w:cs="Arial" w:eastAsia="Arial" w:hAnsi="Arial"/>
          <w:sz w:val="15"/>
          <w:szCs w:val="15"/>
          <w:color w:val="auto"/>
        </w:rPr>
        <w:t>Skills and Qualifications: We believe Ms. Clark is qualified to serve as a member of our Board due to her financial management expertise and experience managing the operations of an international commercial and industrial business as well as her significant experience serving on other public company boards. In addition, Ms. Clark contributes to the gender diversity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802640</wp:posOffset>
            </wp:positionV>
            <wp:extent cx="6995160" cy="6254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877" w:lineRule="exact"/>
        <w:rPr>
          <w:sz w:val="20"/>
          <w:szCs w:val="20"/>
          <w:color w:val="auto"/>
        </w:rPr>
      </w:pPr>
    </w:p>
    <w:p>
      <w:pPr>
        <w:sectPr>
          <w:pgSz w:w="11900" w:h="16838" w:orient="portrait"/>
          <w:cols w:equalWidth="0" w:num="2">
            <w:col w:w="3160" w:space="380"/>
            <w:col w:w="758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5400"/>
        <w:spacing w:after="0"/>
        <w:rPr>
          <w:sz w:val="20"/>
          <w:szCs w:val="20"/>
          <w:color w:val="auto"/>
        </w:rPr>
      </w:pPr>
      <w:r>
        <w:rPr>
          <w:rFonts w:ascii="Arial" w:cs="Arial" w:eastAsia="Arial" w:hAnsi="Arial"/>
          <w:sz w:val="23"/>
          <w:szCs w:val="23"/>
          <w:b w:val="1"/>
          <w:bCs w:val="1"/>
          <w:color w:val="E52823"/>
        </w:rPr>
        <w:t>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2082800" cy="19888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82800" cy="198882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2018</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49</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Committee Memberships:</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None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Mr. Rabiller has served as our President and Chief Executive Officer as well as a member of our Board since the Spin-Off. Prior to the Spin-Off, Mr. Rabiller served as President and Chief Executive Officer of the Transportation Systems division at Honeywell since July 2016. From July 2014 to July 2016, he served as Vice President and General Manager of Transportation Systems for High Growth Regions, Business Development, and Aftermarket. From January 2012 to July 2014, he served as Vice President, General Manager of Transportation Systems Aftermarket. Earlier positions within Honeywell included roles as the Vice President of Sourcing for Transportation Systems for three years; Vice President, European Sales and Customer Management; and Director of Marketing and Business Development for the European region. He joined Honeywell in 2002 as Senior Program Manager and Business Development Manager for Turbo Technologies EMEA. Mr. Rabiller is a director of the Swiss-American Chamber of Commerce, a non-profit organization that facilitates business relations between Switzerland and the United States. From 2012 to 2016, Mr. Rabiller was a director of Friction Material Pacifica, Australia. He holds a Master’s degree in Engineering from École Centrale Nantes and an MBA from INSEAD.</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Skills and Qualifications: We believe Mr. Rabiller is qualified to serve as a member of our Board because of his extensive experience at the Transportation Systems division at Honeywell, his background within the automotive industry and his strong leadership abilities.</w:t>
      </w:r>
    </w:p>
    <w:p>
      <w:pPr>
        <w:spacing w:after="0" w:line="189" w:lineRule="exact"/>
        <w:rPr>
          <w:sz w:val="20"/>
          <w:szCs w:val="20"/>
          <w:color w:val="auto"/>
        </w:rPr>
      </w:pPr>
    </w:p>
    <w:p>
      <w:pPr>
        <w:sectPr>
          <w:pgSz w:w="11900" w:h="16838" w:orient="portrait"/>
          <w:cols w:equalWidth="0" w:num="2">
            <w:col w:w="2820" w:space="720"/>
            <w:col w:w="75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color w:val="E52823"/>
        </w:rPr>
        <w:t>Class III directors (terms to expire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2082800" cy="23914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82800" cy="239141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Chairperson of the Board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2018</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62</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Committee Memberships:</w:t>
      </w:r>
    </w:p>
    <w:p>
      <w:pPr>
        <w:spacing w:after="0" w:line="40" w:lineRule="exact"/>
        <w:rPr>
          <w:sz w:val="20"/>
          <w:szCs w:val="20"/>
          <w:color w:val="auto"/>
        </w:rPr>
      </w:pPr>
    </w:p>
    <w:p>
      <w:pPr>
        <w:ind w:left="420" w:hanging="120"/>
        <w:spacing w:after="0"/>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Audit Committee</w:t>
      </w:r>
    </w:p>
    <w:p>
      <w:pPr>
        <w:spacing w:after="0" w:line="30" w:lineRule="exact"/>
        <w:rPr>
          <w:rFonts w:ascii="Arial" w:cs="Arial" w:eastAsia="Arial" w:hAnsi="Arial"/>
          <w:sz w:val="15"/>
          <w:szCs w:val="15"/>
          <w:color w:val="auto"/>
        </w:rPr>
      </w:pPr>
    </w:p>
    <w:p>
      <w:pPr>
        <w:ind w:left="420" w:hanging="120"/>
        <w:spacing w:after="0"/>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Compensation Committee</w:t>
      </w:r>
    </w:p>
    <w:p>
      <w:pPr>
        <w:spacing w:after="0" w:line="30" w:lineRule="exact"/>
        <w:rPr>
          <w:rFonts w:ascii="Arial" w:cs="Arial" w:eastAsia="Arial" w:hAnsi="Arial"/>
          <w:sz w:val="15"/>
          <w:szCs w:val="15"/>
          <w:color w:val="auto"/>
        </w:rPr>
      </w:pPr>
    </w:p>
    <w:p>
      <w:pPr>
        <w:ind w:left="420" w:hanging="120"/>
        <w:spacing w:after="0"/>
        <w:tabs>
          <w:tab w:leader="none" w:pos="4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Nominating and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3"/>
          <w:szCs w:val="23"/>
          <w:b w:val="1"/>
          <w:bCs w:val="1"/>
          <w:color w:val="E52823"/>
        </w:rPr>
        <w:t>CARLOS M. CARDOSO</w:t>
      </w:r>
    </w:p>
    <w:p>
      <w:pPr>
        <w:spacing w:after="0" w:line="161" w:lineRule="exact"/>
        <w:rPr>
          <w:sz w:val="20"/>
          <w:szCs w:val="20"/>
          <w:color w:val="auto"/>
        </w:rPr>
      </w:pPr>
    </w:p>
    <w:p>
      <w:pPr>
        <w:ind w:right="80"/>
        <w:spacing w:after="0" w:line="225" w:lineRule="auto"/>
        <w:rPr>
          <w:sz w:val="20"/>
          <w:szCs w:val="20"/>
          <w:color w:val="auto"/>
        </w:rPr>
      </w:pPr>
      <w:r>
        <w:rPr>
          <w:rFonts w:ascii="Arial" w:cs="Arial" w:eastAsia="Arial" w:hAnsi="Arial"/>
          <w:sz w:val="15"/>
          <w:szCs w:val="15"/>
          <w:color w:val="auto"/>
        </w:rPr>
        <w:t>Mr. Cardoso has served as a member of our Board since September 2018. Mr. Cardoso has served as the Principal of CMPC Advisors LLC, an investment advisory firm, since January 2015. Mr. Cardoso previously served as a Senior Advisor of Irving Place Capital focusing on investments in industrial manufacturing and distribution companies from July 2015 to August 2018. From 2007 to 2015, Mr. Cardoso was President and Chief Executive Officer of Kennametal, a global leader in metal working solutions and engineered components serving a diverse set of industrial and infrastructure markets, where he also served as Chairman from 2006 to 2014. Before serving as Chief Executive Officer, Mr. Cardoso served as Kennametal’s Vice President and Chief Operating Officer. Prior to Kennametal, he held executive roles at Flowserve and Honeywell (AlliedSignal).</w:t>
      </w:r>
    </w:p>
    <w:p>
      <w:pPr>
        <w:spacing w:after="0" w:line="2" w:lineRule="exact"/>
        <w:rPr>
          <w:sz w:val="20"/>
          <w:szCs w:val="20"/>
          <w:color w:val="auto"/>
        </w:rPr>
      </w:pPr>
    </w:p>
    <w:p>
      <w:pPr>
        <w:ind w:right="280"/>
        <w:spacing w:after="0" w:line="231" w:lineRule="auto"/>
        <w:rPr>
          <w:sz w:val="20"/>
          <w:szCs w:val="20"/>
          <w:color w:val="auto"/>
        </w:rPr>
      </w:pPr>
      <w:r>
        <w:rPr>
          <w:rFonts w:ascii="Arial" w:cs="Arial" w:eastAsia="Arial" w:hAnsi="Arial"/>
          <w:sz w:val="15"/>
          <w:szCs w:val="15"/>
          <w:color w:val="auto"/>
        </w:rPr>
        <w:t>Mr. Cardoso currently serves on the boards of public companies Stanley Black &amp; Decker, Inc. and Hubbell Incorporated. He previously served on the board of the Ohio Transmission Corporation. He has been named one of America’s “Best Chief Executive Officers” by Institutional Investor Magazine. Mr. Cardoso earned a Bachelor of Science degree in Business Administration from Fairfield University and a Master’s degree in Management from the Rensselaer Polytechnic Institute.</w:t>
      </w:r>
    </w:p>
    <w:p>
      <w:pPr>
        <w:spacing w:after="0" w:line="101" w:lineRule="exact"/>
        <w:rPr>
          <w:sz w:val="20"/>
          <w:szCs w:val="20"/>
          <w:color w:val="auto"/>
        </w:rPr>
      </w:pPr>
    </w:p>
    <w:p>
      <w:pPr>
        <w:ind w:right="360"/>
        <w:spacing w:after="0" w:line="235" w:lineRule="auto"/>
        <w:rPr>
          <w:sz w:val="20"/>
          <w:szCs w:val="20"/>
          <w:color w:val="auto"/>
        </w:rPr>
      </w:pPr>
      <w:r>
        <w:rPr>
          <w:rFonts w:ascii="Arial" w:cs="Arial" w:eastAsia="Arial" w:hAnsi="Arial"/>
          <w:sz w:val="15"/>
          <w:szCs w:val="15"/>
          <w:color w:val="auto"/>
        </w:rPr>
        <w:t>Skills and Qualifications: We believe Mr. Cardoso is qualified to serve as a member and Chairperson of our Board because of his background as a director for public companies and his expertise in companies with extensive manufacturing and distribution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246380</wp:posOffset>
            </wp:positionV>
            <wp:extent cx="6995160" cy="6254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380"/>
            <w:col w:w="7580"/>
          </w:cols>
          <w:pgMar w:left="320" w:top="459" w:right="45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9</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700405</wp:posOffset>
            </wp:positionV>
            <wp:extent cx="6995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-1557655</wp:posOffset>
            </wp:positionV>
            <wp:extent cx="2082800" cy="21170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82800" cy="2117090"/>
                    </a:xfrm>
                    <a:prstGeom prst="rect">
                      <a:avLst/>
                    </a:prstGeom>
                    <a:noFill/>
                  </pic:spPr>
                </pic:pic>
              </a:graphicData>
            </a:graphic>
          </wp:anchor>
        </w:drawing>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61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Committee Memberships:</w:t>
      </w:r>
    </w:p>
    <w:p>
      <w:pPr>
        <w:spacing w:after="0" w:line="40" w:lineRule="exact"/>
        <w:rPr>
          <w:sz w:val="20"/>
          <w:szCs w:val="20"/>
          <w:color w:val="auto"/>
        </w:rPr>
      </w:pPr>
    </w:p>
    <w:p>
      <w:pPr>
        <w:ind w:left="420" w:hanging="120"/>
        <w:spacing w:after="0"/>
        <w:tabs>
          <w:tab w:leader="none" w:pos="4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Audit Committee</w:t>
      </w:r>
    </w:p>
    <w:p>
      <w:pPr>
        <w:spacing w:after="0" w:line="30" w:lineRule="exact"/>
        <w:rPr>
          <w:rFonts w:ascii="Arial" w:cs="Arial" w:eastAsia="Arial" w:hAnsi="Arial"/>
          <w:sz w:val="15"/>
          <w:szCs w:val="15"/>
          <w:color w:val="auto"/>
        </w:rPr>
      </w:pPr>
    </w:p>
    <w:p>
      <w:pPr>
        <w:ind w:left="420" w:hanging="120"/>
        <w:spacing w:after="0"/>
        <w:tabs>
          <w:tab w:leader="none" w:pos="4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2082800" cy="21170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8280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 Since: 2018</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Age: 54</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Committee Memberships:</w:t>
      </w:r>
    </w:p>
    <w:p>
      <w:pPr>
        <w:spacing w:after="0" w:line="22" w:lineRule="exact"/>
        <w:rPr>
          <w:sz w:val="20"/>
          <w:szCs w:val="20"/>
          <w:color w:val="auto"/>
        </w:rPr>
      </w:pPr>
    </w:p>
    <w:p>
      <w:pPr>
        <w:ind w:left="420" w:hanging="120"/>
        <w:spacing w:after="0"/>
        <w:tabs>
          <w:tab w:leader="none" w:pos="4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Audit Committee (</w:t>
      </w:r>
      <w:r>
        <w:rPr>
          <w:rFonts w:ascii="Arial" w:cs="Arial" w:eastAsia="Arial" w:hAnsi="Arial"/>
          <w:sz w:val="15"/>
          <w:szCs w:val="15"/>
          <w:b w:val="1"/>
          <w:bCs w:val="1"/>
          <w:color w:val="auto"/>
        </w:rPr>
        <w:t>CHAIR</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ind w:left="420" w:hanging="120"/>
        <w:spacing w:after="0"/>
        <w:tabs>
          <w:tab w:leader="none" w:pos="4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E52823"/>
        </w:rPr>
        <w:t>SUSAN L. MAIN</w:t>
      </w:r>
    </w:p>
    <w:p>
      <w:pPr>
        <w:spacing w:after="0" w:line="16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Ms. Main has served as a member of our Board since the Spin-Off. Ms. Main has served as the Senior Vice President and Chief Financial Officer of Teledyne Technologies Incorporated, a leading provider of sophisticated instrumentation, digital imaging products and software, aerospace and defense electronics, and engineered systems since November 2012. Prior to her current role, Ms. Main was the Vice President and Controller since March 2004. From 1999 to 2004, Ms. Main served as Vice President and Controller for Water Pik Technologies, Inc. Ms. Main also held numerous financial roles at the former Allegheny Teledyne Inc. in its government, industrial and commercial segments. Earlier in her career, Ms. Main held financial and auditing roles at the former Hughes Aircraft Company. Ms. Main is a member of the board of directors of Ashland Global Holdings, Inc., where she serves as the Chairperson of the audit committee and as a member of the governance and nominating committee. Ms. Main is a member of the National Association of Corporate Directors and Women Corporate Directors. Ms. Main graduated from California State University, Fullerton with a Bachelor of Arts in Business Administration.</w:t>
      </w:r>
    </w:p>
    <w:p>
      <w:pPr>
        <w:spacing w:after="0" w:line="102" w:lineRule="exact"/>
        <w:rPr>
          <w:sz w:val="20"/>
          <w:szCs w:val="20"/>
          <w:color w:val="auto"/>
        </w:rPr>
      </w:pPr>
    </w:p>
    <w:p>
      <w:pPr>
        <w:ind w:right="320"/>
        <w:spacing w:after="0" w:line="235" w:lineRule="auto"/>
        <w:rPr>
          <w:sz w:val="20"/>
          <w:szCs w:val="20"/>
          <w:color w:val="auto"/>
        </w:rPr>
      </w:pPr>
      <w:r>
        <w:rPr>
          <w:rFonts w:ascii="Arial" w:cs="Arial" w:eastAsia="Arial" w:hAnsi="Arial"/>
          <w:sz w:val="15"/>
          <w:szCs w:val="15"/>
          <w:color w:val="auto"/>
        </w:rPr>
        <w:t>Skills and Qualifications: We believe Ms. Main is qualified to serve on our Board based on her extensive leadership experience in financial management, including in a leading global technology company. She also contributes to the gender diversity of our Board.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E52823"/>
        </w:rPr>
        <w:t>SCOTT A. TOZIER</w:t>
      </w:r>
    </w:p>
    <w:p>
      <w:pPr>
        <w:spacing w:after="0" w:line="161" w:lineRule="exact"/>
        <w:rPr>
          <w:sz w:val="20"/>
          <w:szCs w:val="20"/>
          <w:color w:val="auto"/>
        </w:rPr>
      </w:pPr>
    </w:p>
    <w:p>
      <w:pPr>
        <w:ind w:right="40"/>
        <w:spacing w:after="0" w:line="228" w:lineRule="auto"/>
        <w:rPr>
          <w:sz w:val="20"/>
          <w:szCs w:val="20"/>
          <w:color w:val="auto"/>
        </w:rPr>
      </w:pPr>
      <w:r>
        <w:rPr>
          <w:rFonts w:ascii="Arial" w:cs="Arial" w:eastAsia="Arial" w:hAnsi="Arial"/>
          <w:sz w:val="15"/>
          <w:szCs w:val="15"/>
          <w:color w:val="auto"/>
        </w:rPr>
        <w:t>Mr. Tozier has served as a member of our Board since the Spin-Off. Mr. Tozier has been the Chief Financial Officer and Executive Vice President of Albemarle Corporation, a specialty chemicals company, since January 2011. Prior to joining Albemarle, he served as Vice President of Finance, Transformation and Operations of Honeywell, where he was responsible for Honeywell’s global financial shared services and best practices management. His 16-year career with Honeywell spanned senior financial positions in the United States, Asia Pacific and Europe. Mr. Tozier currently serves as a director on the boards of directors for MARBL and Volta Energy Technologies. He is also a trustee for Blumenthal Performing Arts and on the Board of Advisors for Junior Achievement of the Carolinas. He holds a Bachelor of Business Administration in Accounting from the University of Wisconsin-Madison and an MBA from the University of Michigan, where he graduated with honors. He is a Certified Public Accountant.</w:t>
      </w:r>
    </w:p>
    <w:p>
      <w:pPr>
        <w:spacing w:after="0" w:line="103"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Skills and Qualifications: We believe Mr. Tozier is qualified to serve on our Board due to his experience as a former executive within Honeywell, a global public company, as well as his financial management skills given his background as a Chief Financial Officer and a Certified Public Accountant.</w:t>
      </w:r>
    </w:p>
    <w:p>
      <w:pPr>
        <w:spacing w:after="0" w:line="875" w:lineRule="exact"/>
        <w:rPr>
          <w:sz w:val="20"/>
          <w:szCs w:val="20"/>
          <w:color w:val="auto"/>
        </w:rPr>
      </w:pPr>
    </w:p>
    <w:p>
      <w:pPr>
        <w:sectPr>
          <w:pgSz w:w="11900" w:h="16838" w:orient="portrait"/>
          <w:cols w:equalWidth="0" w:num="2">
            <w:col w:w="3160" w:space="380"/>
            <w:col w:w="7580"/>
          </w:cols>
          <w:pgMar w:left="320" w:top="459" w:right="459" w:bottom="1440" w:gutter="0" w:footer="0" w:header="0"/>
          <w:type w:val="continuous"/>
        </w:sectPr>
      </w:pPr>
    </w:p>
    <w:p>
      <w:pPr>
        <w:ind w:left="120" w:right="300"/>
        <w:spacing w:after="0" w:line="260" w:lineRule="auto"/>
        <w:rPr>
          <w:sz w:val="20"/>
          <w:szCs w:val="20"/>
          <w:color w:val="auto"/>
        </w:rPr>
      </w:pPr>
      <w:r>
        <w:rPr>
          <w:rFonts w:ascii="Arial" w:cs="Arial" w:eastAsia="Arial" w:hAnsi="Arial"/>
          <w:sz w:val="16"/>
          <w:szCs w:val="16"/>
          <w:color w:val="auto"/>
        </w:rPr>
        <w:t>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10</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CORPORATE GOVERNANCE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Governance Highlights</w:t>
      </w:r>
    </w:p>
    <w:p>
      <w:pPr>
        <w:spacing w:after="0" w:line="213"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6"/>
          <w:szCs w:val="16"/>
          <w:color w:val="auto"/>
        </w:rPr>
        <w:t>Garrett is committed to good governance practices that protect and promote the long-term value of the Company for its stockholders. The Board regularly reviews our governance practices to ensure they reflect the evolving governance landscape and appropriately support and serve the best interests of the Company and its stockholders.</w:t>
      </w:r>
    </w:p>
    <w:p>
      <w:pPr>
        <w:spacing w:after="0" w:line="206" w:lineRule="exact"/>
        <w:rPr>
          <w:sz w:val="20"/>
          <w:szCs w:val="20"/>
          <w:color w:val="auto"/>
        </w:rPr>
      </w:pPr>
    </w:p>
    <w:tbl>
      <w:tblPr>
        <w:tblLayout w:type="fixed"/>
        <w:tblInd w:w="130" w:type="dxa"/>
        <w:tblCellMar>
          <w:top w:w="0" w:type="dxa"/>
          <w:left w:w="0" w:type="dxa"/>
          <w:bottom w:w="0" w:type="dxa"/>
          <w:right w:w="0" w:type="dxa"/>
        </w:tblCellMar>
      </w:tblPr>
      <w:tr>
        <w:trPr>
          <w:trHeight w:val="218"/>
        </w:trPr>
        <w:tc>
          <w:tcPr>
            <w:tcW w:w="1900" w:type="dxa"/>
            <w:vAlign w:val="bottom"/>
            <w:tcBorders>
              <w:top w:val="single" w:sz="8" w:color="E52823"/>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Independent</w:t>
            </w:r>
          </w:p>
        </w:tc>
        <w:tc>
          <w:tcPr>
            <w:tcW w:w="9140" w:type="dxa"/>
            <w:vAlign w:val="bottom"/>
            <w:tcBorders>
              <w:top w:val="single" w:sz="8" w:color="E52823"/>
              <w:right w:val="single" w:sz="8" w:color="E52823"/>
            </w:tcBorders>
          </w:tcPr>
          <w:p>
            <w:pPr>
              <w:ind w:left="320"/>
              <w:spacing w:after="0"/>
              <w:rPr>
                <w:sz w:val="20"/>
                <w:szCs w:val="20"/>
                <w:color w:val="auto"/>
              </w:rPr>
            </w:pPr>
            <w:r>
              <w:rPr>
                <w:rFonts w:ascii="Arial" w:cs="Arial" w:eastAsia="Arial" w:hAnsi="Arial"/>
                <w:sz w:val="16"/>
                <w:szCs w:val="16"/>
                <w:color w:val="auto"/>
              </w:rPr>
              <w:t>7 of 8 directors are independent</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Oversight</w:t>
            </w:r>
          </w:p>
        </w:tc>
        <w:tc>
          <w:tcPr>
            <w:tcW w:w="9140" w:type="dxa"/>
            <w:vAlign w:val="bottom"/>
            <w:tcBorders>
              <w:right w:val="single" w:sz="8" w:color="E52823"/>
            </w:tcBorders>
            <w:vMerge w:val="restart"/>
          </w:tcPr>
          <w:p>
            <w:pPr>
              <w:ind w:left="320"/>
              <w:spacing w:after="0"/>
              <w:rPr>
                <w:sz w:val="20"/>
                <w:szCs w:val="20"/>
                <w:color w:val="auto"/>
              </w:rPr>
            </w:pPr>
            <w:r>
              <w:rPr>
                <w:rFonts w:ascii="Arial" w:cs="Arial" w:eastAsia="Arial" w:hAnsi="Arial"/>
                <w:sz w:val="16"/>
                <w:szCs w:val="16"/>
                <w:color w:val="auto"/>
              </w:rPr>
              <w:t>Independent Chairperson of the Board</w:t>
            </w:r>
          </w:p>
        </w:tc>
        <w:tc>
          <w:tcPr>
            <w:tcW w:w="0" w:type="dxa"/>
            <w:vAlign w:val="bottom"/>
          </w:tcPr>
          <w:p>
            <w:pPr>
              <w:spacing w:after="0"/>
              <w:rPr>
                <w:sz w:val="1"/>
                <w:szCs w:val="1"/>
                <w:color w:val="auto"/>
              </w:rPr>
            </w:pPr>
          </w:p>
        </w:tc>
      </w:tr>
      <w:tr>
        <w:trPr>
          <w:trHeight w:val="81"/>
        </w:trPr>
        <w:tc>
          <w:tcPr>
            <w:tcW w:w="1900" w:type="dxa"/>
            <w:vAlign w:val="bottom"/>
            <w:tcBorders>
              <w:left w:val="single" w:sz="8" w:color="E52823"/>
              <w:right w:val="single" w:sz="8" w:color="E52823"/>
            </w:tcBorders>
          </w:tcPr>
          <w:p>
            <w:pPr>
              <w:spacing w:after="0"/>
              <w:rPr>
                <w:sz w:val="7"/>
                <w:szCs w:val="7"/>
                <w:color w:val="auto"/>
              </w:rPr>
            </w:pPr>
          </w:p>
        </w:tc>
        <w:tc>
          <w:tcPr>
            <w:tcW w:w="9140" w:type="dxa"/>
            <w:vAlign w:val="bottom"/>
            <w:tcBorders>
              <w:right w:val="single" w:sz="8" w:color="E5282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900" w:type="dxa"/>
            <w:vAlign w:val="bottom"/>
            <w:tcBorders>
              <w:left w:val="single" w:sz="8" w:color="E52823"/>
              <w:right w:val="single" w:sz="8" w:color="E52823"/>
            </w:tcBorders>
          </w:tcPr>
          <w:p>
            <w:pPr>
              <w:spacing w:after="0"/>
              <w:rPr>
                <w:sz w:val="22"/>
                <w:szCs w:val="22"/>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Regular executive sessions of non-employee directors at Board meetings (chaired by independent Chairperson) and</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spacing w:after="0"/>
              <w:rPr>
                <w:sz w:val="16"/>
                <w:szCs w:val="16"/>
                <w:color w:val="auto"/>
              </w:rPr>
            </w:pPr>
          </w:p>
        </w:tc>
        <w:tc>
          <w:tcPr>
            <w:tcW w:w="9140" w:type="dxa"/>
            <w:vAlign w:val="bottom"/>
            <w:tcBorders>
              <w:right w:val="single" w:sz="8" w:color="E52823"/>
            </w:tcBorders>
          </w:tcPr>
          <w:p>
            <w:pPr>
              <w:ind w:left="280"/>
              <w:spacing w:after="0"/>
              <w:rPr>
                <w:sz w:val="20"/>
                <w:szCs w:val="20"/>
                <w:color w:val="auto"/>
              </w:rPr>
            </w:pPr>
            <w:r>
              <w:rPr>
                <w:rFonts w:ascii="Arial" w:cs="Arial" w:eastAsia="Arial" w:hAnsi="Arial"/>
                <w:sz w:val="16"/>
                <w:szCs w:val="16"/>
                <w:color w:val="auto"/>
              </w:rPr>
              <w:t>committee meetings (chaired by independent committee chairs)</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100% independent Board committees</w:t>
            </w:r>
          </w:p>
        </w:tc>
        <w:tc>
          <w:tcPr>
            <w:tcW w:w="0" w:type="dxa"/>
            <w:vAlign w:val="bottom"/>
          </w:tcPr>
          <w:p>
            <w:pPr>
              <w:spacing w:after="0"/>
              <w:rPr>
                <w:sz w:val="1"/>
                <w:szCs w:val="1"/>
                <w:color w:val="auto"/>
              </w:rPr>
            </w:pPr>
          </w:p>
        </w:tc>
      </w:tr>
      <w:tr>
        <w:trPr>
          <w:trHeight w:val="273"/>
        </w:trPr>
        <w:tc>
          <w:tcPr>
            <w:tcW w:w="1900" w:type="dxa"/>
            <w:vAlign w:val="bottom"/>
            <w:tcBorders>
              <w:left w:val="single" w:sz="8" w:color="E52823"/>
              <w:bottom w:val="single" w:sz="8" w:color="E52823"/>
              <w:right w:val="single" w:sz="8" w:color="E52823"/>
            </w:tcBorders>
          </w:tcPr>
          <w:p>
            <w:pPr>
              <w:spacing w:after="0"/>
              <w:rPr>
                <w:sz w:val="23"/>
                <w:szCs w:val="23"/>
                <w:color w:val="auto"/>
              </w:rPr>
            </w:pPr>
          </w:p>
        </w:tc>
        <w:tc>
          <w:tcPr>
            <w:tcW w:w="9140" w:type="dxa"/>
            <w:vAlign w:val="bottom"/>
            <w:tcBorders>
              <w:bottom w:val="single" w:sz="8" w:color="E52823"/>
              <w:right w:val="single" w:sz="8" w:color="E52823"/>
            </w:tcBorders>
          </w:tcPr>
          <w:p>
            <w:pPr>
              <w:ind w:left="320"/>
              <w:spacing w:after="0"/>
              <w:rPr>
                <w:sz w:val="20"/>
                <w:szCs w:val="20"/>
                <w:color w:val="auto"/>
              </w:rPr>
            </w:pPr>
            <w:r>
              <w:rPr>
                <w:rFonts w:ascii="Arial" w:cs="Arial" w:eastAsia="Arial" w:hAnsi="Arial"/>
                <w:sz w:val="16"/>
                <w:szCs w:val="16"/>
                <w:color w:val="auto"/>
              </w:rPr>
              <w:t>Active Board and committee oversight of the Company’s strategy and risk management</w:t>
            </w:r>
          </w:p>
        </w:tc>
        <w:tc>
          <w:tcPr>
            <w:tcW w:w="0" w:type="dxa"/>
            <w:vAlign w:val="bottom"/>
          </w:tcPr>
          <w:p>
            <w:pPr>
              <w:spacing w:after="0"/>
              <w:rPr>
                <w:sz w:val="1"/>
                <w:szCs w:val="1"/>
                <w:color w:val="auto"/>
              </w:rPr>
            </w:pPr>
          </w:p>
        </w:tc>
      </w:tr>
      <w:tr>
        <w:trPr>
          <w:trHeight w:val="201"/>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Board</w:t>
            </w: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Directors possess deep and diverse set of skills and expertise relevant to oversight of our business operations and</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Effectiveness</w:t>
            </w:r>
          </w:p>
        </w:tc>
        <w:tc>
          <w:tcPr>
            <w:tcW w:w="9140" w:type="dxa"/>
            <w:vAlign w:val="bottom"/>
            <w:tcBorders>
              <w:right w:val="single" w:sz="8" w:color="E52823"/>
            </w:tcBorders>
          </w:tcPr>
          <w:p>
            <w:pPr>
              <w:ind w:left="280"/>
              <w:spacing w:after="0"/>
              <w:rPr>
                <w:sz w:val="20"/>
                <w:szCs w:val="20"/>
                <w:color w:val="auto"/>
              </w:rPr>
            </w:pPr>
            <w:r>
              <w:rPr>
                <w:rFonts w:ascii="Arial" w:cs="Arial" w:eastAsia="Arial" w:hAnsi="Arial"/>
                <w:sz w:val="16"/>
                <w:szCs w:val="16"/>
                <w:color w:val="auto"/>
              </w:rPr>
              <w:t>strategy</w:t>
            </w:r>
          </w:p>
        </w:tc>
        <w:tc>
          <w:tcPr>
            <w:tcW w:w="0" w:type="dxa"/>
            <w:vAlign w:val="bottom"/>
          </w:tcPr>
          <w:p>
            <w:pPr>
              <w:spacing w:after="0"/>
              <w:rPr>
                <w:sz w:val="1"/>
                <w:szCs w:val="1"/>
                <w:color w:val="auto"/>
              </w:rPr>
            </w:pPr>
          </w:p>
        </w:tc>
      </w:tr>
      <w:tr>
        <w:trPr>
          <w:trHeight w:val="264"/>
        </w:trPr>
        <w:tc>
          <w:tcPr>
            <w:tcW w:w="1900" w:type="dxa"/>
            <w:vAlign w:val="bottom"/>
            <w:tcBorders>
              <w:left w:val="single" w:sz="8" w:color="E52823"/>
              <w:right w:val="single" w:sz="8" w:color="E52823"/>
            </w:tcBorders>
          </w:tcPr>
          <w:p>
            <w:pPr>
              <w:spacing w:after="0"/>
              <w:rPr>
                <w:sz w:val="22"/>
                <w:szCs w:val="22"/>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Annual assessment of director skills and commitment to director refreshment to ensure Board meets the Company’s</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spacing w:after="0"/>
              <w:rPr>
                <w:sz w:val="16"/>
                <w:szCs w:val="16"/>
                <w:color w:val="auto"/>
              </w:rPr>
            </w:pPr>
          </w:p>
        </w:tc>
        <w:tc>
          <w:tcPr>
            <w:tcW w:w="9140" w:type="dxa"/>
            <w:vAlign w:val="bottom"/>
            <w:tcBorders>
              <w:right w:val="single" w:sz="8" w:color="E52823"/>
            </w:tcBorders>
          </w:tcPr>
          <w:p>
            <w:pPr>
              <w:ind w:left="280"/>
              <w:spacing w:after="0"/>
              <w:rPr>
                <w:sz w:val="20"/>
                <w:szCs w:val="20"/>
                <w:color w:val="auto"/>
              </w:rPr>
            </w:pPr>
            <w:r>
              <w:rPr>
                <w:rFonts w:ascii="Arial" w:cs="Arial" w:eastAsia="Arial" w:hAnsi="Arial"/>
                <w:sz w:val="16"/>
                <w:szCs w:val="16"/>
                <w:color w:val="auto"/>
              </w:rPr>
              <w:t>evolving oversight needs</w:t>
            </w:r>
          </w:p>
        </w:tc>
        <w:tc>
          <w:tcPr>
            <w:tcW w:w="0" w:type="dxa"/>
            <w:vAlign w:val="bottom"/>
          </w:tcPr>
          <w:p>
            <w:pPr>
              <w:spacing w:after="0"/>
              <w:rPr>
                <w:sz w:val="1"/>
                <w:szCs w:val="1"/>
                <w:color w:val="auto"/>
              </w:rPr>
            </w:pPr>
          </w:p>
        </w:tc>
      </w:tr>
      <w:tr>
        <w:trPr>
          <w:trHeight w:val="264"/>
        </w:trPr>
        <w:tc>
          <w:tcPr>
            <w:tcW w:w="1900" w:type="dxa"/>
            <w:vAlign w:val="bottom"/>
            <w:tcBorders>
              <w:left w:val="single" w:sz="8" w:color="E52823"/>
              <w:right w:val="single" w:sz="8" w:color="E52823"/>
            </w:tcBorders>
          </w:tcPr>
          <w:p>
            <w:pPr>
              <w:spacing w:after="0"/>
              <w:rPr>
                <w:sz w:val="22"/>
                <w:szCs w:val="22"/>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The Board oversees risk management, reviewing and advising management on significant risks facing the Company, and</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spacing w:after="0"/>
              <w:rPr>
                <w:sz w:val="16"/>
                <w:szCs w:val="16"/>
                <w:color w:val="auto"/>
              </w:rPr>
            </w:pPr>
          </w:p>
        </w:tc>
        <w:tc>
          <w:tcPr>
            <w:tcW w:w="9140" w:type="dxa"/>
            <w:vAlign w:val="bottom"/>
            <w:tcBorders>
              <w:right w:val="single" w:sz="8" w:color="E52823"/>
            </w:tcBorders>
          </w:tcPr>
          <w:p>
            <w:pPr>
              <w:ind w:left="280"/>
              <w:spacing w:after="0"/>
              <w:rPr>
                <w:sz w:val="20"/>
                <w:szCs w:val="20"/>
                <w:color w:val="auto"/>
              </w:rPr>
            </w:pPr>
            <w:r>
              <w:rPr>
                <w:rFonts w:ascii="Arial" w:cs="Arial" w:eastAsia="Arial" w:hAnsi="Arial"/>
                <w:sz w:val="16"/>
                <w:szCs w:val="16"/>
                <w:color w:val="auto"/>
              </w:rPr>
              <w:t>fostering a culture of integrity and risk awareness</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38% of directors are women</w:t>
            </w:r>
          </w:p>
        </w:tc>
        <w:tc>
          <w:tcPr>
            <w:tcW w:w="0" w:type="dxa"/>
            <w:vAlign w:val="bottom"/>
          </w:tcPr>
          <w:p>
            <w:pPr>
              <w:spacing w:after="0"/>
              <w:rPr>
                <w:sz w:val="1"/>
                <w:szCs w:val="1"/>
                <w:color w:val="auto"/>
              </w:rPr>
            </w:pPr>
          </w:p>
        </w:tc>
      </w:tr>
      <w:tr>
        <w:trPr>
          <w:trHeight w:val="264"/>
        </w:trPr>
        <w:tc>
          <w:tcPr>
            <w:tcW w:w="1900" w:type="dxa"/>
            <w:vAlign w:val="bottom"/>
            <w:tcBorders>
              <w:left w:val="single" w:sz="8" w:color="E52823"/>
              <w:right w:val="single" w:sz="8" w:color="E52823"/>
            </w:tcBorders>
          </w:tcPr>
          <w:p>
            <w:pPr>
              <w:spacing w:after="0"/>
              <w:rPr>
                <w:sz w:val="22"/>
                <w:szCs w:val="22"/>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Highly engaged Board with all directors having attended at least 75% of total number of meetings of the Board and</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spacing w:after="0"/>
              <w:rPr>
                <w:sz w:val="16"/>
                <w:szCs w:val="16"/>
                <w:color w:val="auto"/>
              </w:rPr>
            </w:pPr>
          </w:p>
        </w:tc>
        <w:tc>
          <w:tcPr>
            <w:tcW w:w="9140" w:type="dxa"/>
            <w:vAlign w:val="bottom"/>
            <w:tcBorders>
              <w:right w:val="single" w:sz="8" w:color="E52823"/>
            </w:tcBorders>
          </w:tcPr>
          <w:p>
            <w:pPr>
              <w:ind w:left="280"/>
              <w:spacing w:after="0"/>
              <w:rPr>
                <w:sz w:val="20"/>
                <w:szCs w:val="20"/>
                <w:color w:val="auto"/>
              </w:rPr>
            </w:pPr>
            <w:r>
              <w:rPr>
                <w:rFonts w:ascii="Arial" w:cs="Arial" w:eastAsia="Arial" w:hAnsi="Arial"/>
                <w:sz w:val="16"/>
                <w:szCs w:val="16"/>
                <w:color w:val="auto"/>
              </w:rPr>
              <w:t>committees on which they serve</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Annual Board and committee self-evaluations</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Directors serve only until age 75, unless otherwise determined by the Board</w:t>
            </w:r>
          </w:p>
        </w:tc>
        <w:tc>
          <w:tcPr>
            <w:tcW w:w="0" w:type="dxa"/>
            <w:vAlign w:val="bottom"/>
          </w:tcPr>
          <w:p>
            <w:pPr>
              <w:spacing w:after="0"/>
              <w:rPr>
                <w:sz w:val="1"/>
                <w:szCs w:val="1"/>
                <w:color w:val="auto"/>
              </w:rPr>
            </w:pPr>
          </w:p>
        </w:tc>
      </w:tr>
      <w:tr>
        <w:trPr>
          <w:trHeight w:val="273"/>
        </w:trPr>
        <w:tc>
          <w:tcPr>
            <w:tcW w:w="1900" w:type="dxa"/>
            <w:vAlign w:val="bottom"/>
            <w:tcBorders>
              <w:left w:val="single" w:sz="8" w:color="E52823"/>
              <w:bottom w:val="single" w:sz="8" w:color="E52823"/>
              <w:right w:val="single" w:sz="8" w:color="E52823"/>
            </w:tcBorders>
          </w:tcPr>
          <w:p>
            <w:pPr>
              <w:spacing w:after="0"/>
              <w:rPr>
                <w:sz w:val="23"/>
                <w:szCs w:val="23"/>
                <w:color w:val="auto"/>
              </w:rPr>
            </w:pPr>
          </w:p>
        </w:tc>
        <w:tc>
          <w:tcPr>
            <w:tcW w:w="9140" w:type="dxa"/>
            <w:vAlign w:val="bottom"/>
            <w:tcBorders>
              <w:bottom w:val="single" w:sz="8" w:color="E52823"/>
              <w:right w:val="single" w:sz="8" w:color="E52823"/>
            </w:tcBorders>
          </w:tcPr>
          <w:p>
            <w:pPr>
              <w:ind w:left="320"/>
              <w:spacing w:after="0"/>
              <w:rPr>
                <w:sz w:val="20"/>
                <w:szCs w:val="20"/>
                <w:color w:val="auto"/>
              </w:rPr>
            </w:pPr>
            <w:r>
              <w:rPr>
                <w:rFonts w:ascii="Arial" w:cs="Arial" w:eastAsia="Arial" w:hAnsi="Arial"/>
                <w:sz w:val="16"/>
                <w:szCs w:val="16"/>
                <w:color w:val="auto"/>
              </w:rPr>
              <w:t>Ongoing director education</w:t>
            </w:r>
          </w:p>
        </w:tc>
        <w:tc>
          <w:tcPr>
            <w:tcW w:w="0" w:type="dxa"/>
            <w:vAlign w:val="bottom"/>
          </w:tcPr>
          <w:p>
            <w:pPr>
              <w:spacing w:after="0"/>
              <w:rPr>
                <w:sz w:val="1"/>
                <w:szCs w:val="1"/>
                <w:color w:val="auto"/>
              </w:rPr>
            </w:pPr>
          </w:p>
        </w:tc>
      </w:tr>
      <w:tr>
        <w:trPr>
          <w:trHeight w:val="201"/>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Stockholder</w:t>
            </w: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Proxy access</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Rights</w:t>
            </w:r>
          </w:p>
        </w:tc>
        <w:tc>
          <w:tcPr>
            <w:tcW w:w="9140" w:type="dxa"/>
            <w:vAlign w:val="bottom"/>
            <w:tcBorders>
              <w:right w:val="single" w:sz="8" w:color="E52823"/>
            </w:tcBorders>
            <w:vMerge w:val="restart"/>
          </w:tcPr>
          <w:p>
            <w:pPr>
              <w:ind w:left="320"/>
              <w:spacing w:after="0"/>
              <w:rPr>
                <w:sz w:val="20"/>
                <w:szCs w:val="20"/>
                <w:color w:val="auto"/>
              </w:rPr>
            </w:pPr>
            <w:r>
              <w:rPr>
                <w:rFonts w:ascii="Arial" w:cs="Arial" w:eastAsia="Arial" w:hAnsi="Arial"/>
                <w:sz w:val="16"/>
                <w:szCs w:val="16"/>
                <w:color w:val="auto"/>
              </w:rPr>
              <w:t>Majority voting for directors in uncontested elections</w:t>
            </w:r>
          </w:p>
        </w:tc>
        <w:tc>
          <w:tcPr>
            <w:tcW w:w="0" w:type="dxa"/>
            <w:vAlign w:val="bottom"/>
          </w:tcPr>
          <w:p>
            <w:pPr>
              <w:spacing w:after="0"/>
              <w:rPr>
                <w:sz w:val="1"/>
                <w:szCs w:val="1"/>
                <w:color w:val="auto"/>
              </w:rPr>
            </w:pPr>
          </w:p>
        </w:tc>
      </w:tr>
      <w:tr>
        <w:trPr>
          <w:trHeight w:val="81"/>
        </w:trPr>
        <w:tc>
          <w:tcPr>
            <w:tcW w:w="1900" w:type="dxa"/>
            <w:vAlign w:val="bottom"/>
            <w:tcBorders>
              <w:left w:val="single" w:sz="8" w:color="E52823"/>
              <w:right w:val="single" w:sz="8" w:color="E52823"/>
            </w:tcBorders>
          </w:tcPr>
          <w:p>
            <w:pPr>
              <w:spacing w:after="0"/>
              <w:rPr>
                <w:sz w:val="7"/>
                <w:szCs w:val="7"/>
                <w:color w:val="auto"/>
              </w:rPr>
            </w:pPr>
          </w:p>
        </w:tc>
        <w:tc>
          <w:tcPr>
            <w:tcW w:w="9140" w:type="dxa"/>
            <w:vAlign w:val="bottom"/>
            <w:tcBorders>
              <w:right w:val="single" w:sz="8" w:color="E5282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Resignation policy for directors who do not receive a majority of the votes cast</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One class of common stock with each share entitled to one vote</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No poison pill</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No supermajority voting provisions</w:t>
            </w:r>
          </w:p>
        </w:tc>
        <w:tc>
          <w:tcPr>
            <w:tcW w:w="0" w:type="dxa"/>
            <w:vAlign w:val="bottom"/>
          </w:tcPr>
          <w:p>
            <w:pPr>
              <w:spacing w:after="0"/>
              <w:rPr>
                <w:sz w:val="1"/>
                <w:szCs w:val="1"/>
                <w:color w:val="auto"/>
              </w:rPr>
            </w:pPr>
          </w:p>
        </w:tc>
      </w:tr>
      <w:tr>
        <w:trPr>
          <w:trHeight w:val="273"/>
        </w:trPr>
        <w:tc>
          <w:tcPr>
            <w:tcW w:w="1900" w:type="dxa"/>
            <w:vAlign w:val="bottom"/>
            <w:tcBorders>
              <w:left w:val="single" w:sz="8" w:color="E52823"/>
              <w:bottom w:val="single" w:sz="8" w:color="E52823"/>
              <w:right w:val="single" w:sz="8" w:color="E52823"/>
            </w:tcBorders>
          </w:tcPr>
          <w:p>
            <w:pPr>
              <w:spacing w:after="0"/>
              <w:rPr>
                <w:sz w:val="23"/>
                <w:szCs w:val="23"/>
                <w:color w:val="auto"/>
              </w:rPr>
            </w:pPr>
          </w:p>
        </w:tc>
        <w:tc>
          <w:tcPr>
            <w:tcW w:w="9140" w:type="dxa"/>
            <w:vAlign w:val="bottom"/>
            <w:tcBorders>
              <w:bottom w:val="single" w:sz="8" w:color="E52823"/>
              <w:right w:val="single" w:sz="8" w:color="E52823"/>
            </w:tcBorders>
          </w:tcPr>
          <w:p>
            <w:pPr>
              <w:ind w:left="320"/>
              <w:spacing w:after="0"/>
              <w:rPr>
                <w:sz w:val="20"/>
                <w:szCs w:val="20"/>
                <w:color w:val="auto"/>
              </w:rPr>
            </w:pPr>
            <w:r>
              <w:rPr>
                <w:rFonts w:ascii="Arial" w:cs="Arial" w:eastAsia="Arial" w:hAnsi="Arial"/>
                <w:sz w:val="16"/>
                <w:szCs w:val="16"/>
                <w:color w:val="auto"/>
              </w:rPr>
              <w:t>No fee-shifting provisions</w:t>
            </w:r>
          </w:p>
        </w:tc>
        <w:tc>
          <w:tcPr>
            <w:tcW w:w="0" w:type="dxa"/>
            <w:vAlign w:val="bottom"/>
          </w:tcPr>
          <w:p>
            <w:pPr>
              <w:spacing w:after="0"/>
              <w:rPr>
                <w:sz w:val="1"/>
                <w:szCs w:val="1"/>
                <w:color w:val="auto"/>
              </w:rPr>
            </w:pPr>
          </w:p>
        </w:tc>
      </w:tr>
      <w:tr>
        <w:trPr>
          <w:trHeight w:val="201"/>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Good Governance</w:t>
            </w: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All directors to be elected annually for one-year terms beginning with 2022 Annual Meeting</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ind w:left="220"/>
              <w:spacing w:after="0"/>
              <w:rPr>
                <w:sz w:val="20"/>
                <w:szCs w:val="20"/>
                <w:color w:val="auto"/>
              </w:rPr>
            </w:pPr>
            <w:r>
              <w:rPr>
                <w:rFonts w:ascii="Arial" w:cs="Arial" w:eastAsia="Arial" w:hAnsi="Arial"/>
                <w:sz w:val="16"/>
                <w:szCs w:val="16"/>
                <w:color w:val="E52823"/>
              </w:rPr>
              <w:t>Practices</w:t>
            </w:r>
          </w:p>
        </w:tc>
        <w:tc>
          <w:tcPr>
            <w:tcW w:w="9140" w:type="dxa"/>
            <w:vAlign w:val="bottom"/>
            <w:tcBorders>
              <w:right w:val="single" w:sz="8" w:color="E52823"/>
            </w:tcBorders>
            <w:vMerge w:val="restart"/>
          </w:tcPr>
          <w:p>
            <w:pPr>
              <w:ind w:left="320"/>
              <w:spacing w:after="0"/>
              <w:rPr>
                <w:sz w:val="20"/>
                <w:szCs w:val="20"/>
                <w:color w:val="auto"/>
              </w:rPr>
            </w:pPr>
            <w:r>
              <w:rPr>
                <w:rFonts w:ascii="Arial" w:cs="Arial" w:eastAsia="Arial" w:hAnsi="Arial"/>
                <w:sz w:val="16"/>
                <w:szCs w:val="16"/>
                <w:color w:val="auto"/>
              </w:rPr>
              <w:t>Development and regular review of succession plans for Chief Executive Officer and members of senior management</w:t>
            </w:r>
          </w:p>
        </w:tc>
        <w:tc>
          <w:tcPr>
            <w:tcW w:w="0" w:type="dxa"/>
            <w:vAlign w:val="bottom"/>
          </w:tcPr>
          <w:p>
            <w:pPr>
              <w:spacing w:after="0"/>
              <w:rPr>
                <w:sz w:val="1"/>
                <w:szCs w:val="1"/>
                <w:color w:val="auto"/>
              </w:rPr>
            </w:pPr>
          </w:p>
        </w:tc>
      </w:tr>
      <w:tr>
        <w:trPr>
          <w:trHeight w:val="75"/>
        </w:trPr>
        <w:tc>
          <w:tcPr>
            <w:tcW w:w="1900" w:type="dxa"/>
            <w:vAlign w:val="bottom"/>
            <w:tcBorders>
              <w:left w:val="single" w:sz="8" w:color="E52823"/>
              <w:right w:val="single" w:sz="8" w:color="E52823"/>
            </w:tcBorders>
          </w:tcPr>
          <w:p>
            <w:pPr>
              <w:spacing w:after="0"/>
              <w:rPr>
                <w:sz w:val="6"/>
                <w:szCs w:val="6"/>
                <w:color w:val="auto"/>
              </w:rPr>
            </w:pPr>
          </w:p>
        </w:tc>
        <w:tc>
          <w:tcPr>
            <w:tcW w:w="9140" w:type="dxa"/>
            <w:vAlign w:val="bottom"/>
            <w:tcBorders>
              <w:right w:val="single" w:sz="8" w:color="E52823"/>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spacing w:after="0"/>
              <w:rPr>
                <w:sz w:val="16"/>
                <w:szCs w:val="16"/>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Global Code of Business Conduct applicable to directors, officers and employees</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Ethics training annually for all employees</w:t>
            </w:r>
          </w:p>
        </w:tc>
        <w:tc>
          <w:tcPr>
            <w:tcW w:w="0" w:type="dxa"/>
            <w:vAlign w:val="bottom"/>
          </w:tcPr>
          <w:p>
            <w:pPr>
              <w:spacing w:after="0"/>
              <w:rPr>
                <w:sz w:val="1"/>
                <w:szCs w:val="1"/>
                <w:color w:val="auto"/>
              </w:rPr>
            </w:pPr>
          </w:p>
        </w:tc>
      </w:tr>
      <w:tr>
        <w:trPr>
          <w:trHeight w:val="264"/>
        </w:trPr>
        <w:tc>
          <w:tcPr>
            <w:tcW w:w="1900" w:type="dxa"/>
            <w:vAlign w:val="bottom"/>
            <w:tcBorders>
              <w:left w:val="single" w:sz="8" w:color="E52823"/>
              <w:right w:val="single" w:sz="8" w:color="E52823"/>
            </w:tcBorders>
          </w:tcPr>
          <w:p>
            <w:pPr>
              <w:spacing w:after="0"/>
              <w:rPr>
                <w:sz w:val="22"/>
                <w:szCs w:val="22"/>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Securities Trading Policy prohibits hedging by directors and executive officers, and prohibits short sales, pledging and</w:t>
            </w:r>
          </w:p>
        </w:tc>
        <w:tc>
          <w:tcPr>
            <w:tcW w:w="0" w:type="dxa"/>
            <w:vAlign w:val="bottom"/>
          </w:tcPr>
          <w:p>
            <w:pPr>
              <w:spacing w:after="0"/>
              <w:rPr>
                <w:sz w:val="1"/>
                <w:szCs w:val="1"/>
                <w:color w:val="auto"/>
              </w:rPr>
            </w:pPr>
          </w:p>
        </w:tc>
      </w:tr>
      <w:tr>
        <w:trPr>
          <w:trHeight w:val="195"/>
        </w:trPr>
        <w:tc>
          <w:tcPr>
            <w:tcW w:w="1900" w:type="dxa"/>
            <w:vAlign w:val="bottom"/>
            <w:tcBorders>
              <w:left w:val="single" w:sz="8" w:color="E52823"/>
              <w:right w:val="single" w:sz="8" w:color="E52823"/>
            </w:tcBorders>
          </w:tcPr>
          <w:p>
            <w:pPr>
              <w:spacing w:after="0"/>
              <w:rPr>
                <w:sz w:val="16"/>
                <w:szCs w:val="16"/>
                <w:color w:val="auto"/>
              </w:rPr>
            </w:pPr>
          </w:p>
        </w:tc>
        <w:tc>
          <w:tcPr>
            <w:tcW w:w="9140" w:type="dxa"/>
            <w:vAlign w:val="bottom"/>
            <w:tcBorders>
              <w:right w:val="single" w:sz="8" w:color="E52823"/>
            </w:tcBorders>
          </w:tcPr>
          <w:p>
            <w:pPr>
              <w:ind w:left="280"/>
              <w:spacing w:after="0"/>
              <w:rPr>
                <w:sz w:val="20"/>
                <w:szCs w:val="20"/>
                <w:color w:val="auto"/>
              </w:rPr>
            </w:pPr>
            <w:r>
              <w:rPr>
                <w:rFonts w:ascii="Arial" w:cs="Arial" w:eastAsia="Arial" w:hAnsi="Arial"/>
                <w:sz w:val="16"/>
                <w:szCs w:val="16"/>
                <w:color w:val="auto"/>
              </w:rPr>
              <w:t>buying or selling puts, calls, options or other derivative securities of the Company by directors, officers and employees</w:t>
            </w:r>
          </w:p>
        </w:tc>
        <w:tc>
          <w:tcPr>
            <w:tcW w:w="0" w:type="dxa"/>
            <w:vAlign w:val="bottom"/>
          </w:tcPr>
          <w:p>
            <w:pPr>
              <w:spacing w:after="0"/>
              <w:rPr>
                <w:sz w:val="1"/>
                <w:szCs w:val="1"/>
                <w:color w:val="auto"/>
              </w:rPr>
            </w:pPr>
          </w:p>
        </w:tc>
      </w:tr>
      <w:tr>
        <w:trPr>
          <w:trHeight w:val="270"/>
        </w:trPr>
        <w:tc>
          <w:tcPr>
            <w:tcW w:w="1900" w:type="dxa"/>
            <w:vAlign w:val="bottom"/>
            <w:tcBorders>
              <w:left w:val="single" w:sz="8" w:color="E52823"/>
              <w:right w:val="single" w:sz="8" w:color="E52823"/>
            </w:tcBorders>
          </w:tcPr>
          <w:p>
            <w:pPr>
              <w:spacing w:after="0"/>
              <w:rPr>
                <w:sz w:val="23"/>
                <w:szCs w:val="23"/>
                <w:color w:val="auto"/>
              </w:rPr>
            </w:pPr>
          </w:p>
        </w:tc>
        <w:tc>
          <w:tcPr>
            <w:tcW w:w="9140" w:type="dxa"/>
            <w:vAlign w:val="bottom"/>
            <w:tcBorders>
              <w:right w:val="single" w:sz="8" w:color="E52823"/>
            </w:tcBorders>
          </w:tcPr>
          <w:p>
            <w:pPr>
              <w:ind w:left="320"/>
              <w:spacing w:after="0"/>
              <w:rPr>
                <w:sz w:val="20"/>
                <w:szCs w:val="20"/>
                <w:color w:val="auto"/>
              </w:rPr>
            </w:pPr>
            <w:r>
              <w:rPr>
                <w:rFonts w:ascii="Arial" w:cs="Arial" w:eastAsia="Arial" w:hAnsi="Arial"/>
                <w:sz w:val="16"/>
                <w:szCs w:val="16"/>
                <w:color w:val="auto"/>
              </w:rPr>
              <w:t>Stock ownership guidelines for directors and executive officers</w:t>
            </w:r>
          </w:p>
        </w:tc>
        <w:tc>
          <w:tcPr>
            <w:tcW w:w="0" w:type="dxa"/>
            <w:vAlign w:val="bottom"/>
          </w:tcPr>
          <w:p>
            <w:pPr>
              <w:spacing w:after="0"/>
              <w:rPr>
                <w:sz w:val="1"/>
                <w:szCs w:val="1"/>
                <w:color w:val="auto"/>
              </w:rPr>
            </w:pPr>
          </w:p>
        </w:tc>
      </w:tr>
      <w:tr>
        <w:trPr>
          <w:trHeight w:val="273"/>
        </w:trPr>
        <w:tc>
          <w:tcPr>
            <w:tcW w:w="1900" w:type="dxa"/>
            <w:vAlign w:val="bottom"/>
            <w:tcBorders>
              <w:left w:val="single" w:sz="8" w:color="E52823"/>
              <w:bottom w:val="single" w:sz="8" w:color="E52823"/>
              <w:right w:val="single" w:sz="8" w:color="E52823"/>
            </w:tcBorders>
          </w:tcPr>
          <w:p>
            <w:pPr>
              <w:spacing w:after="0"/>
              <w:rPr>
                <w:sz w:val="23"/>
                <w:szCs w:val="23"/>
                <w:color w:val="auto"/>
              </w:rPr>
            </w:pPr>
          </w:p>
        </w:tc>
        <w:tc>
          <w:tcPr>
            <w:tcW w:w="9140" w:type="dxa"/>
            <w:vAlign w:val="bottom"/>
            <w:tcBorders>
              <w:bottom w:val="single" w:sz="8" w:color="E52823"/>
              <w:right w:val="single" w:sz="8" w:color="E52823"/>
            </w:tcBorders>
          </w:tcPr>
          <w:p>
            <w:pPr>
              <w:ind w:left="320"/>
              <w:spacing w:after="0"/>
              <w:rPr>
                <w:sz w:val="20"/>
                <w:szCs w:val="20"/>
                <w:color w:val="auto"/>
              </w:rPr>
            </w:pPr>
            <w:r>
              <w:rPr>
                <w:rFonts w:ascii="Arial" w:cs="Arial" w:eastAsia="Arial" w:hAnsi="Arial"/>
                <w:sz w:val="16"/>
                <w:szCs w:val="16"/>
                <w:color w:val="auto"/>
              </w:rPr>
              <w:t>Responsible corporate citizenship and environmental initiatives</w:t>
            </w:r>
          </w:p>
        </w:tc>
        <w:tc>
          <w:tcPr>
            <w:tcW w:w="0" w:type="dxa"/>
            <w:vAlign w:val="bottom"/>
          </w:tcPr>
          <w:p>
            <w:pPr>
              <w:spacing w:after="0"/>
              <w:rPr>
                <w:sz w:val="1"/>
                <w:szCs w:val="1"/>
                <w:color w:val="auto"/>
              </w:rPr>
            </w:pPr>
          </w:p>
        </w:tc>
      </w:tr>
      <w:tr>
        <w:trPr>
          <w:trHeight w:val="922"/>
        </w:trPr>
        <w:tc>
          <w:tcPr>
            <w:tcW w:w="1900" w:type="dxa"/>
            <w:vAlign w:val="bottom"/>
          </w:tcPr>
          <w:p>
            <w:pPr>
              <w:spacing w:after="0"/>
              <w:rPr>
                <w:sz w:val="24"/>
                <w:szCs w:val="24"/>
                <w:color w:val="auto"/>
              </w:rPr>
            </w:pPr>
          </w:p>
        </w:tc>
        <w:tc>
          <w:tcPr>
            <w:tcW w:w="9140" w:type="dxa"/>
            <w:vAlign w:val="bottom"/>
          </w:tcPr>
          <w:p>
            <w:pPr>
              <w:ind w:left="8760"/>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-5765165</wp:posOffset>
            </wp:positionV>
            <wp:extent cx="85725"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-5593715</wp:posOffset>
            </wp:positionV>
            <wp:extent cx="85725"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-5422265</wp:posOffset>
            </wp:positionV>
            <wp:extent cx="85725"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-5130800</wp:posOffset>
            </wp:positionV>
            <wp:extent cx="85725"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-4959350</wp:posOffset>
            </wp:positionV>
            <wp:extent cx="85725"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-4813300</wp:posOffset>
            </wp:positionV>
            <wp:extent cx="85725"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-4521835</wp:posOffset>
            </wp:positionV>
            <wp:extent cx="85725"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-4230370</wp:posOffset>
            </wp:positionV>
            <wp:extent cx="85725"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-3938905</wp:posOffset>
            </wp:positionV>
            <wp:extent cx="85725"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-3767455</wp:posOffset>
            </wp:positionV>
            <wp:extent cx="85725"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-3475990</wp:posOffset>
            </wp:positionV>
            <wp:extent cx="85725"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-3304540</wp:posOffset>
            </wp:positionV>
            <wp:extent cx="85725"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-3133090</wp:posOffset>
            </wp:positionV>
            <wp:extent cx="85725"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-2987675</wp:posOffset>
            </wp:positionV>
            <wp:extent cx="85725"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-2816225</wp:posOffset>
            </wp:positionV>
            <wp:extent cx="85725"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-2644775</wp:posOffset>
            </wp:positionV>
            <wp:extent cx="85725"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-2473325</wp:posOffset>
            </wp:positionV>
            <wp:extent cx="85725"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-2301875</wp:posOffset>
            </wp:positionV>
            <wp:extent cx="85725"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-2130425</wp:posOffset>
            </wp:positionV>
            <wp:extent cx="85725"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-1958975</wp:posOffset>
            </wp:positionV>
            <wp:extent cx="85725"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-1812925</wp:posOffset>
            </wp:positionV>
            <wp:extent cx="85725"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-1641475</wp:posOffset>
            </wp:positionV>
            <wp:extent cx="85725"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-1521460</wp:posOffset>
            </wp:positionV>
            <wp:extent cx="85725"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-1350010</wp:posOffset>
            </wp:positionV>
            <wp:extent cx="85725"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-1178560</wp:posOffset>
            </wp:positionV>
            <wp:extent cx="85725"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-887095</wp:posOffset>
            </wp:positionV>
            <wp:extent cx="85725"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-715645</wp:posOffset>
            </wp:positionV>
            <wp:extent cx="85725"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-338455</wp:posOffset>
            </wp:positionV>
            <wp:extent cx="6995160" cy="6254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213"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Our Board has determined that all of our non-employee directors, who are listed below, meet the applicable criteria for independence established by the NYSE. Olivier Rabiller is not an independent director under the NYSE rules due to his employment as our Chief Executive Officer and President.</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4"/>
          <w:szCs w:val="14"/>
          <w:color w:val="E52823"/>
        </w:rPr>
        <w:t>Independent Directors</w:t>
      </w:r>
    </w:p>
    <w:tbl>
      <w:tblPr>
        <w:tblLayout w:type="fixed"/>
        <w:tblInd w:w="120" w:type="dxa"/>
        <w:tblCellMar>
          <w:top w:w="0" w:type="dxa"/>
          <w:left w:w="0" w:type="dxa"/>
          <w:bottom w:w="0" w:type="dxa"/>
          <w:right w:w="0" w:type="dxa"/>
        </w:tblCellMar>
      </w:tblPr>
      <w:tr>
        <w:trPr>
          <w:trHeight w:val="211"/>
        </w:trPr>
        <w:tc>
          <w:tcPr>
            <w:tcW w:w="3860" w:type="dxa"/>
            <w:vAlign w:val="bottom"/>
            <w:tcBorders>
              <w:top w:val="single" w:sz="8" w:color="auto"/>
            </w:tcBorders>
            <w:shd w:val="clear" w:color="auto" w:fill="EDEDED"/>
          </w:tcPr>
          <w:p>
            <w:pPr>
              <w:ind w:left="60"/>
              <w:spacing w:after="0"/>
              <w:rPr>
                <w:sz w:val="20"/>
                <w:szCs w:val="20"/>
                <w:color w:val="auto"/>
              </w:rPr>
            </w:pPr>
            <w:r>
              <w:rPr>
                <w:rFonts w:ascii="Arial" w:cs="Arial" w:eastAsia="Arial" w:hAnsi="Arial"/>
                <w:sz w:val="16"/>
                <w:szCs w:val="16"/>
                <w:color w:val="auto"/>
              </w:rPr>
              <w:t>Carlos M. Cardoso</w:t>
            </w:r>
          </w:p>
        </w:tc>
        <w:tc>
          <w:tcPr>
            <w:tcW w:w="2780" w:type="dxa"/>
            <w:vAlign w:val="bottom"/>
            <w:tcBorders>
              <w:top w:val="single" w:sz="8" w:color="auto"/>
            </w:tcBorders>
            <w:shd w:val="clear" w:color="auto" w:fill="EDEDED"/>
          </w:tcPr>
          <w:p>
            <w:pPr>
              <w:ind w:left="120"/>
              <w:spacing w:after="0"/>
              <w:rPr>
                <w:sz w:val="20"/>
                <w:szCs w:val="20"/>
                <w:color w:val="auto"/>
              </w:rPr>
            </w:pPr>
            <w:r>
              <w:rPr>
                <w:rFonts w:ascii="Arial" w:cs="Arial" w:eastAsia="Arial" w:hAnsi="Arial"/>
                <w:sz w:val="16"/>
                <w:szCs w:val="16"/>
                <w:color w:val="auto"/>
              </w:rPr>
              <w:t>Courtney M. Enghauser</w:t>
            </w:r>
          </w:p>
        </w:tc>
        <w:tc>
          <w:tcPr>
            <w:tcW w:w="4380" w:type="dxa"/>
            <w:vAlign w:val="bottom"/>
            <w:tcBorders>
              <w:top w:val="single" w:sz="8" w:color="auto"/>
            </w:tcBorders>
            <w:shd w:val="clear" w:color="auto" w:fill="EDEDED"/>
          </w:tcPr>
          <w:p>
            <w:pPr>
              <w:ind w:left="980"/>
              <w:spacing w:after="0"/>
              <w:rPr>
                <w:sz w:val="20"/>
                <w:szCs w:val="20"/>
                <w:color w:val="auto"/>
              </w:rPr>
            </w:pPr>
            <w:r>
              <w:rPr>
                <w:rFonts w:ascii="Arial" w:cs="Arial" w:eastAsia="Arial" w:hAnsi="Arial"/>
                <w:sz w:val="16"/>
                <w:szCs w:val="16"/>
                <w:color w:val="auto"/>
              </w:rPr>
              <w:t>Carsten J. Reinhardt</w:t>
            </w:r>
          </w:p>
        </w:tc>
      </w:tr>
      <w:tr>
        <w:trPr>
          <w:trHeight w:val="189"/>
        </w:trPr>
        <w:tc>
          <w:tcPr>
            <w:tcW w:w="3860" w:type="dxa"/>
            <w:vAlign w:val="bottom"/>
            <w:shd w:val="clear" w:color="auto" w:fill="EDEDED"/>
          </w:tcPr>
          <w:p>
            <w:pPr>
              <w:ind w:left="60"/>
              <w:spacing w:after="0"/>
              <w:rPr>
                <w:sz w:val="20"/>
                <w:szCs w:val="20"/>
                <w:color w:val="auto"/>
              </w:rPr>
            </w:pPr>
            <w:r>
              <w:rPr>
                <w:rFonts w:ascii="Arial" w:cs="Arial" w:eastAsia="Arial" w:hAnsi="Arial"/>
                <w:sz w:val="16"/>
                <w:szCs w:val="16"/>
                <w:color w:val="auto"/>
              </w:rPr>
              <w:t>Maura J. Clark</w:t>
            </w:r>
          </w:p>
        </w:tc>
        <w:tc>
          <w:tcPr>
            <w:tcW w:w="2780" w:type="dxa"/>
            <w:vAlign w:val="bottom"/>
            <w:shd w:val="clear" w:color="auto" w:fill="EDEDED"/>
          </w:tcPr>
          <w:p>
            <w:pPr>
              <w:ind w:left="120"/>
              <w:spacing w:after="0"/>
              <w:rPr>
                <w:sz w:val="20"/>
                <w:szCs w:val="20"/>
                <w:color w:val="auto"/>
              </w:rPr>
            </w:pPr>
            <w:r>
              <w:rPr>
                <w:rFonts w:ascii="Arial" w:cs="Arial" w:eastAsia="Arial" w:hAnsi="Arial"/>
                <w:sz w:val="16"/>
                <w:szCs w:val="16"/>
                <w:color w:val="auto"/>
              </w:rPr>
              <w:t>Susan L. Main</w:t>
            </w:r>
          </w:p>
        </w:tc>
        <w:tc>
          <w:tcPr>
            <w:tcW w:w="4380" w:type="dxa"/>
            <w:vAlign w:val="bottom"/>
            <w:shd w:val="clear" w:color="auto" w:fill="EDEDED"/>
          </w:tcPr>
          <w:p>
            <w:pPr>
              <w:ind w:left="980"/>
              <w:spacing w:after="0"/>
              <w:rPr>
                <w:sz w:val="20"/>
                <w:szCs w:val="20"/>
                <w:color w:val="auto"/>
              </w:rPr>
            </w:pPr>
            <w:r>
              <w:rPr>
                <w:rFonts w:ascii="Arial" w:cs="Arial" w:eastAsia="Arial" w:hAnsi="Arial"/>
                <w:sz w:val="16"/>
                <w:szCs w:val="16"/>
                <w:color w:val="auto"/>
              </w:rPr>
              <w:t>Jérôme Stoll</w:t>
            </w:r>
          </w:p>
        </w:tc>
      </w:tr>
      <w:tr>
        <w:trPr>
          <w:trHeight w:val="187"/>
        </w:trPr>
        <w:tc>
          <w:tcPr>
            <w:tcW w:w="3860" w:type="dxa"/>
            <w:vAlign w:val="bottom"/>
            <w:tcBorders>
              <w:bottom w:val="single" w:sz="8" w:color="E52823"/>
            </w:tcBorders>
            <w:shd w:val="clear" w:color="auto" w:fill="EDEDED"/>
          </w:tcPr>
          <w:p>
            <w:pPr>
              <w:spacing w:after="0"/>
              <w:rPr>
                <w:sz w:val="16"/>
                <w:szCs w:val="16"/>
                <w:color w:val="auto"/>
              </w:rPr>
            </w:pPr>
          </w:p>
        </w:tc>
        <w:tc>
          <w:tcPr>
            <w:tcW w:w="2780" w:type="dxa"/>
            <w:vAlign w:val="bottom"/>
            <w:tcBorders>
              <w:bottom w:val="single" w:sz="8" w:color="E52823"/>
            </w:tcBorders>
            <w:shd w:val="clear" w:color="auto" w:fill="EDEDED"/>
          </w:tcPr>
          <w:p>
            <w:pPr>
              <w:spacing w:after="0"/>
              <w:rPr>
                <w:sz w:val="16"/>
                <w:szCs w:val="16"/>
                <w:color w:val="auto"/>
              </w:rPr>
            </w:pPr>
          </w:p>
        </w:tc>
        <w:tc>
          <w:tcPr>
            <w:tcW w:w="4380" w:type="dxa"/>
            <w:vAlign w:val="bottom"/>
            <w:tcBorders>
              <w:bottom w:val="single" w:sz="8" w:color="E52823"/>
            </w:tcBorders>
            <w:shd w:val="clear" w:color="auto" w:fill="EDEDED"/>
          </w:tcPr>
          <w:p>
            <w:pPr>
              <w:ind w:left="980"/>
              <w:spacing w:after="0"/>
              <w:rPr>
                <w:sz w:val="20"/>
                <w:szCs w:val="20"/>
                <w:color w:val="auto"/>
              </w:rPr>
            </w:pPr>
            <w:r>
              <w:rPr>
                <w:rFonts w:ascii="Arial" w:cs="Arial" w:eastAsia="Arial" w:hAnsi="Arial"/>
                <w:sz w:val="16"/>
                <w:szCs w:val="16"/>
                <w:color w:val="auto"/>
              </w:rPr>
              <w:t>Scott A. Tozier</w:t>
            </w:r>
          </w:p>
        </w:tc>
      </w:tr>
    </w:tbl>
    <w:p>
      <w:pPr>
        <w:spacing w:after="0" w:line="177"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In arriving at the foregoing independence determinations, the Board reviewed and discussed information provided by the directors with regard to each director’s business and personal activities and any relationships they have with us and our management. The Board considered that Carsten J. Reinhardt is a director and minority shareholder of Tegimus Holding GmbH (“Tegimus”), a supplier to Garrett. In 2019, the Company’s payments to Tegimus did not exceed 2% of Tegimus’ gross revenues. The Board determined that this relationship does not impair Mr. Reinhardt’s independence. The Board also considered that Jérôme Stoll is an employee of Renault, a customer of Garrett. In 2019, the Company’s payments from Renault did not exceed 2% of Renault’s revenues. The Board determined that this relationship does not impair Mr. Stoll’s independence.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Leadership Structure</w:t>
      </w:r>
    </w:p>
    <w:p>
      <w:pPr>
        <w:spacing w:after="0" w:line="200"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We do not have any fixed rule as to whether our Chairperson and Chief Executive Officer positions should be separate, or whether our Chairperson should be an employee or elected from among non-employee directors. We believe that it is in the best interests of the Company to have the flexibility to evaluate its leadership structure over time as part of Garrett’s ongoing succession planning process. In the event that, in the future, the Chairperson of the Board is not an independent director, our Corporate Governance Guidelines provide that an independent “Lead Director” will be elected from among the independent directors.</w:t>
      </w:r>
    </w:p>
    <w:p>
      <w:pPr>
        <w:spacing w:after="0" w:line="176"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The Board has determined that the best leadership structure for Garrett at this time is to separate the positions of Chairperson and Chief Executive Officer, with an independent Chairperson leading the Board. We believe this structure enhances the Board’s ability to exercise independent oversight of management as Garrett navigates the early stages of life as an independent public company. During this crucial and transformative period, the duties of Chairperson of the Board and Chief Executive Officer are particularly demanding.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Meetings and Attendance</w:t>
      </w:r>
    </w:p>
    <w:p>
      <w:pPr>
        <w:spacing w:after="0" w:line="200"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Board members are expected to prepare for, attend and participate in all meetings of the Board and committees on which they serve. Our Board met nine times during the fiscal year ended December 31, 2019. During 2019, each director attended at least 75% of the aggregate of the total number of Board meetings and committee meetings on which he or she then served. We do not maintain a formal policy regarding director attendance at the annual meeting; however, it is expected that, absent compelling circumstances, directors will attend. All of our directors attended last year’s annual meeting.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Sessions of Non-Employee Directors</w:t>
      </w:r>
    </w:p>
    <w:p>
      <w:pPr>
        <w:spacing w:after="0" w:line="200"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As provided in the Corporate Governance Guidelines, the Board holds executive sessions of its non-employee directors on at least a quarterly basis, including at least one executive session of independent directors annually. Over the course of each year, the topics of discussion in executive sessions of non-employee directors will include management performance and succession plans, Board compliance with the Company’s corporate governance policies and the needs of the Board. Carlos M. Cardoso, the independent Chairperson of the Board, currently presides over executive sessions. Our Corporate Governance Guidelines provide that, if we have a Lead Director, the Lead Director will preside over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61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Orientation and Continuing Education</w:t>
      </w:r>
    </w:p>
    <w:p>
      <w:pPr>
        <w:spacing w:after="0" w:line="213"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The Board views orientation and continuing education as vital tools for building an effective Board. We provide all new directors, upon joining the Board, with an orientation session regarding the Board and the Company’s operations. The orientation consists of presentations by members of senior management on the Company’s strategic plans, financial statements and key issues, policies and practices. We also periodically provide materials, updates and presentations, including in regular Board and committee meetings, or provided by qualified third-parties, to all directors on issues and subjects that assist them in fulfilling their responsibilities, such as key industry developments and the competitive landscape. The Board also periodically visits our facilities around the globe. In addition, the Company pays for all expenses for any director who wishes to attend seminars, conferences and other continuing education programs designed for directors of public companies.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Refreshment</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will regularly assess its composition to identify the qualifications and skills that directors and candidates should possess. To promote thoughtful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 refreshment, we have:</w:t>
      </w:r>
    </w:p>
    <w:p>
      <w:pPr>
        <w:spacing w:after="0" w:line="127" w:lineRule="exact"/>
        <w:rPr>
          <w:sz w:val="20"/>
          <w:szCs w:val="20"/>
          <w:color w:val="auto"/>
        </w:rPr>
      </w:pPr>
    </w:p>
    <w:p>
      <w:pPr>
        <w:ind w:left="340" w:right="320" w:hanging="224"/>
        <w:spacing w:after="0" w:line="222" w:lineRule="auto"/>
        <w:tabs>
          <w:tab w:leader="none" w:pos="340" w:val="left"/>
        </w:tabs>
        <w:numPr>
          <w:ilvl w:val="0"/>
          <w:numId w:val="17"/>
        </w:numPr>
        <w:rPr>
          <w:rFonts w:ascii="Arial" w:cs="Arial" w:eastAsia="Arial" w:hAnsi="Arial"/>
          <w:sz w:val="16"/>
          <w:szCs w:val="16"/>
          <w:color w:val="E52823"/>
        </w:rPr>
      </w:pPr>
      <w:r>
        <w:rPr>
          <w:rFonts w:ascii="Arial" w:cs="Arial" w:eastAsia="Arial" w:hAnsi="Arial"/>
          <w:sz w:val="16"/>
          <w:szCs w:val="16"/>
          <w:color w:val="auto"/>
        </w:rPr>
        <w:t>adopted a retirement age policy under which non-employee directors will serve only until the annual meeting of stockholders immediately following their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birthday, unless otherwise approved by the Board;</w:t>
      </w:r>
    </w:p>
    <w:p>
      <w:pPr>
        <w:spacing w:after="0" w:line="1" w:lineRule="exact"/>
        <w:rPr>
          <w:rFonts w:ascii="Arial" w:cs="Arial" w:eastAsia="Arial" w:hAnsi="Arial"/>
          <w:sz w:val="16"/>
          <w:szCs w:val="16"/>
          <w:color w:val="E52823"/>
        </w:rPr>
      </w:pPr>
    </w:p>
    <w:p>
      <w:pPr>
        <w:ind w:left="340" w:hanging="224"/>
        <w:spacing w:after="0"/>
        <w:tabs>
          <w:tab w:leader="none" w:pos="340" w:val="left"/>
        </w:tabs>
        <w:numPr>
          <w:ilvl w:val="0"/>
          <w:numId w:val="17"/>
        </w:numPr>
        <w:rPr>
          <w:rFonts w:ascii="Arial" w:cs="Arial" w:eastAsia="Arial" w:hAnsi="Arial"/>
          <w:sz w:val="16"/>
          <w:szCs w:val="16"/>
          <w:color w:val="E52823"/>
        </w:rPr>
      </w:pPr>
      <w:r>
        <w:rPr>
          <w:rFonts w:ascii="Arial" w:cs="Arial" w:eastAsia="Arial" w:hAnsi="Arial"/>
          <w:sz w:val="16"/>
          <w:szCs w:val="16"/>
          <w:color w:val="auto"/>
        </w:rPr>
        <w:t>developed a comprehensive Board succession planning process; and</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17"/>
        </w:numPr>
        <w:rPr>
          <w:rFonts w:ascii="Arial" w:cs="Arial" w:eastAsia="Arial" w:hAnsi="Arial"/>
          <w:sz w:val="16"/>
          <w:szCs w:val="16"/>
          <w:color w:val="E52823"/>
        </w:rPr>
      </w:pPr>
      <w:r>
        <w:rPr>
          <w:rFonts w:ascii="Arial" w:cs="Arial" w:eastAsia="Arial" w:hAnsi="Arial"/>
          <w:sz w:val="16"/>
          <w:szCs w:val="16"/>
          <w:color w:val="auto"/>
        </w:rPr>
        <w:t>implemented an annual Board and Committee self-assessment process.</w:t>
      </w:r>
    </w:p>
    <w:p>
      <w:pPr>
        <w:spacing w:after="0" w:line="181"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We believe that, over time, the Board will benefit from a mix of new directors, who will bring fresh ideas and viewpoints, and longer-serving directors who will have developed deep insight into the Company’s business and operations. As Garrett matures as an independent company, the Board will seek to maintain a balance of directors who have longer terms of service and directors who have joined more recently. Reflecting our commitment to Board refreshment, in 2020, the Board elected Jérôme Stoll, an independent director, to the Board.</w:t>
      </w:r>
    </w:p>
    <w:p>
      <w:pPr>
        <w:spacing w:after="0" w:line="276" w:lineRule="exact"/>
        <w:rPr>
          <w:sz w:val="20"/>
          <w:szCs w:val="20"/>
          <w:color w:val="auto"/>
        </w:rPr>
      </w:pPr>
    </w:p>
    <w:p>
      <w:pPr>
        <w:ind w:left="120" w:right="780"/>
        <w:spacing w:after="0" w:line="261" w:lineRule="auto"/>
        <w:rPr>
          <w:sz w:val="20"/>
          <w:szCs w:val="20"/>
          <w:color w:val="auto"/>
        </w:rPr>
      </w:pPr>
      <w:r>
        <w:rPr>
          <w:rFonts w:ascii="Arial" w:cs="Arial" w:eastAsia="Arial" w:hAnsi="Arial"/>
          <w:sz w:val="22"/>
          <w:szCs w:val="22"/>
          <w:b w:val="1"/>
          <w:bCs w:val="1"/>
          <w:color w:val="auto"/>
        </w:rPr>
        <w:t>Comprehensive, Ongoing Process for Board Succession Planning and Selection and Nomination of Directors</w:t>
      </w:r>
    </w:p>
    <w:p>
      <w:pPr>
        <w:spacing w:after="0" w:line="159"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As provided in our Corporate Governance Guidelines, the Board, together with the Nominating and Governance Committee, is responsible for annually evaluating the requisite skills and characteristics of Board members, as well as its composition as a whole to ensure the overall Board composition, as well as the perspective and skills of its individual members, will effectively support Garrett’s growth and commercial strategy, as well as effectively oversee risk management, capital allocation and management succession. The Board’s assessment includes a consideration of independence, diversity, age, skills, experience and industry backgrounds in the context of the needs of the Board and the Company, as well as the ability of members (and any candidates for membership) to devote sufficient time to performing their duties in an effective manner.</w:t>
      </w:r>
    </w:p>
    <w:p>
      <w:pPr>
        <w:spacing w:after="0" w:line="164"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Each year, the Nominating and Governance Committee assesses the directors to be nominated for election by stockholders at the annual meeting. To ensure that the Board evolves in a manner that serves the business and strategic needs of the Company, before recommending for re-nomination a slate of incumbent directors for an additional term, the Nominating and Governance Committee will evaluate whether incumbent directors possess the requisite skills and perspective, both individually and collectively. At a minimum, directors are expected to exemplify high standards of personal and professional integrity and to constructively challenge management through their active participation and questioning. The Board also considers the other demands on the time of a candidate, and with respect to current members of the Board, their attendance at, preparedness for and participation in, Board and committee meetings.</w:t>
      </w:r>
    </w:p>
    <w:p>
      <w:pPr>
        <w:spacing w:after="0" w:line="168"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auto"/>
        </w:rPr>
        <w:t>The Nominating and Governance Committee has responsibility for periodically identifying and recruiting new members to the Board based on needs and skills identified through discussions with the Chairperson of the Board, the Chief Executive Officer, the Lead Director (if any) and other Board members. When these needs arise,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6254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13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anticipate that potential candidates meeting these criteria will be identified either by professional recruiting agencies, reputation or existing Board members. Candidates will be interviewed by the Chairperson, Chief Executive Officer, Lead Director (if any) and other members of the Board, as appropriate, to ensure that candidates not only possess the requisite skills and characteristics but also the personality, leadership traits, work ethic and independence to effectively contribute as a member of the Board.</w:t>
      </w:r>
    </w:p>
    <w:p>
      <w:pPr>
        <w:spacing w:after="0" w:line="175"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auto"/>
        </w:rPr>
        <w:t>Courtney M. Enghauser and Carsten J. Reinhardt, each a Class II director nominee for election at the Annual Meeting, was recommended by Honeywell prior to the Spin-Off. Jérôme Stoll, also a Class II director nominee for election at the Annual Meeting, was recommended to the Board by the Company’s Chief Executive Officer.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Consideration of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831215" cy="8312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3121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80" w:right="240"/>
        <w:spacing w:after="0" w:line="260" w:lineRule="auto"/>
        <w:rPr>
          <w:sz w:val="20"/>
          <w:szCs w:val="20"/>
          <w:color w:val="auto"/>
        </w:rPr>
      </w:pPr>
      <w:r>
        <w:rPr>
          <w:rFonts w:ascii="Arial" w:cs="Arial" w:eastAsia="Arial" w:hAnsi="Arial"/>
          <w:sz w:val="16"/>
          <w:szCs w:val="16"/>
          <w:color w:val="auto"/>
        </w:rPr>
        <w:t xml:space="preserve">The Board and the Nominating and Governance Committee are committed to ensuring the Board functions effectively and with appropriate diversity and expertise. </w:t>
      </w:r>
      <w:r>
        <w:rPr>
          <w:rFonts w:ascii="Arial" w:cs="Arial" w:eastAsia="Arial" w:hAnsi="Arial"/>
          <w:sz w:val="16"/>
          <w:szCs w:val="16"/>
          <w:color w:val="E52823"/>
        </w:rPr>
        <w:t>38%</w:t>
      </w:r>
      <w:r>
        <w:rPr>
          <w:rFonts w:ascii="Arial" w:cs="Arial" w:eastAsia="Arial" w:hAnsi="Arial"/>
          <w:sz w:val="16"/>
          <w:szCs w:val="16"/>
          <w:color w:val="auto"/>
        </w:rPr>
        <w:t xml:space="preserve"> of our directors are women.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Company believes that a Board made up of highly qualified individuals from diverse backgrounds promotes better corporate governance and performance and effective decision-making and thus has included diversity as a factor that will be taken into consideration by the Nominating and Governance Committee and the Board when identifying director candidates and recommending or selecting nominees for election by stockholders. As of the date of this proxy statement, the Board does not have a formal policy with respect to diversity, but strives to maintain a Board in which each gender represents at least 33% of independent directors.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 Recommendations and Nominations of Director Candidates</w:t>
      </w:r>
    </w:p>
    <w:p>
      <w:pPr>
        <w:spacing w:after="0" w:line="200"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Stockholders may recommend individuals to the Nominating and Governance Committee for consideration as potential director candidates by submitting the names of the recommended individuals, together with appropriate biographical information and background materials, to the Nominating and Governance Committee, c/o Secretary, Garrett Motion Inc., La Pièce 16, Rolle, Switzerland 1180. In the event there is a vacancy, and assuming that appropriate biographical and background material has been provided within a reasonable amount of time before we plan to file our proxy statement, the Nominating and Governance Committee will evaluate stockholder-recommended candidates by following substantially the same process, and applying substantially the same criteria, as it follows for candidates submitted by others.</w:t>
      </w:r>
    </w:p>
    <w:p>
      <w:pPr>
        <w:spacing w:after="0" w:line="178"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6"/>
          <w:szCs w:val="16"/>
          <w:color w:val="auto"/>
        </w:rPr>
        <w:t>Stockholders also have the right under our Bylaws to directly nominate director candidates for inclusion in our proxy statement, without any action or recommendation on the part of the Nominating and Governance Committee or the Board, by following the procedures set forth in our Bylaws that are described below under the heading “Additional Information—Stockholder Proposals and Director Nominations.”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Governance Documents</w:t>
      </w:r>
    </w:p>
    <w:p>
      <w:pPr>
        <w:spacing w:after="0" w:line="200"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 xml:space="preserve">We believe that good corporate governance is important to ensure that Garrett is managed for the long-term benefit of our stockholders. Our Nominating and Governance Committee will periodically review and reassess our Corporate Governance Guidelines, other governance documents and overall governance structure. Complete copies of our Corporate Governance Guidelines and committee charters are available on the “Investors—Leadership &amp; Governance” section of our website at </w:t>
      </w:r>
      <w:r>
        <w:rPr>
          <w:rFonts w:ascii="Arial" w:cs="Arial" w:eastAsia="Arial" w:hAnsi="Arial"/>
          <w:sz w:val="16"/>
          <w:szCs w:val="16"/>
          <w:color w:val="E52823"/>
        </w:rPr>
        <w:t>www.garrettmotion.com</w:t>
      </w:r>
      <w:r>
        <w:rPr>
          <w:rFonts w:ascii="Arial" w:cs="Arial" w:eastAsia="Arial" w:hAnsi="Arial"/>
          <w:sz w:val="16"/>
          <w:szCs w:val="16"/>
          <w:color w:val="auto"/>
        </w:rPr>
        <w:t>. Alternatively, you may request a copy of any of these documents by writing to Garrett Motion Inc., Attention: Jérôme Maironi, Secretary, La Pièce 16, Rolle, Switzerland 1180.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61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14</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Conduct</w:t>
      </w:r>
    </w:p>
    <w:p>
      <w:pPr>
        <w:spacing w:after="0" w:line="213"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 xml:space="preserve">The Board has adopted a written code of ethics (the “Code of Conduct”), which applies to all of our employees, officers and directors. Our Code of Conduct is available in the “Investors—Leadership &amp; Governance” section of our website at </w:t>
      </w:r>
      <w:r>
        <w:rPr>
          <w:rFonts w:ascii="Arial" w:cs="Arial" w:eastAsia="Arial" w:hAnsi="Arial"/>
          <w:sz w:val="16"/>
          <w:szCs w:val="16"/>
          <w:color w:val="E52823"/>
        </w:rPr>
        <w:t>www.garrettmotion.com</w:t>
      </w:r>
      <w:r>
        <w:rPr>
          <w:rFonts w:ascii="Arial" w:cs="Arial" w:eastAsia="Arial" w:hAnsi="Arial"/>
          <w:sz w:val="16"/>
          <w:szCs w:val="16"/>
          <w:color w:val="auto"/>
        </w:rPr>
        <w:t>. In addition, we intend to post on our website all disclosures that are required by law or the NYSE listing rules concerning any amendments to, or waivers from, any provision of our Code of Conduct.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200" w:lineRule="exact"/>
        <w:rPr>
          <w:sz w:val="20"/>
          <w:szCs w:val="20"/>
          <w:color w:val="auto"/>
        </w:rPr>
      </w:pPr>
    </w:p>
    <w:p>
      <w:pPr>
        <w:ind w:left="120" w:right="220"/>
        <w:spacing w:after="0" w:line="251" w:lineRule="auto"/>
        <w:rPr>
          <w:sz w:val="20"/>
          <w:szCs w:val="20"/>
          <w:color w:val="auto"/>
        </w:rPr>
      </w:pPr>
      <w:r>
        <w:rPr>
          <w:rFonts w:ascii="Arial" w:cs="Arial" w:eastAsia="Arial" w:hAnsi="Arial"/>
          <w:sz w:val="16"/>
          <w:szCs w:val="16"/>
          <w:color w:val="auto"/>
        </w:rPr>
        <w:t xml:space="preserve">Our Board has established three standing committees—the audit committee (the “Audit Committee”), the compensation committee (the “Compensation Committee”), and the Nominating and Governance Committee (collectively, the “Committees”)—each of which operates under a charter that has been approved by our Board. Current copies of the Audit Committee, Compensation Committee, and Nominating and Governance Committee charters are posted on the “Investors—Leadership &amp; Governance” section of our website located at </w:t>
      </w:r>
      <w:r>
        <w:rPr>
          <w:rFonts w:ascii="Arial" w:cs="Arial" w:eastAsia="Arial" w:hAnsi="Arial"/>
          <w:sz w:val="16"/>
          <w:szCs w:val="16"/>
          <w:color w:val="E52823"/>
        </w:rPr>
        <w:t>www.garrettmotion.com</w:t>
      </w:r>
      <w:r>
        <w:rPr>
          <w:rFonts w:ascii="Arial" w:cs="Arial" w:eastAsia="Arial" w:hAnsi="Arial"/>
          <w:sz w:val="16"/>
          <w:szCs w:val="16"/>
          <w:color w:val="auto"/>
        </w:rPr>
        <w:t>.</w:t>
      </w:r>
    </w:p>
    <w:p>
      <w:pPr>
        <w:spacing w:after="0" w:line="162" w:lineRule="exact"/>
        <w:rPr>
          <w:sz w:val="20"/>
          <w:szCs w:val="20"/>
          <w:color w:val="auto"/>
        </w:rPr>
      </w:pPr>
    </w:p>
    <w:p>
      <w:pPr>
        <w:ind w:left="120" w:right="280"/>
        <w:spacing w:after="0" w:line="251" w:lineRule="auto"/>
        <w:rPr>
          <w:sz w:val="20"/>
          <w:szCs w:val="20"/>
          <w:color w:val="auto"/>
        </w:rPr>
      </w:pPr>
      <w:r>
        <w:rPr>
          <w:rFonts w:ascii="Arial" w:cs="Arial" w:eastAsia="Arial" w:hAnsi="Arial"/>
          <w:sz w:val="16"/>
          <w:szCs w:val="16"/>
          <w:color w:val="auto"/>
        </w:rPr>
        <w:t>Our Board has determined that all of the members of each of the Committees are independent as defined under applicable NYSE rules. In addition, all members of the Audit Committee meet the heightened independence requirements contemplated by Rule 10A-3 under the Securities Exchange Act of 1934, as amended (the “Exchange Act”), and all members of the Compensation Committee satisfy the heightened independence requirements of the NYSE rules specific to the independence of compensation committee members.</w:t>
      </w:r>
    </w:p>
    <w:p>
      <w:pPr>
        <w:spacing w:after="0" w:line="228" w:lineRule="exact"/>
        <w:rPr>
          <w:sz w:val="20"/>
          <w:szCs w:val="20"/>
          <w:color w:val="auto"/>
        </w:rPr>
      </w:pPr>
    </w:p>
    <w:tbl>
      <w:tblPr>
        <w:tblLayout w:type="fixed"/>
        <w:tblInd w:w="13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E52823"/>
              </w:rPr>
              <w:t>Committee Membership</w:t>
            </w:r>
          </w:p>
        </w:tc>
        <w:tc>
          <w:tcPr>
            <w:tcW w:w="1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40" w:type="dxa"/>
            <w:vAlign w:val="bottom"/>
          </w:tcPr>
          <w:p>
            <w:pPr>
              <w:jc w:val="center"/>
              <w:ind w:left="324"/>
              <w:spacing w:after="0"/>
              <w:rPr>
                <w:sz w:val="20"/>
                <w:szCs w:val="20"/>
                <w:color w:val="auto"/>
              </w:rPr>
            </w:pPr>
            <w:r>
              <w:rPr>
                <w:rFonts w:ascii="Arial" w:cs="Arial" w:eastAsia="Arial" w:hAnsi="Arial"/>
                <w:sz w:val="14"/>
                <w:szCs w:val="14"/>
                <w:color w:val="E52823"/>
              </w:rPr>
              <w:t>Nominating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2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E52823"/>
              </w:rPr>
              <w:t>Name</w:t>
            </w:r>
          </w:p>
        </w:tc>
        <w:tc>
          <w:tcPr>
            <w:tcW w:w="16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jc w:val="center"/>
              <w:ind w:left="384"/>
              <w:spacing w:after="0" w:line="157" w:lineRule="exact"/>
              <w:rPr>
                <w:sz w:val="20"/>
                <w:szCs w:val="20"/>
                <w:color w:val="auto"/>
              </w:rPr>
            </w:pPr>
            <w:r>
              <w:rPr>
                <w:rFonts w:ascii="Arial" w:cs="Arial" w:eastAsia="Arial" w:hAnsi="Arial"/>
                <w:sz w:val="14"/>
                <w:szCs w:val="14"/>
                <w:color w:val="E52823"/>
              </w:rPr>
              <w:t>Audit Committee</w:t>
            </w:r>
          </w:p>
        </w:tc>
        <w:tc>
          <w:tcPr>
            <w:tcW w:w="2720" w:type="dxa"/>
            <w:vAlign w:val="bottom"/>
            <w:tcBorders>
              <w:bottom w:val="single" w:sz="8" w:color="auto"/>
            </w:tcBorders>
          </w:tcPr>
          <w:p>
            <w:pPr>
              <w:jc w:val="center"/>
              <w:ind w:right="25"/>
              <w:spacing w:after="0" w:line="157" w:lineRule="exact"/>
              <w:rPr>
                <w:sz w:val="20"/>
                <w:szCs w:val="20"/>
                <w:color w:val="auto"/>
              </w:rPr>
            </w:pPr>
            <w:r>
              <w:rPr>
                <w:rFonts w:ascii="Arial" w:cs="Arial" w:eastAsia="Arial" w:hAnsi="Arial"/>
                <w:sz w:val="14"/>
                <w:szCs w:val="14"/>
                <w:color w:val="E52823"/>
              </w:rPr>
              <w:t>Compensation Committee</w:t>
            </w:r>
          </w:p>
        </w:tc>
        <w:tc>
          <w:tcPr>
            <w:tcW w:w="1940" w:type="dxa"/>
            <w:vAlign w:val="bottom"/>
            <w:tcBorders>
              <w:bottom w:val="single" w:sz="8" w:color="auto"/>
            </w:tcBorders>
          </w:tcPr>
          <w:p>
            <w:pPr>
              <w:jc w:val="center"/>
              <w:ind w:left="304"/>
              <w:spacing w:after="0" w:line="157" w:lineRule="exact"/>
              <w:rPr>
                <w:sz w:val="20"/>
                <w:szCs w:val="20"/>
                <w:color w:val="auto"/>
              </w:rPr>
            </w:pPr>
            <w:r>
              <w:rPr>
                <w:rFonts w:ascii="Arial" w:cs="Arial" w:eastAsia="Arial" w:hAnsi="Arial"/>
                <w:sz w:val="14"/>
                <w:szCs w:val="14"/>
                <w:color w:val="E52823"/>
              </w:rPr>
              <w:t>Governance Committee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220" w:type="dxa"/>
            <w:vAlign w:val="bottom"/>
            <w:tcBorders>
              <w:left w:val="single" w:sz="8" w:color="EDEDED"/>
              <w:bottom w:val="single" w:sz="8" w:color="EDEDED"/>
              <w:right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Carlos M. Cardoso</w:t>
            </w:r>
          </w:p>
        </w:tc>
        <w:tc>
          <w:tcPr>
            <w:tcW w:w="1620" w:type="dxa"/>
            <w:vAlign w:val="bottom"/>
            <w:tcBorders>
              <w:bottom w:val="single" w:sz="8" w:color="EDEDED"/>
            </w:tcBorders>
            <w:shd w:val="clear" w:color="auto" w:fill="EDEDED"/>
          </w:tcPr>
          <w:p>
            <w:pPr>
              <w:spacing w:after="0"/>
              <w:rPr>
                <w:sz w:val="24"/>
                <w:szCs w:val="24"/>
                <w:color w:val="auto"/>
              </w:rPr>
            </w:pPr>
          </w:p>
        </w:tc>
        <w:tc>
          <w:tcPr>
            <w:tcW w:w="2520" w:type="dxa"/>
            <w:vAlign w:val="bottom"/>
            <w:tcBorders>
              <w:bottom w:val="single" w:sz="8" w:color="EDEDED"/>
            </w:tcBorders>
            <w:shd w:val="clear" w:color="auto" w:fill="EDEDED"/>
          </w:tcPr>
          <w:p>
            <w:pPr>
              <w:spacing w:after="0"/>
              <w:rPr>
                <w:sz w:val="24"/>
                <w:szCs w:val="24"/>
                <w:color w:val="auto"/>
              </w:rPr>
            </w:pPr>
          </w:p>
        </w:tc>
        <w:tc>
          <w:tcPr>
            <w:tcW w:w="2720" w:type="dxa"/>
            <w:vAlign w:val="bottom"/>
            <w:tcBorders>
              <w:bottom w:val="single" w:sz="8" w:color="EDEDED"/>
            </w:tcBorders>
            <w:shd w:val="clear" w:color="auto" w:fill="EDEDED"/>
          </w:tcPr>
          <w:p>
            <w:pPr>
              <w:spacing w:after="0"/>
              <w:rPr>
                <w:sz w:val="24"/>
                <w:szCs w:val="24"/>
                <w:color w:val="auto"/>
              </w:rPr>
            </w:pPr>
          </w:p>
        </w:tc>
        <w:tc>
          <w:tcPr>
            <w:tcW w:w="1940" w:type="dxa"/>
            <w:vAlign w:val="bottom"/>
            <w:tcBorders>
              <w:bottom w:val="single" w:sz="8" w:color="EDEDED"/>
            </w:tcBorders>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20" w:type="dxa"/>
            <w:vAlign w:val="bottom"/>
          </w:tcPr>
          <w:p>
            <w:pPr>
              <w:ind w:left="60"/>
              <w:spacing w:after="0"/>
              <w:rPr>
                <w:sz w:val="20"/>
                <w:szCs w:val="20"/>
                <w:color w:val="auto"/>
              </w:rPr>
            </w:pPr>
            <w:r>
              <w:rPr>
                <w:rFonts w:ascii="Arial" w:cs="Arial" w:eastAsia="Arial" w:hAnsi="Arial"/>
                <w:sz w:val="16"/>
                <w:szCs w:val="16"/>
                <w:color w:val="auto"/>
              </w:rPr>
              <w:t>Maura J. Clark</w:t>
            </w:r>
          </w:p>
        </w:tc>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40" w:type="dxa"/>
            <w:vAlign w:val="bottom"/>
          </w:tcPr>
          <w:p>
            <w:pPr>
              <w:jc w:val="center"/>
              <w:ind w:left="324"/>
              <w:spacing w:after="0"/>
              <w:rPr>
                <w:sz w:val="20"/>
                <w:szCs w:val="20"/>
                <w:color w:val="auto"/>
              </w:rPr>
            </w:pPr>
            <w:r>
              <w:rPr>
                <w:rFonts w:ascii="Arial" w:cs="Arial" w:eastAsia="Arial" w:hAnsi="Arial"/>
                <w:sz w:val="16"/>
                <w:szCs w:val="16"/>
                <w:b w:val="1"/>
                <w:bCs w:val="1"/>
                <w:color w:val="auto"/>
                <w:w w:val="98"/>
              </w:rPr>
              <w:t>CHAIR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tcBorders>
              <w:left w:val="single" w:sz="8" w:color="EDEDED"/>
              <w:right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Courtney M. Enghauser</w:t>
            </w:r>
          </w:p>
        </w:tc>
        <w:tc>
          <w:tcPr>
            <w:tcW w:w="1620" w:type="dxa"/>
            <w:vAlign w:val="bottom"/>
            <w:shd w:val="clear" w:color="auto" w:fill="EDEDED"/>
          </w:tcPr>
          <w:p>
            <w:pPr>
              <w:spacing w:after="0"/>
              <w:rPr>
                <w:sz w:val="22"/>
                <w:szCs w:val="22"/>
                <w:color w:val="auto"/>
              </w:rPr>
            </w:pPr>
          </w:p>
        </w:tc>
        <w:tc>
          <w:tcPr>
            <w:tcW w:w="2520" w:type="dxa"/>
            <w:vAlign w:val="bottom"/>
            <w:shd w:val="clear" w:color="auto" w:fill="EDEDED"/>
          </w:tcPr>
          <w:p>
            <w:pPr>
              <w:spacing w:after="0"/>
              <w:rPr>
                <w:sz w:val="22"/>
                <w:szCs w:val="22"/>
                <w:color w:val="auto"/>
              </w:rPr>
            </w:pPr>
          </w:p>
        </w:tc>
        <w:tc>
          <w:tcPr>
            <w:tcW w:w="2720" w:type="dxa"/>
            <w:vAlign w:val="bottom"/>
            <w:shd w:val="clear" w:color="auto" w:fill="EDEDED"/>
          </w:tcPr>
          <w:p>
            <w:pPr>
              <w:spacing w:after="0"/>
              <w:rPr>
                <w:sz w:val="22"/>
                <w:szCs w:val="22"/>
                <w:color w:val="auto"/>
              </w:rPr>
            </w:pPr>
          </w:p>
        </w:tc>
        <w:tc>
          <w:tcPr>
            <w:tcW w:w="1940" w:type="dxa"/>
            <w:vAlign w:val="bottom"/>
            <w:shd w:val="clear" w:color="auto" w:fill="EDEDED"/>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220" w:type="dxa"/>
            <w:vAlign w:val="bottom"/>
            <w:tcBorders>
              <w:left w:val="single" w:sz="8" w:color="EDEDED"/>
              <w:right w:val="single" w:sz="8" w:color="EDEDED"/>
            </w:tcBorders>
            <w:shd w:val="clear" w:color="auto" w:fill="EDEDED"/>
          </w:tcPr>
          <w:p>
            <w:pPr>
              <w:spacing w:after="0"/>
              <w:rPr>
                <w:sz w:val="5"/>
                <w:szCs w:val="5"/>
                <w:color w:val="auto"/>
              </w:rPr>
            </w:pPr>
          </w:p>
        </w:tc>
        <w:tc>
          <w:tcPr>
            <w:tcW w:w="1620" w:type="dxa"/>
            <w:vAlign w:val="bottom"/>
            <w:shd w:val="clear" w:color="auto" w:fill="EDEDED"/>
          </w:tcPr>
          <w:p>
            <w:pPr>
              <w:spacing w:after="0"/>
              <w:rPr>
                <w:sz w:val="5"/>
                <w:szCs w:val="5"/>
                <w:color w:val="auto"/>
              </w:rPr>
            </w:pPr>
          </w:p>
        </w:tc>
        <w:tc>
          <w:tcPr>
            <w:tcW w:w="2520" w:type="dxa"/>
            <w:vAlign w:val="bottom"/>
            <w:shd w:val="clear" w:color="auto" w:fill="EDEDED"/>
          </w:tcPr>
          <w:p>
            <w:pPr>
              <w:spacing w:after="0"/>
              <w:rPr>
                <w:sz w:val="5"/>
                <w:szCs w:val="5"/>
                <w:color w:val="auto"/>
              </w:rPr>
            </w:pPr>
          </w:p>
        </w:tc>
        <w:tc>
          <w:tcPr>
            <w:tcW w:w="2720" w:type="dxa"/>
            <w:vAlign w:val="bottom"/>
            <w:shd w:val="clear" w:color="auto" w:fill="EDEDED"/>
          </w:tcPr>
          <w:p>
            <w:pPr>
              <w:spacing w:after="0"/>
              <w:rPr>
                <w:sz w:val="5"/>
                <w:szCs w:val="5"/>
                <w:color w:val="auto"/>
              </w:rPr>
            </w:pPr>
          </w:p>
        </w:tc>
        <w:tc>
          <w:tcPr>
            <w:tcW w:w="1940" w:type="dxa"/>
            <w:vAlign w:val="bottom"/>
            <w:shd w:val="clear" w:color="auto" w:fill="EDEDED"/>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220" w:type="dxa"/>
            <w:vAlign w:val="bottom"/>
          </w:tcPr>
          <w:p>
            <w:pPr>
              <w:ind w:left="60"/>
              <w:spacing w:after="0"/>
              <w:rPr>
                <w:sz w:val="20"/>
                <w:szCs w:val="20"/>
                <w:color w:val="auto"/>
              </w:rPr>
            </w:pPr>
            <w:r>
              <w:rPr>
                <w:rFonts w:ascii="Arial" w:cs="Arial" w:eastAsia="Arial" w:hAnsi="Arial"/>
                <w:sz w:val="16"/>
                <w:szCs w:val="16"/>
                <w:color w:val="auto"/>
              </w:rPr>
              <w:t>Susan L. Main</w:t>
            </w:r>
          </w:p>
        </w:tc>
        <w:tc>
          <w:tcPr>
            <w:tcW w:w="16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2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220" w:type="dxa"/>
            <w:vAlign w:val="bottom"/>
            <w:tcBorders>
              <w:left w:val="single" w:sz="8" w:color="EDEDED"/>
              <w:right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Olivier Rabiller</w:t>
            </w:r>
          </w:p>
        </w:tc>
        <w:tc>
          <w:tcPr>
            <w:tcW w:w="1620" w:type="dxa"/>
            <w:vAlign w:val="bottom"/>
            <w:shd w:val="clear" w:color="auto" w:fill="EDEDED"/>
          </w:tcPr>
          <w:p>
            <w:pPr>
              <w:spacing w:after="0"/>
              <w:rPr>
                <w:sz w:val="22"/>
                <w:szCs w:val="22"/>
                <w:color w:val="auto"/>
              </w:rPr>
            </w:pPr>
          </w:p>
        </w:tc>
        <w:tc>
          <w:tcPr>
            <w:tcW w:w="2520" w:type="dxa"/>
            <w:vAlign w:val="bottom"/>
            <w:shd w:val="clear" w:color="auto" w:fill="EDEDED"/>
          </w:tcPr>
          <w:p>
            <w:pPr>
              <w:spacing w:after="0"/>
              <w:rPr>
                <w:sz w:val="22"/>
                <w:szCs w:val="22"/>
                <w:color w:val="auto"/>
              </w:rPr>
            </w:pPr>
          </w:p>
        </w:tc>
        <w:tc>
          <w:tcPr>
            <w:tcW w:w="2720" w:type="dxa"/>
            <w:vAlign w:val="bottom"/>
            <w:shd w:val="clear" w:color="auto" w:fill="EDEDED"/>
          </w:tcPr>
          <w:p>
            <w:pPr>
              <w:spacing w:after="0"/>
              <w:rPr>
                <w:sz w:val="22"/>
                <w:szCs w:val="22"/>
                <w:color w:val="auto"/>
              </w:rPr>
            </w:pPr>
          </w:p>
        </w:tc>
        <w:tc>
          <w:tcPr>
            <w:tcW w:w="1940" w:type="dxa"/>
            <w:vAlign w:val="bottom"/>
            <w:shd w:val="clear" w:color="auto" w:fill="EDEDED"/>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220" w:type="dxa"/>
            <w:vAlign w:val="bottom"/>
          </w:tcPr>
          <w:p>
            <w:pPr>
              <w:ind w:left="60"/>
              <w:spacing w:after="0"/>
              <w:rPr>
                <w:sz w:val="20"/>
                <w:szCs w:val="20"/>
                <w:color w:val="auto"/>
              </w:rPr>
            </w:pPr>
            <w:r>
              <w:rPr>
                <w:rFonts w:ascii="Arial" w:cs="Arial" w:eastAsia="Arial" w:hAnsi="Arial"/>
                <w:sz w:val="16"/>
                <w:szCs w:val="16"/>
                <w:color w:val="auto"/>
              </w:rPr>
              <w:t>Carsten J. Reinhardt</w:t>
            </w:r>
          </w:p>
        </w:tc>
        <w:tc>
          <w:tcPr>
            <w:tcW w:w="16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720" w:type="dxa"/>
            <w:vAlign w:val="bottom"/>
          </w:tcPr>
          <w:p>
            <w:pPr>
              <w:jc w:val="center"/>
              <w:ind w:right="5"/>
              <w:spacing w:after="0"/>
              <w:rPr>
                <w:sz w:val="20"/>
                <w:szCs w:val="20"/>
                <w:color w:val="auto"/>
              </w:rPr>
            </w:pPr>
            <w:r>
              <w:rPr>
                <w:rFonts w:ascii="Arial" w:cs="Arial" w:eastAsia="Arial" w:hAnsi="Arial"/>
                <w:sz w:val="16"/>
                <w:szCs w:val="16"/>
                <w:b w:val="1"/>
                <w:bCs w:val="1"/>
                <w:color w:val="auto"/>
              </w:rPr>
              <w:t>CHAIR</w:t>
            </w: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EDEDED"/>
              <w:bottom w:val="single" w:sz="8" w:color="EDEDED"/>
              <w:right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Jérôme Stoll</w:t>
            </w:r>
          </w:p>
        </w:tc>
        <w:tc>
          <w:tcPr>
            <w:tcW w:w="1620" w:type="dxa"/>
            <w:vAlign w:val="bottom"/>
            <w:tcBorders>
              <w:bottom w:val="single" w:sz="8" w:color="EDEDED"/>
            </w:tcBorders>
            <w:shd w:val="clear" w:color="auto" w:fill="EDEDED"/>
          </w:tcPr>
          <w:p>
            <w:pPr>
              <w:spacing w:after="0"/>
              <w:rPr>
                <w:sz w:val="24"/>
                <w:szCs w:val="24"/>
                <w:color w:val="auto"/>
              </w:rPr>
            </w:pPr>
          </w:p>
        </w:tc>
        <w:tc>
          <w:tcPr>
            <w:tcW w:w="2520" w:type="dxa"/>
            <w:vAlign w:val="bottom"/>
            <w:tcBorders>
              <w:bottom w:val="single" w:sz="8" w:color="EDEDED"/>
            </w:tcBorders>
            <w:shd w:val="clear" w:color="auto" w:fill="EDEDED"/>
          </w:tcPr>
          <w:p>
            <w:pPr>
              <w:spacing w:after="0"/>
              <w:rPr>
                <w:sz w:val="24"/>
                <w:szCs w:val="24"/>
                <w:color w:val="auto"/>
              </w:rPr>
            </w:pPr>
          </w:p>
        </w:tc>
        <w:tc>
          <w:tcPr>
            <w:tcW w:w="2720" w:type="dxa"/>
            <w:vAlign w:val="bottom"/>
            <w:tcBorders>
              <w:bottom w:val="single" w:sz="8" w:color="EDEDED"/>
            </w:tcBorders>
            <w:shd w:val="clear" w:color="auto" w:fill="EDEDED"/>
          </w:tcPr>
          <w:p>
            <w:pPr>
              <w:spacing w:after="0"/>
              <w:rPr>
                <w:sz w:val="24"/>
                <w:szCs w:val="24"/>
                <w:color w:val="auto"/>
              </w:rPr>
            </w:pPr>
          </w:p>
        </w:tc>
        <w:tc>
          <w:tcPr>
            <w:tcW w:w="1940" w:type="dxa"/>
            <w:vAlign w:val="bottom"/>
            <w:tcBorders>
              <w:bottom w:val="single" w:sz="8" w:color="EDEDED"/>
            </w:tcBorders>
            <w:shd w:val="clear" w:color="auto" w:fill="EDEDE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220" w:type="dxa"/>
            <w:vAlign w:val="bottom"/>
          </w:tcPr>
          <w:p>
            <w:pPr>
              <w:ind w:left="60"/>
              <w:spacing w:after="0"/>
              <w:rPr>
                <w:sz w:val="20"/>
                <w:szCs w:val="20"/>
                <w:color w:val="auto"/>
              </w:rPr>
            </w:pPr>
            <w:r>
              <w:rPr>
                <w:rFonts w:ascii="Arial" w:cs="Arial" w:eastAsia="Arial" w:hAnsi="Arial"/>
                <w:sz w:val="16"/>
                <w:szCs w:val="16"/>
                <w:color w:val="auto"/>
              </w:rPr>
              <w:t>Scott A. Tozier</w:t>
            </w:r>
          </w:p>
        </w:tc>
        <w:tc>
          <w:tcPr>
            <w:tcW w:w="1620" w:type="dxa"/>
            <w:vAlign w:val="bottom"/>
          </w:tcPr>
          <w:p>
            <w:pPr>
              <w:spacing w:after="0"/>
              <w:rPr>
                <w:sz w:val="24"/>
                <w:szCs w:val="24"/>
                <w:color w:val="auto"/>
              </w:rPr>
            </w:pPr>
          </w:p>
        </w:tc>
        <w:tc>
          <w:tcPr>
            <w:tcW w:w="2520" w:type="dxa"/>
            <w:vAlign w:val="bottom"/>
          </w:tcPr>
          <w:p>
            <w:pPr>
              <w:jc w:val="center"/>
              <w:ind w:left="404"/>
              <w:spacing w:after="0"/>
              <w:rPr>
                <w:sz w:val="20"/>
                <w:szCs w:val="20"/>
                <w:color w:val="auto"/>
              </w:rPr>
            </w:pPr>
            <w:r>
              <w:rPr>
                <w:rFonts w:ascii="Arial" w:cs="Arial" w:eastAsia="Arial" w:hAnsi="Arial"/>
                <w:sz w:val="16"/>
                <w:szCs w:val="16"/>
                <w:b w:val="1"/>
                <w:bCs w:val="1"/>
                <w:color w:val="auto"/>
              </w:rPr>
              <w:t>CHAIR</w:t>
            </w:r>
          </w:p>
        </w:tc>
        <w:tc>
          <w:tcPr>
            <w:tcW w:w="2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20" w:type="dxa"/>
            <w:vAlign w:val="bottom"/>
          </w:tcPr>
          <w:p>
            <w:pPr>
              <w:ind w:left="60"/>
              <w:spacing w:after="0"/>
              <w:rPr>
                <w:sz w:val="20"/>
                <w:szCs w:val="20"/>
                <w:color w:val="auto"/>
              </w:rPr>
            </w:pPr>
            <w:r>
              <w:rPr>
                <w:rFonts w:ascii="Arial" w:cs="Arial" w:eastAsia="Arial" w:hAnsi="Arial"/>
                <w:sz w:val="16"/>
                <w:szCs w:val="16"/>
                <w:b w:val="1"/>
                <w:bCs w:val="1"/>
                <w:color w:val="auto"/>
              </w:rPr>
              <w:t xml:space="preserve">CHAIR </w:t>
            </w:r>
            <w:r>
              <w:rPr>
                <w:rFonts w:ascii="Arial" w:cs="Arial" w:eastAsia="Arial" w:hAnsi="Arial"/>
                <w:sz w:val="16"/>
                <w:szCs w:val="16"/>
                <w:color w:val="auto"/>
              </w:rPr>
              <w:t>= Committee Chair</w:t>
            </w:r>
          </w:p>
        </w:tc>
        <w:tc>
          <w:tcPr>
            <w:tcW w:w="4140" w:type="dxa"/>
            <w:vAlign w:val="bottom"/>
            <w:gridSpan w:val="2"/>
          </w:tcPr>
          <w:p>
            <w:pPr>
              <w:ind w:left="1500"/>
              <w:spacing w:after="0"/>
              <w:rPr>
                <w:sz w:val="20"/>
                <w:szCs w:val="20"/>
                <w:color w:val="auto"/>
              </w:rPr>
            </w:pPr>
            <w:r>
              <w:rPr>
                <w:rFonts w:ascii="Arial" w:cs="Arial" w:eastAsia="Arial" w:hAnsi="Arial"/>
                <w:sz w:val="16"/>
                <w:szCs w:val="16"/>
                <w:color w:val="auto"/>
              </w:rPr>
              <w:t>= Member</w:t>
            </w:r>
          </w:p>
        </w:tc>
        <w:tc>
          <w:tcPr>
            <w:tcW w:w="27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220" w:type="dxa"/>
            <w:vAlign w:val="bottom"/>
            <w:tcBorders>
              <w:bottom w:val="single" w:sz="8" w:color="E52823"/>
            </w:tcBorders>
          </w:tcPr>
          <w:p>
            <w:pPr>
              <w:spacing w:after="0"/>
              <w:rPr>
                <w:sz w:val="5"/>
                <w:szCs w:val="5"/>
                <w:color w:val="auto"/>
              </w:rPr>
            </w:pPr>
          </w:p>
        </w:tc>
        <w:tc>
          <w:tcPr>
            <w:tcW w:w="4140" w:type="dxa"/>
            <w:vAlign w:val="bottom"/>
            <w:tcBorders>
              <w:bottom w:val="single" w:sz="8" w:color="E52823"/>
            </w:tcBorders>
            <w:gridSpan w:val="2"/>
          </w:tcPr>
          <w:p>
            <w:pPr>
              <w:spacing w:after="0"/>
              <w:rPr>
                <w:sz w:val="5"/>
                <w:szCs w:val="5"/>
                <w:color w:val="auto"/>
              </w:rPr>
            </w:pPr>
          </w:p>
        </w:tc>
        <w:tc>
          <w:tcPr>
            <w:tcW w:w="2720" w:type="dxa"/>
            <w:vAlign w:val="bottom"/>
            <w:tcBorders>
              <w:bottom w:val="single" w:sz="8" w:color="E52823"/>
            </w:tcBorders>
          </w:tcPr>
          <w:p>
            <w:pPr>
              <w:spacing w:after="0"/>
              <w:rPr>
                <w:sz w:val="5"/>
                <w:szCs w:val="5"/>
                <w:color w:val="auto"/>
              </w:rPr>
            </w:pPr>
          </w:p>
        </w:tc>
        <w:tc>
          <w:tcPr>
            <w:tcW w:w="1940" w:type="dxa"/>
            <w:vAlign w:val="bottom"/>
            <w:tcBorders>
              <w:bottom w:val="single" w:sz="8" w:color="E52823"/>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220" w:type="dxa"/>
            <w:vAlign w:val="bottom"/>
            <w:tcBorders>
              <w:left w:val="single" w:sz="8" w:color="auto"/>
              <w:right w:val="single" w:sz="8" w:color="auto"/>
            </w:tcBorders>
            <w:shd w:val="clear" w:color="auto" w:fill="EDEDED"/>
          </w:tcPr>
          <w:p>
            <w:pPr>
              <w:ind w:left="160"/>
              <w:spacing w:after="0"/>
              <w:rPr>
                <w:sz w:val="20"/>
                <w:szCs w:val="20"/>
                <w:color w:val="auto"/>
              </w:rPr>
            </w:pPr>
            <w:r>
              <w:rPr>
                <w:rFonts w:ascii="Arial" w:cs="Arial" w:eastAsia="Arial" w:hAnsi="Arial"/>
                <w:sz w:val="16"/>
                <w:szCs w:val="16"/>
                <w:color w:val="E52823"/>
              </w:rPr>
              <w:t>Audit Committee</w:t>
            </w:r>
          </w:p>
        </w:tc>
        <w:tc>
          <w:tcPr>
            <w:tcW w:w="4140" w:type="dxa"/>
            <w:vAlign w:val="bottom"/>
            <w:gridSpan w:val="2"/>
          </w:tcPr>
          <w:p>
            <w:pPr>
              <w:ind w:left="200"/>
              <w:spacing w:after="0"/>
              <w:rPr>
                <w:sz w:val="20"/>
                <w:szCs w:val="20"/>
                <w:color w:val="auto"/>
              </w:rPr>
            </w:pPr>
            <w:r>
              <w:rPr>
                <w:rFonts w:ascii="Arial" w:cs="Arial" w:eastAsia="Arial" w:hAnsi="Arial"/>
                <w:sz w:val="16"/>
                <w:szCs w:val="16"/>
                <w:color w:val="E52823"/>
              </w:rPr>
              <w:t>Primary Responsibilities Include:</w:t>
            </w:r>
          </w:p>
        </w:tc>
        <w:tc>
          <w:tcPr>
            <w:tcW w:w="27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Borders>
              <w:left w:val="single" w:sz="8" w:color="auto"/>
              <w:right w:val="single" w:sz="8" w:color="auto"/>
            </w:tcBorders>
            <w:shd w:val="clear" w:color="auto" w:fill="EDEDED"/>
          </w:tcPr>
          <w:p>
            <w:pPr>
              <w:ind w:left="160"/>
              <w:spacing w:after="0"/>
              <w:rPr>
                <w:sz w:val="20"/>
                <w:szCs w:val="20"/>
                <w:color w:val="auto"/>
              </w:rPr>
            </w:pPr>
            <w:r>
              <w:rPr>
                <w:rFonts w:ascii="Arial" w:cs="Arial" w:eastAsia="Arial" w:hAnsi="Arial"/>
                <w:sz w:val="16"/>
                <w:szCs w:val="16"/>
                <w:color w:val="auto"/>
              </w:rPr>
              <w:t>Met six times in 2019</w:t>
            </w:r>
          </w:p>
        </w:tc>
        <w:tc>
          <w:tcPr>
            <w:tcW w:w="8800" w:type="dxa"/>
            <w:vAlign w:val="bottom"/>
            <w:gridSpan w:val="4"/>
          </w:tcPr>
          <w:p>
            <w:pPr>
              <w:ind w:left="200"/>
              <w:spacing w:after="0"/>
              <w:rPr>
                <w:sz w:val="20"/>
                <w:szCs w:val="20"/>
                <w:color w:val="auto"/>
              </w:rPr>
            </w:pPr>
            <w:r>
              <w:rPr>
                <w:rFonts w:ascii="Arial" w:cs="Arial" w:eastAsia="Arial" w:hAnsi="Arial"/>
                <w:sz w:val="16"/>
                <w:szCs w:val="16"/>
                <w:color w:val="E52823"/>
              </w:rPr>
              <w:t xml:space="preserve">• </w:t>
            </w:r>
            <w:r>
              <w:rPr>
                <w:rFonts w:ascii="Arial" w:cs="Arial" w:eastAsia="Arial" w:hAnsi="Arial"/>
                <w:sz w:val="16"/>
                <w:szCs w:val="16"/>
                <w:color w:val="000000"/>
              </w:rPr>
              <w:t>Reviewing audits of the Company’s financial statements, and other matters related to the conduct of the audit, and</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220" w:type="dxa"/>
            <w:vAlign w:val="bottom"/>
            <w:tcBorders>
              <w:left w:val="single" w:sz="8" w:color="auto"/>
              <w:right w:val="single" w:sz="8" w:color="auto"/>
            </w:tcBorders>
            <w:vMerge w:val="restart"/>
            <w:shd w:val="clear" w:color="auto" w:fill="EDEDED"/>
          </w:tcPr>
          <w:p>
            <w:pPr>
              <w:ind w:left="160"/>
              <w:spacing w:after="0"/>
              <w:rPr>
                <w:sz w:val="20"/>
                <w:szCs w:val="20"/>
                <w:color w:val="auto"/>
              </w:rPr>
            </w:pPr>
            <w:r>
              <w:rPr>
                <w:rFonts w:ascii="Arial" w:cs="Arial" w:eastAsia="Arial" w:hAnsi="Arial"/>
                <w:sz w:val="16"/>
                <w:szCs w:val="16"/>
                <w:color w:val="auto"/>
              </w:rPr>
              <w:t>Current Committee</w:t>
            </w:r>
          </w:p>
        </w:tc>
        <w:tc>
          <w:tcPr>
            <w:tcW w:w="8800" w:type="dxa"/>
            <w:vAlign w:val="bottom"/>
            <w:gridSpan w:val="4"/>
          </w:tcPr>
          <w:p>
            <w:pPr>
              <w:ind w:left="360"/>
              <w:spacing w:after="0"/>
              <w:rPr>
                <w:sz w:val="20"/>
                <w:szCs w:val="20"/>
                <w:color w:val="auto"/>
              </w:rPr>
            </w:pPr>
            <w:r>
              <w:rPr>
                <w:rFonts w:ascii="Arial" w:cs="Arial" w:eastAsia="Arial" w:hAnsi="Arial"/>
                <w:sz w:val="16"/>
                <w:szCs w:val="16"/>
                <w:color w:val="auto"/>
              </w:rPr>
              <w:t>recommending to the Board whether the audited financial statements should be included in our Annual Report on</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auto"/>
              <w:right w:val="single" w:sz="8" w:color="auto"/>
            </w:tcBorders>
            <w:vMerge w:val="continue"/>
            <w:shd w:val="clear" w:color="auto" w:fill="EDEDED"/>
          </w:tcPr>
          <w:p>
            <w:pPr>
              <w:spacing w:after="0"/>
              <w:rPr>
                <w:sz w:val="7"/>
                <w:szCs w:val="7"/>
                <w:color w:val="auto"/>
              </w:rPr>
            </w:pPr>
          </w:p>
        </w:tc>
        <w:tc>
          <w:tcPr>
            <w:tcW w:w="4140" w:type="dxa"/>
            <w:vAlign w:val="bottom"/>
            <w:gridSpan w:val="2"/>
            <w:vMerge w:val="restart"/>
          </w:tcPr>
          <w:p>
            <w:pPr>
              <w:ind w:left="360"/>
              <w:spacing w:after="0"/>
              <w:rPr>
                <w:sz w:val="20"/>
                <w:szCs w:val="20"/>
                <w:color w:val="auto"/>
              </w:rPr>
            </w:pPr>
            <w:r>
              <w:rPr>
                <w:rFonts w:ascii="Arial" w:cs="Arial" w:eastAsia="Arial" w:hAnsi="Arial"/>
                <w:sz w:val="16"/>
                <w:szCs w:val="16"/>
                <w:color w:val="auto"/>
              </w:rPr>
              <w:t>Form 10-K;</w:t>
            </w:r>
          </w:p>
        </w:tc>
        <w:tc>
          <w:tcPr>
            <w:tcW w:w="27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right w:val="single" w:sz="8" w:color="auto"/>
            </w:tcBorders>
            <w:vMerge w:val="restart"/>
            <w:shd w:val="clear" w:color="auto" w:fill="EDEDED"/>
          </w:tcPr>
          <w:p>
            <w:pPr>
              <w:ind w:left="160"/>
              <w:spacing w:after="0"/>
              <w:rPr>
                <w:sz w:val="20"/>
                <w:szCs w:val="20"/>
                <w:color w:val="auto"/>
              </w:rPr>
            </w:pPr>
            <w:r>
              <w:rPr>
                <w:rFonts w:ascii="Arial" w:cs="Arial" w:eastAsia="Arial" w:hAnsi="Arial"/>
                <w:sz w:val="16"/>
                <w:szCs w:val="16"/>
                <w:color w:val="auto"/>
              </w:rPr>
              <w:t>Members:</w:t>
            </w:r>
          </w:p>
        </w:tc>
        <w:tc>
          <w:tcPr>
            <w:tcW w:w="4140" w:type="dxa"/>
            <w:vAlign w:val="bottom"/>
            <w:gridSpan w:val="2"/>
            <w:vMerge w:val="continue"/>
          </w:tcPr>
          <w:p>
            <w:pPr>
              <w:spacing w:after="0"/>
              <w:rPr>
                <w:sz w:val="9"/>
                <w:szCs w:val="9"/>
                <w:color w:val="auto"/>
              </w:rPr>
            </w:pPr>
          </w:p>
        </w:tc>
        <w:tc>
          <w:tcPr>
            <w:tcW w:w="27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auto"/>
              <w:right w:val="single" w:sz="8" w:color="auto"/>
            </w:tcBorders>
            <w:vMerge w:val="continue"/>
            <w:shd w:val="clear" w:color="auto" w:fill="EDEDED"/>
          </w:tcPr>
          <w:p>
            <w:pPr>
              <w:spacing w:after="0"/>
              <w:rPr>
                <w:sz w:val="7"/>
                <w:szCs w:val="7"/>
                <w:color w:val="auto"/>
              </w:rPr>
            </w:pPr>
          </w:p>
        </w:tc>
        <w:tc>
          <w:tcPr>
            <w:tcW w:w="6860" w:type="dxa"/>
            <w:vAlign w:val="bottom"/>
            <w:gridSpan w:val="3"/>
            <w:vMerge w:val="restart"/>
          </w:tcPr>
          <w:p>
            <w:pPr>
              <w:ind w:left="200"/>
              <w:spacing w:after="0"/>
              <w:rPr>
                <w:sz w:val="20"/>
                <w:szCs w:val="20"/>
                <w:color w:val="auto"/>
              </w:rPr>
            </w:pPr>
            <w:r>
              <w:rPr>
                <w:rFonts w:ascii="Arial" w:cs="Arial" w:eastAsia="Arial" w:hAnsi="Arial"/>
                <w:sz w:val="16"/>
                <w:szCs w:val="16"/>
                <w:color w:val="E52823"/>
              </w:rPr>
              <w:t xml:space="preserve">• </w:t>
            </w:r>
            <w:r>
              <w:rPr>
                <w:rFonts w:ascii="Arial" w:cs="Arial" w:eastAsia="Arial" w:hAnsi="Arial"/>
                <w:sz w:val="16"/>
                <w:szCs w:val="16"/>
                <w:color w:val="000000"/>
              </w:rPr>
              <w:t>Preparing the Audit Committee report to be included in our proxy statement;</w:t>
            </w:r>
          </w:p>
        </w:tc>
        <w:tc>
          <w:tcPr>
            <w:tcW w:w="19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20" w:type="dxa"/>
            <w:vAlign w:val="bottom"/>
            <w:tcBorders>
              <w:left w:val="single" w:sz="8" w:color="auto"/>
              <w:right w:val="single" w:sz="8" w:color="auto"/>
            </w:tcBorders>
            <w:vMerge w:val="restart"/>
            <w:shd w:val="clear" w:color="auto" w:fill="EDEDED"/>
          </w:tcPr>
          <w:p>
            <w:pPr>
              <w:ind w:left="160"/>
              <w:spacing w:after="0"/>
              <w:rPr>
                <w:sz w:val="20"/>
                <w:szCs w:val="20"/>
                <w:color w:val="auto"/>
              </w:rPr>
            </w:pPr>
            <w:r>
              <w:rPr>
                <w:rFonts w:ascii="Arial" w:cs="Arial" w:eastAsia="Arial" w:hAnsi="Arial"/>
                <w:sz w:val="16"/>
                <w:szCs w:val="16"/>
                <w:color w:val="E52823"/>
              </w:rPr>
              <w:t>Scott A. Tozier (</w:t>
            </w:r>
            <w:r>
              <w:rPr>
                <w:rFonts w:ascii="Arial" w:cs="Arial" w:eastAsia="Arial" w:hAnsi="Arial"/>
                <w:sz w:val="16"/>
                <w:szCs w:val="16"/>
                <w:b w:val="1"/>
                <w:bCs w:val="1"/>
                <w:color w:val="E52823"/>
              </w:rPr>
              <w:t>CHAIR</w:t>
            </w:r>
            <w:r>
              <w:rPr>
                <w:rFonts w:ascii="Arial" w:cs="Arial" w:eastAsia="Arial" w:hAnsi="Arial"/>
                <w:sz w:val="16"/>
                <w:szCs w:val="16"/>
                <w:color w:val="E52823"/>
              </w:rPr>
              <w:t>)</w:t>
            </w:r>
          </w:p>
        </w:tc>
        <w:tc>
          <w:tcPr>
            <w:tcW w:w="6860" w:type="dxa"/>
            <w:vAlign w:val="bottom"/>
            <w:gridSpan w:val="3"/>
            <w:vMerge w:val="continue"/>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220" w:type="dxa"/>
            <w:vAlign w:val="bottom"/>
            <w:tcBorders>
              <w:left w:val="single" w:sz="8" w:color="auto"/>
              <w:right w:val="single" w:sz="8" w:color="auto"/>
            </w:tcBorders>
            <w:vMerge w:val="continue"/>
            <w:shd w:val="clear" w:color="auto" w:fill="EDEDED"/>
          </w:tcPr>
          <w:p>
            <w:pPr>
              <w:spacing w:after="0"/>
              <w:rPr>
                <w:sz w:val="6"/>
                <w:szCs w:val="6"/>
                <w:color w:val="auto"/>
              </w:rPr>
            </w:pPr>
          </w:p>
        </w:tc>
        <w:tc>
          <w:tcPr>
            <w:tcW w:w="16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20" w:type="dxa"/>
            <w:vAlign w:val="bottom"/>
            <w:tcBorders>
              <w:left w:val="single" w:sz="8" w:color="auto"/>
              <w:right w:val="single" w:sz="8" w:color="auto"/>
            </w:tcBorders>
            <w:shd w:val="clear" w:color="auto" w:fill="EDEDED"/>
          </w:tcPr>
          <w:p>
            <w:pPr>
              <w:ind w:left="160"/>
              <w:spacing w:after="0"/>
              <w:rPr>
                <w:sz w:val="20"/>
                <w:szCs w:val="20"/>
                <w:color w:val="auto"/>
              </w:rPr>
            </w:pPr>
            <w:r>
              <w:rPr>
                <w:rFonts w:ascii="Arial" w:cs="Arial" w:eastAsia="Arial" w:hAnsi="Arial"/>
                <w:sz w:val="16"/>
                <w:szCs w:val="16"/>
                <w:color w:val="E52823"/>
              </w:rPr>
              <w:t>Carlos M. Cardoso</w:t>
            </w:r>
          </w:p>
        </w:tc>
        <w:tc>
          <w:tcPr>
            <w:tcW w:w="8800" w:type="dxa"/>
            <w:vAlign w:val="bottom"/>
            <w:gridSpan w:val="4"/>
          </w:tcPr>
          <w:p>
            <w:pPr>
              <w:ind w:left="200"/>
              <w:spacing w:after="0"/>
              <w:rPr>
                <w:sz w:val="20"/>
                <w:szCs w:val="20"/>
                <w:color w:val="auto"/>
              </w:rPr>
            </w:pPr>
            <w:r>
              <w:rPr>
                <w:rFonts w:ascii="Arial" w:cs="Arial" w:eastAsia="Arial" w:hAnsi="Arial"/>
                <w:sz w:val="16"/>
                <w:szCs w:val="16"/>
                <w:color w:val="E52823"/>
              </w:rPr>
              <w:t xml:space="preserve">• </w:t>
            </w:r>
            <w:r>
              <w:rPr>
                <w:rFonts w:ascii="Arial" w:cs="Arial" w:eastAsia="Arial" w:hAnsi="Arial"/>
                <w:sz w:val="16"/>
                <w:szCs w:val="16"/>
                <w:color w:val="000000"/>
              </w:rPr>
              <w:t>Reviewing with management and the independent auditor our annual and interim financial results;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Borders>
              <w:left w:val="single" w:sz="8" w:color="auto"/>
              <w:right w:val="single" w:sz="8" w:color="auto"/>
            </w:tcBorders>
            <w:shd w:val="clear" w:color="auto" w:fill="EDEDED"/>
          </w:tcPr>
          <w:p>
            <w:pPr>
              <w:ind w:left="160"/>
              <w:spacing w:after="0"/>
              <w:rPr>
                <w:sz w:val="20"/>
                <w:szCs w:val="20"/>
                <w:color w:val="auto"/>
              </w:rPr>
            </w:pPr>
            <w:r>
              <w:rPr>
                <w:rFonts w:ascii="Arial" w:cs="Arial" w:eastAsia="Arial" w:hAnsi="Arial"/>
                <w:sz w:val="16"/>
                <w:szCs w:val="16"/>
                <w:color w:val="E52823"/>
              </w:rPr>
              <w:t>Courtney M. Enghauser</w:t>
            </w:r>
          </w:p>
        </w:tc>
        <w:tc>
          <w:tcPr>
            <w:tcW w:w="8800" w:type="dxa"/>
            <w:vAlign w:val="bottom"/>
            <w:gridSpan w:val="4"/>
            <w:vMerge w:val="restart"/>
          </w:tcPr>
          <w:p>
            <w:pPr>
              <w:ind w:left="200"/>
              <w:spacing w:after="0"/>
              <w:rPr>
                <w:sz w:val="20"/>
                <w:szCs w:val="20"/>
                <w:color w:val="auto"/>
              </w:rPr>
            </w:pPr>
            <w:r>
              <w:rPr>
                <w:rFonts w:ascii="Arial" w:cs="Arial" w:eastAsia="Arial" w:hAnsi="Arial"/>
                <w:sz w:val="16"/>
                <w:szCs w:val="16"/>
                <w:color w:val="E52823"/>
              </w:rPr>
              <w:t xml:space="preserve">• </w:t>
            </w:r>
            <w:r>
              <w:rPr>
                <w:rFonts w:ascii="Arial" w:cs="Arial" w:eastAsia="Arial" w:hAnsi="Arial"/>
                <w:sz w:val="16"/>
                <w:szCs w:val="16"/>
                <w:color w:val="000000"/>
              </w:rPr>
              <w:t>Appointing our independent auditor and approving all audit engagement fees and non-audit engagements with the</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auto"/>
              <w:right w:val="single" w:sz="8" w:color="auto"/>
            </w:tcBorders>
            <w:vMerge w:val="restart"/>
            <w:shd w:val="clear" w:color="auto" w:fill="EDEDED"/>
          </w:tcPr>
          <w:p>
            <w:pPr>
              <w:ind w:left="160"/>
              <w:spacing w:after="0"/>
              <w:rPr>
                <w:sz w:val="20"/>
                <w:szCs w:val="20"/>
                <w:color w:val="auto"/>
              </w:rPr>
            </w:pPr>
            <w:r>
              <w:rPr>
                <w:rFonts w:ascii="Arial" w:cs="Arial" w:eastAsia="Arial" w:hAnsi="Arial"/>
                <w:sz w:val="16"/>
                <w:szCs w:val="16"/>
                <w:color w:val="E52823"/>
              </w:rPr>
              <w:t>Susan L. Main</w:t>
            </w:r>
          </w:p>
        </w:tc>
        <w:tc>
          <w:tcPr>
            <w:tcW w:w="8800" w:type="dxa"/>
            <w:vAlign w:val="bottom"/>
            <w:gridSpan w:val="4"/>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right w:val="single" w:sz="8" w:color="auto"/>
            </w:tcBorders>
            <w:vMerge w:val="continue"/>
            <w:shd w:val="clear" w:color="auto" w:fill="EDEDED"/>
          </w:tcPr>
          <w:p>
            <w:pPr>
              <w:spacing w:after="0"/>
              <w:rPr>
                <w:sz w:val="9"/>
                <w:szCs w:val="9"/>
                <w:color w:val="auto"/>
              </w:rPr>
            </w:pPr>
          </w:p>
        </w:tc>
        <w:tc>
          <w:tcPr>
            <w:tcW w:w="4140" w:type="dxa"/>
            <w:vAlign w:val="bottom"/>
            <w:gridSpan w:val="2"/>
            <w:vMerge w:val="restart"/>
          </w:tcPr>
          <w:p>
            <w:pPr>
              <w:ind w:left="360"/>
              <w:spacing w:after="0"/>
              <w:rPr>
                <w:sz w:val="20"/>
                <w:szCs w:val="20"/>
                <w:color w:val="auto"/>
              </w:rPr>
            </w:pPr>
            <w:r>
              <w:rPr>
                <w:rFonts w:ascii="Arial" w:cs="Arial" w:eastAsia="Arial" w:hAnsi="Arial"/>
                <w:sz w:val="16"/>
                <w:szCs w:val="16"/>
                <w:color w:val="auto"/>
              </w:rPr>
              <w:t>independent auditor;</w:t>
            </w:r>
          </w:p>
        </w:tc>
        <w:tc>
          <w:tcPr>
            <w:tcW w:w="27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auto"/>
              <w:right w:val="single" w:sz="8" w:color="auto"/>
            </w:tcBorders>
            <w:shd w:val="clear" w:color="auto" w:fill="EDEDED"/>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20" w:type="dxa"/>
            <w:vAlign w:val="bottom"/>
            <w:tcBorders>
              <w:left w:val="single" w:sz="8" w:color="auto"/>
              <w:bottom w:val="single" w:sz="8" w:color="auto"/>
              <w:right w:val="single" w:sz="8" w:color="auto"/>
            </w:tcBorders>
            <w:shd w:val="clear" w:color="auto" w:fill="EDEDED"/>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919"/>
        </w:trPr>
        <w:tc>
          <w:tcPr>
            <w:tcW w:w="2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40" w:type="dxa"/>
            <w:vAlign w:val="bottom"/>
          </w:tcPr>
          <w:p>
            <w:pPr>
              <w:jc w:val="right"/>
              <w:ind w:right="104"/>
              <w:spacing w:after="0"/>
              <w:rPr>
                <w:sz w:val="20"/>
                <w:szCs w:val="20"/>
                <w:color w:val="auto"/>
              </w:rPr>
            </w:pPr>
            <w:r>
              <w:rPr>
                <w:rFonts w:ascii="Arial" w:cs="Arial" w:eastAsia="Arial" w:hAnsi="Arial"/>
                <w:sz w:val="16"/>
                <w:szCs w:val="16"/>
                <w:b w:val="1"/>
                <w:bCs w:val="1"/>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-3724910</wp:posOffset>
            </wp:positionV>
            <wp:extent cx="16256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-3724910</wp:posOffset>
            </wp:positionV>
            <wp:extent cx="163195" cy="163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-3724910</wp:posOffset>
            </wp:positionV>
            <wp:extent cx="162560"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-3519170</wp:posOffset>
            </wp:positionV>
            <wp:extent cx="163195"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-3313430</wp:posOffset>
            </wp:positionV>
            <wp:extent cx="16256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-3313430</wp:posOffset>
            </wp:positionV>
            <wp:extent cx="16256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-3107690</wp:posOffset>
            </wp:positionV>
            <wp:extent cx="16256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-3107690</wp:posOffset>
            </wp:positionV>
            <wp:extent cx="16256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-2576195</wp:posOffset>
            </wp:positionV>
            <wp:extent cx="16256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-2370455</wp:posOffset>
            </wp:positionV>
            <wp:extent cx="163195"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3195" cy="162560"/>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-2164715</wp:posOffset>
            </wp:positionV>
            <wp:extent cx="16319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-338455</wp:posOffset>
            </wp:positionV>
            <wp:extent cx="6995160" cy="6254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7003415" cy="2434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0341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80" w:hanging="134"/>
        <w:spacing w:after="0"/>
        <w:tabs>
          <w:tab w:leader="none" w:pos="2680" w:val="left"/>
        </w:tabs>
        <w:numPr>
          <w:ilvl w:val="0"/>
          <w:numId w:val="18"/>
        </w:numPr>
        <w:rPr>
          <w:rFonts w:ascii="Arial" w:cs="Arial" w:eastAsia="Arial" w:hAnsi="Arial"/>
          <w:sz w:val="16"/>
          <w:szCs w:val="16"/>
          <w:color w:val="E52823"/>
        </w:rPr>
      </w:pPr>
      <w:r>
        <w:rPr>
          <w:rFonts w:ascii="Arial" w:cs="Arial" w:eastAsia="Arial" w:hAnsi="Arial"/>
          <w:sz w:val="16"/>
          <w:szCs w:val="16"/>
          <w:color w:val="auto"/>
        </w:rPr>
        <w:t>Evaluating, at least annually, the independent auditor’s performance and, if appropriate, recommending its discharge;</w:t>
      </w:r>
    </w:p>
    <w:p>
      <w:pPr>
        <w:spacing w:after="0" w:line="86" w:lineRule="exact"/>
        <w:rPr>
          <w:rFonts w:ascii="Arial" w:cs="Arial" w:eastAsia="Arial" w:hAnsi="Arial"/>
          <w:sz w:val="16"/>
          <w:szCs w:val="16"/>
          <w:color w:val="E52823"/>
        </w:rPr>
      </w:pPr>
    </w:p>
    <w:p>
      <w:pPr>
        <w:ind w:left="2680" w:hanging="134"/>
        <w:spacing w:after="0"/>
        <w:tabs>
          <w:tab w:leader="none" w:pos="2680" w:val="left"/>
        </w:tabs>
        <w:numPr>
          <w:ilvl w:val="0"/>
          <w:numId w:val="18"/>
        </w:numPr>
        <w:rPr>
          <w:rFonts w:ascii="Arial" w:cs="Arial" w:eastAsia="Arial" w:hAnsi="Arial"/>
          <w:sz w:val="16"/>
          <w:szCs w:val="16"/>
          <w:color w:val="E52823"/>
        </w:rPr>
      </w:pPr>
      <w:r>
        <w:rPr>
          <w:rFonts w:ascii="Arial" w:cs="Arial" w:eastAsia="Arial" w:hAnsi="Arial"/>
          <w:sz w:val="16"/>
          <w:szCs w:val="16"/>
          <w:color w:val="auto"/>
        </w:rPr>
        <w:t>Overseeing the work of our independent auditor;</w:t>
      </w:r>
    </w:p>
    <w:p>
      <w:pPr>
        <w:spacing w:after="0" w:line="86" w:lineRule="exact"/>
        <w:rPr>
          <w:rFonts w:ascii="Arial" w:cs="Arial" w:eastAsia="Arial" w:hAnsi="Arial"/>
          <w:sz w:val="16"/>
          <w:szCs w:val="16"/>
          <w:color w:val="E52823"/>
        </w:rPr>
      </w:pPr>
    </w:p>
    <w:p>
      <w:pPr>
        <w:ind w:left="2700" w:right="140" w:hanging="154"/>
        <w:spacing w:after="0" w:line="260" w:lineRule="auto"/>
        <w:tabs>
          <w:tab w:leader="none" w:pos="2676" w:val="left"/>
        </w:tabs>
        <w:numPr>
          <w:ilvl w:val="0"/>
          <w:numId w:val="18"/>
        </w:numPr>
        <w:rPr>
          <w:rFonts w:ascii="Arial" w:cs="Arial" w:eastAsia="Arial" w:hAnsi="Arial"/>
          <w:sz w:val="16"/>
          <w:szCs w:val="16"/>
          <w:color w:val="E52823"/>
        </w:rPr>
      </w:pPr>
      <w:r>
        <w:rPr>
          <w:rFonts w:ascii="Arial" w:cs="Arial" w:eastAsia="Arial" w:hAnsi="Arial"/>
          <w:sz w:val="16"/>
          <w:szCs w:val="16"/>
          <w:color w:val="auto"/>
        </w:rPr>
        <w:t>Reviewing and discussing, with management as appropriate, our major enterprise and financial risk exposures, risk assessment and risk management policies;</w:t>
      </w:r>
    </w:p>
    <w:p>
      <w:pPr>
        <w:spacing w:after="0" w:line="60" w:lineRule="exact"/>
        <w:rPr>
          <w:rFonts w:ascii="Arial" w:cs="Arial" w:eastAsia="Arial" w:hAnsi="Arial"/>
          <w:sz w:val="16"/>
          <w:szCs w:val="16"/>
          <w:color w:val="E52823"/>
        </w:rPr>
      </w:pPr>
    </w:p>
    <w:p>
      <w:pPr>
        <w:ind w:left="2700" w:right="560" w:hanging="154"/>
        <w:spacing w:after="0" w:line="260" w:lineRule="auto"/>
        <w:tabs>
          <w:tab w:leader="none" w:pos="2676" w:val="left"/>
        </w:tabs>
        <w:numPr>
          <w:ilvl w:val="0"/>
          <w:numId w:val="18"/>
        </w:numPr>
        <w:rPr>
          <w:rFonts w:ascii="Arial" w:cs="Arial" w:eastAsia="Arial" w:hAnsi="Arial"/>
          <w:sz w:val="16"/>
          <w:szCs w:val="16"/>
          <w:color w:val="E52823"/>
        </w:rPr>
      </w:pPr>
      <w:r>
        <w:rPr>
          <w:rFonts w:ascii="Arial" w:cs="Arial" w:eastAsia="Arial" w:hAnsi="Arial"/>
          <w:sz w:val="16"/>
          <w:szCs w:val="16"/>
          <w:color w:val="auto"/>
        </w:rPr>
        <w:t>Establishing procedures for the confidential anonymous submission by employees, and receipt, retention and treatment of, accounting and auditing related concerns and complaints; and</w:t>
      </w:r>
    </w:p>
    <w:p>
      <w:pPr>
        <w:spacing w:after="0" w:line="60" w:lineRule="exact"/>
        <w:rPr>
          <w:rFonts w:ascii="Arial" w:cs="Arial" w:eastAsia="Arial" w:hAnsi="Arial"/>
          <w:sz w:val="16"/>
          <w:szCs w:val="16"/>
          <w:color w:val="E52823"/>
        </w:rPr>
      </w:pPr>
    </w:p>
    <w:p>
      <w:pPr>
        <w:ind w:left="2680" w:hanging="134"/>
        <w:spacing w:after="0"/>
        <w:tabs>
          <w:tab w:leader="none" w:pos="2680" w:val="left"/>
        </w:tabs>
        <w:numPr>
          <w:ilvl w:val="0"/>
          <w:numId w:val="18"/>
        </w:numPr>
        <w:rPr>
          <w:rFonts w:ascii="Arial" w:cs="Arial" w:eastAsia="Arial" w:hAnsi="Arial"/>
          <w:sz w:val="16"/>
          <w:szCs w:val="16"/>
          <w:color w:val="E52823"/>
        </w:rPr>
      </w:pPr>
      <w:r>
        <w:rPr>
          <w:rFonts w:ascii="Arial" w:cs="Arial" w:eastAsia="Arial" w:hAnsi="Arial"/>
          <w:sz w:val="16"/>
          <w:szCs w:val="16"/>
          <w:color w:val="auto"/>
        </w:rPr>
        <w:t>Reviewing material legal and compliance matters and our integrity and compliance program.</w:t>
      </w: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6"/>
          <w:szCs w:val="16"/>
          <w:color w:val="E52823"/>
        </w:rPr>
        <w:t>Financial Expertise and Independence</w:t>
      </w:r>
    </w:p>
    <w:p>
      <w:pPr>
        <w:spacing w:after="0" w:line="86"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All members of the Audit Committee meet the independence standards of the NYSE and the SEC, as well as the</w:t>
      </w:r>
    </w:p>
    <w:p>
      <w:pPr>
        <w:spacing w:after="0" w:line="5"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financial literacy requirements of the NYSE. The Board has determined that each of Mr. Tozier, Mr. Cardoso,</w:t>
      </w:r>
    </w:p>
    <w:p>
      <w:pPr>
        <w:spacing w:after="0" w:line="5"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Ms. Enghauser and Ms. Main qualifies as an “audit committee financial expert” as defined by SEC rules. No Audit</w:t>
      </w:r>
    </w:p>
    <w:p>
      <w:pPr>
        <w:spacing w:after="0" w:line="5"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Committee member currently serves on the audit committees of more than three public companies.</w:t>
      </w: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6"/>
          <w:szCs w:val="16"/>
          <w:color w:val="E52823"/>
        </w:rPr>
        <w:t>Report</w:t>
      </w:r>
    </w:p>
    <w:p>
      <w:pPr>
        <w:spacing w:after="0" w:line="86"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 Report of the Audit Committee is set forth beginning on page 64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7003415" cy="2957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03415" cy="295719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302"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E52823"/>
        </w:rPr>
        <w:t>Nominating and Governance Committee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Met five times in 2019</w:t>
      </w:r>
    </w:p>
    <w:p>
      <w:pPr>
        <w:spacing w:after="0" w:line="86" w:lineRule="exact"/>
        <w:rPr>
          <w:sz w:val="20"/>
          <w:szCs w:val="20"/>
          <w:color w:val="auto"/>
        </w:rPr>
      </w:pPr>
    </w:p>
    <w:p>
      <w:pPr>
        <w:ind w:left="340" w:right="340"/>
        <w:spacing w:after="0" w:line="260" w:lineRule="auto"/>
        <w:rPr>
          <w:sz w:val="20"/>
          <w:szCs w:val="20"/>
          <w:color w:val="auto"/>
        </w:rPr>
      </w:pPr>
      <w:r>
        <w:rPr>
          <w:rFonts w:ascii="Arial" w:cs="Arial" w:eastAsia="Arial" w:hAnsi="Arial"/>
          <w:sz w:val="16"/>
          <w:szCs w:val="16"/>
          <w:color w:val="auto"/>
        </w:rPr>
        <w:t>Current Committee Members:</w:t>
      </w:r>
    </w:p>
    <w:p>
      <w:pPr>
        <w:spacing w:after="0" w:line="40" w:lineRule="exact"/>
        <w:rPr>
          <w:sz w:val="20"/>
          <w:szCs w:val="20"/>
          <w:color w:val="auto"/>
        </w:rPr>
      </w:pPr>
    </w:p>
    <w:p>
      <w:pPr>
        <w:ind w:left="340"/>
        <w:spacing w:after="0" w:line="256" w:lineRule="auto"/>
        <w:rPr>
          <w:sz w:val="20"/>
          <w:szCs w:val="20"/>
          <w:color w:val="auto"/>
        </w:rPr>
      </w:pPr>
      <w:r>
        <w:rPr>
          <w:rFonts w:ascii="Arial" w:cs="Arial" w:eastAsia="Arial" w:hAnsi="Arial"/>
          <w:sz w:val="16"/>
          <w:szCs w:val="16"/>
          <w:color w:val="E52823"/>
        </w:rPr>
        <w:t>Maura J. Clark (</w:t>
      </w:r>
      <w:r>
        <w:rPr>
          <w:rFonts w:ascii="Arial" w:cs="Arial" w:eastAsia="Arial" w:hAnsi="Arial"/>
          <w:sz w:val="16"/>
          <w:szCs w:val="16"/>
          <w:b w:val="1"/>
          <w:bCs w:val="1"/>
          <w:color w:val="E52823"/>
        </w:rPr>
        <w:t>CHAIR</w:t>
      </w:r>
      <w:r>
        <w:rPr>
          <w:rFonts w:ascii="Arial" w:cs="Arial" w:eastAsia="Arial" w:hAnsi="Arial"/>
          <w:sz w:val="16"/>
          <w:szCs w:val="16"/>
          <w:color w:val="E52823"/>
        </w:rPr>
        <w:t>) Carlos M. Cardoso Courtney M. Enghauser Susan L. Main Jérôme Stoll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E52823"/>
        </w:rPr>
        <w:t>Primary Responsibilities Include:</w:t>
      </w:r>
    </w:p>
    <w:p>
      <w:pPr>
        <w:spacing w:after="0" w:line="86" w:lineRule="exact"/>
        <w:rPr>
          <w:sz w:val="20"/>
          <w:szCs w:val="20"/>
          <w:color w:val="auto"/>
        </w:rPr>
      </w:pPr>
    </w:p>
    <w:p>
      <w:pPr>
        <w:ind w:left="160" w:hanging="154"/>
        <w:spacing w:after="0" w:line="253" w:lineRule="auto"/>
        <w:tabs>
          <w:tab w:leader="none" w:pos="136"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Reviewing and making recommendations to the Board regarding its size, composition and organization, qualifications and criteria for directors, procedures for stockholder director nominations, director retirement and the structure and composition of the committees;</w:t>
      </w:r>
    </w:p>
    <w:p>
      <w:pPr>
        <w:spacing w:after="0" w:line="66" w:lineRule="exact"/>
        <w:rPr>
          <w:rFonts w:ascii="Arial" w:cs="Arial" w:eastAsia="Arial" w:hAnsi="Arial"/>
          <w:sz w:val="16"/>
          <w:szCs w:val="16"/>
          <w:color w:val="E52823"/>
        </w:rPr>
      </w:pPr>
    </w:p>
    <w:p>
      <w:pPr>
        <w:ind w:left="160" w:right="520" w:hanging="154"/>
        <w:spacing w:after="0" w:line="260" w:lineRule="auto"/>
        <w:tabs>
          <w:tab w:leader="none" w:pos="136"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Reviewing and making recommendations to the Board regarding compensation and benefits of non-employee directors;</w:t>
      </w:r>
    </w:p>
    <w:p>
      <w:pPr>
        <w:spacing w:after="0" w:line="60" w:lineRule="exact"/>
        <w:rPr>
          <w:rFonts w:ascii="Arial" w:cs="Arial" w:eastAsia="Arial" w:hAnsi="Arial"/>
          <w:sz w:val="16"/>
          <w:szCs w:val="16"/>
          <w:color w:val="E52823"/>
        </w:rPr>
      </w:pPr>
    </w:p>
    <w:p>
      <w:pPr>
        <w:ind w:left="160" w:right="140" w:hanging="154"/>
        <w:spacing w:after="0" w:line="260" w:lineRule="auto"/>
        <w:tabs>
          <w:tab w:leader="none" w:pos="136"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Identifying and recommending to the Board qualified director candidates and recommending actions regarding third party nominations;</w:t>
      </w:r>
    </w:p>
    <w:p>
      <w:pPr>
        <w:spacing w:after="0" w:line="60" w:lineRule="exact"/>
        <w:rPr>
          <w:rFonts w:ascii="Arial" w:cs="Arial" w:eastAsia="Arial" w:hAnsi="Arial"/>
          <w:sz w:val="16"/>
          <w:szCs w:val="16"/>
          <w:color w:val="E52823"/>
        </w:rPr>
      </w:pPr>
    </w:p>
    <w:p>
      <w:pPr>
        <w:ind w:left="140" w:hanging="134"/>
        <w:spacing w:after="0"/>
        <w:tabs>
          <w:tab w:leader="none" w:pos="140"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Overseeing the succession planning process for our officers, in coordination with the Compensation Committee;</w:t>
      </w:r>
    </w:p>
    <w:p>
      <w:pPr>
        <w:spacing w:after="0" w:line="86" w:lineRule="exact"/>
        <w:rPr>
          <w:rFonts w:ascii="Arial" w:cs="Arial" w:eastAsia="Arial" w:hAnsi="Arial"/>
          <w:sz w:val="16"/>
          <w:szCs w:val="16"/>
          <w:color w:val="E52823"/>
        </w:rPr>
      </w:pPr>
    </w:p>
    <w:p>
      <w:pPr>
        <w:ind w:left="140" w:hanging="134"/>
        <w:spacing w:after="0"/>
        <w:tabs>
          <w:tab w:leader="none" w:pos="140"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Overseeing and reporting to the Board regarding an annual evaluation of the Board and the Committees;</w:t>
      </w:r>
    </w:p>
    <w:p>
      <w:pPr>
        <w:spacing w:after="0" w:line="86" w:lineRule="exact"/>
        <w:rPr>
          <w:rFonts w:ascii="Arial" w:cs="Arial" w:eastAsia="Arial" w:hAnsi="Arial"/>
          <w:sz w:val="16"/>
          <w:szCs w:val="16"/>
          <w:color w:val="E52823"/>
        </w:rPr>
      </w:pPr>
    </w:p>
    <w:p>
      <w:pPr>
        <w:ind w:left="140" w:hanging="134"/>
        <w:spacing w:after="0"/>
        <w:tabs>
          <w:tab w:leader="none" w:pos="140"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Reviewing and assessing the adequacy of our Corporate Governance Guidelines and governance structure;</w:t>
      </w:r>
    </w:p>
    <w:p>
      <w:pPr>
        <w:spacing w:after="0" w:line="86" w:lineRule="exact"/>
        <w:rPr>
          <w:rFonts w:ascii="Arial" w:cs="Arial" w:eastAsia="Arial" w:hAnsi="Arial"/>
          <w:sz w:val="16"/>
          <w:szCs w:val="16"/>
          <w:color w:val="E52823"/>
        </w:rPr>
      </w:pPr>
    </w:p>
    <w:p>
      <w:pPr>
        <w:ind w:left="140" w:hanging="134"/>
        <w:spacing w:after="0"/>
        <w:tabs>
          <w:tab w:leader="none" w:pos="140"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Overseeing the director orientation and continuing education programs;</w:t>
      </w:r>
    </w:p>
    <w:p>
      <w:pPr>
        <w:spacing w:after="0" w:line="86" w:lineRule="exact"/>
        <w:rPr>
          <w:rFonts w:ascii="Arial" w:cs="Arial" w:eastAsia="Arial" w:hAnsi="Arial"/>
          <w:sz w:val="16"/>
          <w:szCs w:val="16"/>
          <w:color w:val="E52823"/>
        </w:rPr>
      </w:pPr>
    </w:p>
    <w:p>
      <w:pPr>
        <w:ind w:left="160" w:right="240" w:hanging="154"/>
        <w:spacing w:after="0" w:line="253" w:lineRule="auto"/>
        <w:tabs>
          <w:tab w:leader="none" w:pos="136"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Reviewing and reporting to the Board regarding matters relating to the Company’s role as a responsible corporate citizen, including health, safety and environmental matters, equal employment opportunity and other matters, including the Company’s Code of Conduct; and</w:t>
      </w:r>
    </w:p>
    <w:p>
      <w:pPr>
        <w:spacing w:after="0" w:line="66" w:lineRule="exact"/>
        <w:rPr>
          <w:rFonts w:ascii="Arial" w:cs="Arial" w:eastAsia="Arial" w:hAnsi="Arial"/>
          <w:sz w:val="16"/>
          <w:szCs w:val="16"/>
          <w:color w:val="E52823"/>
        </w:rPr>
      </w:pPr>
    </w:p>
    <w:p>
      <w:pPr>
        <w:ind w:left="140" w:hanging="134"/>
        <w:spacing w:after="0"/>
        <w:tabs>
          <w:tab w:leader="none" w:pos="140" w:val="left"/>
        </w:tabs>
        <w:numPr>
          <w:ilvl w:val="0"/>
          <w:numId w:val="19"/>
        </w:numPr>
        <w:rPr>
          <w:rFonts w:ascii="Arial" w:cs="Arial" w:eastAsia="Arial" w:hAnsi="Arial"/>
          <w:sz w:val="16"/>
          <w:szCs w:val="16"/>
          <w:color w:val="E52823"/>
        </w:rPr>
      </w:pPr>
      <w:r>
        <w:rPr>
          <w:rFonts w:ascii="Arial" w:cs="Arial" w:eastAsia="Arial" w:hAnsi="Arial"/>
          <w:sz w:val="16"/>
          <w:szCs w:val="16"/>
          <w:color w:val="auto"/>
        </w:rPr>
        <w:t>Developing and approving the Company’s related person transactions policy.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E52823"/>
        </w:rPr>
        <w:t>Independence</w:t>
      </w:r>
    </w:p>
    <w:p>
      <w:pPr>
        <w:spacing w:after="0" w:line="8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Nominating and Governance Committee is comprised entirely of directors who are independent under the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251460</wp:posOffset>
            </wp:positionV>
            <wp:extent cx="6995160" cy="6261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80"/>
            <w:col w:w="8520"/>
          </w:cols>
          <w:pgMar w:left="320" w:top="459" w:right="51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16</w:t>
      </w:r>
    </w:p>
    <w:p>
      <w:pPr>
        <w:sectPr>
          <w:pgSz w:w="11900" w:h="16838" w:orient="portrait"/>
          <w:cols w:equalWidth="0" w:num="1">
            <w:col w:w="11060"/>
          </w:cols>
          <w:pgMar w:left="320" w:top="459" w:right="51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622935</wp:posOffset>
            </wp:positionV>
            <wp:extent cx="7003415" cy="57867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03415" cy="57867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0"/>
        <w:spacing w:after="0" w:line="352" w:lineRule="auto"/>
        <w:rPr>
          <w:sz w:val="20"/>
          <w:szCs w:val="20"/>
          <w:color w:val="auto"/>
        </w:rPr>
      </w:pPr>
      <w:r>
        <w:rPr>
          <w:rFonts w:ascii="Arial" w:cs="Arial" w:eastAsia="Arial" w:hAnsi="Arial"/>
          <w:sz w:val="16"/>
          <w:szCs w:val="16"/>
          <w:color w:val="E52823"/>
        </w:rPr>
        <w:t xml:space="preserve">Compensation Committee </w:t>
      </w:r>
      <w:r>
        <w:rPr>
          <w:rFonts w:ascii="Arial" w:cs="Arial" w:eastAsia="Arial" w:hAnsi="Arial"/>
          <w:sz w:val="16"/>
          <w:szCs w:val="16"/>
          <w:color w:val="000000"/>
        </w:rPr>
        <w:t>Met ten times in 2019</w:t>
      </w:r>
    </w:p>
    <w:p>
      <w:pPr>
        <w:ind w:left="280" w:right="500"/>
        <w:spacing w:after="0" w:line="260" w:lineRule="auto"/>
        <w:rPr>
          <w:sz w:val="20"/>
          <w:szCs w:val="20"/>
          <w:color w:val="auto"/>
        </w:rPr>
      </w:pPr>
      <w:r>
        <w:rPr>
          <w:rFonts w:ascii="Arial" w:cs="Arial" w:eastAsia="Arial" w:hAnsi="Arial"/>
          <w:sz w:val="16"/>
          <w:szCs w:val="16"/>
          <w:color w:val="auto"/>
        </w:rPr>
        <w:t>Current Committee Members:</w:t>
      </w:r>
    </w:p>
    <w:p>
      <w:pPr>
        <w:spacing w:after="0" w:line="60" w:lineRule="exact"/>
        <w:rPr>
          <w:sz w:val="20"/>
          <w:szCs w:val="20"/>
          <w:color w:val="auto"/>
        </w:rPr>
      </w:pPr>
    </w:p>
    <w:p>
      <w:pPr>
        <w:ind w:left="280" w:right="380"/>
        <w:spacing w:after="0" w:line="246" w:lineRule="auto"/>
        <w:rPr>
          <w:sz w:val="20"/>
          <w:szCs w:val="20"/>
          <w:color w:val="auto"/>
        </w:rPr>
      </w:pPr>
      <w:r>
        <w:rPr>
          <w:rFonts w:ascii="Arial" w:cs="Arial" w:eastAsia="Arial" w:hAnsi="Arial"/>
          <w:sz w:val="16"/>
          <w:szCs w:val="16"/>
          <w:color w:val="E52823"/>
        </w:rPr>
        <w:t>Carsten J. Reinhardt (</w:t>
      </w:r>
      <w:r>
        <w:rPr>
          <w:rFonts w:ascii="Arial" w:cs="Arial" w:eastAsia="Arial" w:hAnsi="Arial"/>
          <w:sz w:val="16"/>
          <w:szCs w:val="16"/>
          <w:b w:val="1"/>
          <w:bCs w:val="1"/>
          <w:color w:val="E52823"/>
        </w:rPr>
        <w:t>CHAIR</w:t>
      </w:r>
      <w:r>
        <w:rPr>
          <w:rFonts w:ascii="Arial" w:cs="Arial" w:eastAsia="Arial" w:hAnsi="Arial"/>
          <w:sz w:val="16"/>
          <w:szCs w:val="16"/>
          <w:color w:val="E52823"/>
        </w:rPr>
        <w:t>)</w:t>
      </w:r>
    </w:p>
    <w:p>
      <w:pPr>
        <w:spacing w:after="0" w:line="1" w:lineRule="exact"/>
        <w:rPr>
          <w:sz w:val="20"/>
          <w:szCs w:val="20"/>
          <w:color w:val="auto"/>
        </w:rPr>
      </w:pPr>
    </w:p>
    <w:p>
      <w:pPr>
        <w:ind w:left="280" w:right="520"/>
        <w:spacing w:after="0" w:line="253" w:lineRule="auto"/>
        <w:rPr>
          <w:sz w:val="20"/>
          <w:szCs w:val="20"/>
          <w:color w:val="auto"/>
        </w:rPr>
      </w:pPr>
      <w:r>
        <w:rPr>
          <w:rFonts w:ascii="Arial" w:cs="Arial" w:eastAsia="Arial" w:hAnsi="Arial"/>
          <w:sz w:val="16"/>
          <w:szCs w:val="16"/>
          <w:color w:val="E52823"/>
        </w:rPr>
        <w:t>Carlos M. Cardoso Maura J. Clark Scott A. Tozier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E52823"/>
        </w:rPr>
        <w:t>Primary Responsibilities Include:</w:t>
      </w:r>
    </w:p>
    <w:p>
      <w:pPr>
        <w:spacing w:after="0" w:line="106" w:lineRule="exact"/>
        <w:rPr>
          <w:sz w:val="20"/>
          <w:szCs w:val="20"/>
          <w:color w:val="auto"/>
        </w:rPr>
      </w:pPr>
    </w:p>
    <w:p>
      <w:pPr>
        <w:ind w:left="160" w:right="20" w:hanging="154"/>
        <w:spacing w:after="0" w:line="253"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and approving corporate goals and objectives relevant to compensation of our Chief Executive Officer, evaluating his or her performance and determining and approving, together with the independent directors, his or her compensation;</w:t>
      </w:r>
    </w:p>
    <w:p>
      <w:pPr>
        <w:spacing w:after="0" w:line="66" w:lineRule="exact"/>
        <w:rPr>
          <w:rFonts w:ascii="Arial" w:cs="Arial" w:eastAsia="Arial" w:hAnsi="Arial"/>
          <w:sz w:val="16"/>
          <w:szCs w:val="16"/>
          <w:color w:val="E52823"/>
        </w:rPr>
      </w:pPr>
    </w:p>
    <w:p>
      <w:pPr>
        <w:ind w:left="160" w:right="40" w:hanging="154"/>
        <w:spacing w:after="0" w:line="260"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and approving the individual goals and objectives of the other executive officers and reviewing and setting annual salary and remuneration, including incentive compensation plans and equity-based plans, for all officers;</w:t>
      </w:r>
    </w:p>
    <w:p>
      <w:pPr>
        <w:spacing w:after="0" w:line="60" w:lineRule="exact"/>
        <w:rPr>
          <w:rFonts w:ascii="Arial" w:cs="Arial" w:eastAsia="Arial" w:hAnsi="Arial"/>
          <w:sz w:val="16"/>
          <w:szCs w:val="16"/>
          <w:color w:val="E52823"/>
        </w:rPr>
      </w:pPr>
    </w:p>
    <w:p>
      <w:pPr>
        <w:ind w:left="160" w:right="440" w:hanging="154"/>
        <w:spacing w:after="0" w:line="260"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and approving proposed actions under our incentive compensation plans and equity-based plans for senior level employees;</w:t>
      </w:r>
    </w:p>
    <w:p>
      <w:pPr>
        <w:spacing w:after="0" w:line="60" w:lineRule="exact"/>
        <w:rPr>
          <w:rFonts w:ascii="Arial" w:cs="Arial" w:eastAsia="Arial" w:hAnsi="Arial"/>
          <w:sz w:val="16"/>
          <w:szCs w:val="16"/>
          <w:color w:val="E52823"/>
        </w:rPr>
      </w:pPr>
    </w:p>
    <w:p>
      <w:pPr>
        <w:ind w:left="160" w:right="100" w:hanging="154"/>
        <w:spacing w:after="0" w:line="260"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the management development program and overseeing the succession planning process for our officers, in coordination with the Nominating and Governance Committee;</w:t>
      </w:r>
    </w:p>
    <w:p>
      <w:pPr>
        <w:spacing w:after="0" w:line="60" w:lineRule="exact"/>
        <w:rPr>
          <w:rFonts w:ascii="Arial" w:cs="Arial" w:eastAsia="Arial" w:hAnsi="Arial"/>
          <w:sz w:val="16"/>
          <w:szCs w:val="16"/>
          <w:color w:val="E52823"/>
        </w:rPr>
      </w:pPr>
    </w:p>
    <w:p>
      <w:pPr>
        <w:ind w:left="160" w:right="320" w:hanging="154"/>
        <w:spacing w:after="0" w:line="260"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and administering our bonus, stock and other benefits plans, as may be provided in any such plans or deemed appropriate by the Board;</w:t>
      </w:r>
    </w:p>
    <w:p>
      <w:pPr>
        <w:spacing w:after="0" w:line="60" w:lineRule="exact"/>
        <w:rPr>
          <w:rFonts w:ascii="Arial" w:cs="Arial" w:eastAsia="Arial" w:hAnsi="Arial"/>
          <w:sz w:val="16"/>
          <w:szCs w:val="16"/>
          <w:color w:val="E52823"/>
        </w:rPr>
      </w:pPr>
    </w:p>
    <w:p>
      <w:pPr>
        <w:ind w:left="160" w:right="420" w:hanging="154"/>
        <w:spacing w:after="0" w:line="260"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and approving Company employment agreements and compensatory transactions with an executive officer of the Company;</w:t>
      </w:r>
    </w:p>
    <w:p>
      <w:pPr>
        <w:spacing w:after="0" w:line="60" w:lineRule="exact"/>
        <w:rPr>
          <w:rFonts w:ascii="Arial" w:cs="Arial" w:eastAsia="Arial" w:hAnsi="Arial"/>
          <w:sz w:val="16"/>
          <w:szCs w:val="16"/>
          <w:color w:val="E52823"/>
        </w:rPr>
      </w:pPr>
    </w:p>
    <w:p>
      <w:pPr>
        <w:ind w:left="140" w:hanging="134"/>
        <w:spacing w:after="0"/>
        <w:tabs>
          <w:tab w:leader="none" w:pos="140"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Establishing and reviewing perquisite benefits policies;</w:t>
      </w:r>
    </w:p>
    <w:p>
      <w:pPr>
        <w:spacing w:after="0" w:line="86" w:lineRule="exact"/>
        <w:rPr>
          <w:rFonts w:ascii="Arial" w:cs="Arial" w:eastAsia="Arial" w:hAnsi="Arial"/>
          <w:sz w:val="16"/>
          <w:szCs w:val="16"/>
          <w:color w:val="E52823"/>
        </w:rPr>
      </w:pPr>
    </w:p>
    <w:p>
      <w:pPr>
        <w:ind w:left="160" w:hanging="154"/>
        <w:spacing w:after="0" w:line="253"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and discussing annually with management our “Compensation Discussion and Analysis,” and recommending to the Board whether such section should be included in the Company’s Annual Report on Form 10-K and annual proxy statement; and</w:t>
      </w:r>
    </w:p>
    <w:p>
      <w:pPr>
        <w:spacing w:after="0" w:line="66" w:lineRule="exact"/>
        <w:rPr>
          <w:rFonts w:ascii="Arial" w:cs="Arial" w:eastAsia="Arial" w:hAnsi="Arial"/>
          <w:sz w:val="16"/>
          <w:szCs w:val="16"/>
          <w:color w:val="E52823"/>
        </w:rPr>
      </w:pPr>
    </w:p>
    <w:p>
      <w:pPr>
        <w:ind w:left="160" w:right="460" w:hanging="154"/>
        <w:spacing w:after="0" w:line="251" w:lineRule="auto"/>
        <w:tabs>
          <w:tab w:leader="none" w:pos="136" w:val="left"/>
        </w:tabs>
        <w:numPr>
          <w:ilvl w:val="0"/>
          <w:numId w:val="20"/>
        </w:numPr>
        <w:rPr>
          <w:rFonts w:ascii="Arial" w:cs="Arial" w:eastAsia="Arial" w:hAnsi="Arial"/>
          <w:sz w:val="16"/>
          <w:szCs w:val="16"/>
          <w:color w:val="E52823"/>
        </w:rPr>
      </w:pPr>
      <w:r>
        <w:rPr>
          <w:rFonts w:ascii="Arial" w:cs="Arial" w:eastAsia="Arial" w:hAnsi="Arial"/>
          <w:sz w:val="16"/>
          <w:szCs w:val="16"/>
          <w:color w:val="auto"/>
        </w:rPr>
        <w:t>Reviewing and making recommendations to the Board regarding the frequency of say-on-pay votes, taking into account the results of the most recent say-on-pay frequency vote, and reviewing and approving the proposals regarding say-on-pay votes and say-on-pay frequency votes to be included in the Company’s annual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E52823"/>
        </w:rPr>
        <w:t>Independence</w:t>
      </w:r>
    </w:p>
    <w:p>
      <w:pPr>
        <w:spacing w:after="0" w:line="8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The Compensation Committee is comprised entirely of directors who are independent under the NYSE rules, including the rules specific to membership on a compensation committee, and are “non-employee directors” under Section 16 of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E52823"/>
        </w:rPr>
        <w:t>Delegation Authority</w:t>
      </w:r>
    </w:p>
    <w:p>
      <w:pPr>
        <w:spacing w:after="0" w:line="86"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Compensation Committee may form and delegate authority to subcommittees, including a subcommittee consisting of two or more individuals who qualify as non-employee directors under Section 16 the Exchange Act.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E52823"/>
        </w:rPr>
        <w:t>Role of Management and Compensation Consultant</w:t>
      </w:r>
    </w:p>
    <w:p>
      <w:pPr>
        <w:spacing w:after="0" w:line="8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For information regarding the role of management and our compensation consultant Semler Brossy Consulting Group (“Semler Brossy”) in setting compensation see “Executive Compensation–Role of Management” and “Executive Compensation–Role of Independent Compensation Consultant” 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E52823"/>
        </w:rPr>
        <w:t>Report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Report is set forth beginning on page 40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267970</wp:posOffset>
            </wp:positionV>
            <wp:extent cx="6995160" cy="6254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400"/>
            <w:col w:w="8540"/>
          </w:cols>
          <w:pgMar w:left="320" w:top="459" w:right="49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17</w:t>
      </w:r>
    </w:p>
    <w:p>
      <w:pPr>
        <w:sectPr>
          <w:pgSz w:w="11900" w:h="16838" w:orient="portrait"/>
          <w:cols w:equalWidth="0" w:num="1">
            <w:col w:w="11080"/>
          </w:cols>
          <w:pgMar w:left="320" w:top="459"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Compensation Committee currently consists of Carlos M. Cardoso, Maura J. Clark, Carsten J. Reinhardt, who serves as chair, and Scott A. Tozier.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member of our Compensation Committee is or has been an officer or employee of the Company.</w:t>
      </w:r>
    </w:p>
    <w:p>
      <w:pPr>
        <w:spacing w:after="0" w:line="181"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During 2019, none of our executive officers served as a member of the Board or Compensation Committee, or other committee serving an equivalent function, of any other entity that has one or more of its executive officers serving as a member of our Board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Board’s Role in Risk Oversight</w:t>
      </w:r>
    </w:p>
    <w:p>
      <w:pPr>
        <w:spacing w:after="0" w:line="200"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Board recognizes that the achievement of our strategic and commercial objectives involves taking risks and that those risks may evolve over time. The Board has oversight responsibility for Garrett’s risk management, which is designed to identify, assess, and communicate these risks across the Company’s operations, and foster a corporate culture of integrity and risk awareness. Consistent with this approach, one of the Board’s primary responsibilities includes reviewing assessments of, and advising management with respect to, significant risks and issues facing the Company including, in 2020, risks related to the ongoing COVID-19 pandemic.</w:t>
      </w:r>
    </w:p>
    <w:p>
      <w:pPr>
        <w:spacing w:after="0" w:line="176"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In addition, the Board has tasked designated committees of the Board to assist with the oversight of certain categories of risk management, and the committees report to the Board regularly on these matters.</w:t>
      </w:r>
    </w:p>
    <w:p>
      <w:pPr>
        <w:spacing w:after="0" w:line="60" w:lineRule="exact"/>
        <w:rPr>
          <w:sz w:val="20"/>
          <w:szCs w:val="20"/>
          <w:color w:val="auto"/>
        </w:rPr>
      </w:pPr>
    </w:p>
    <w:p>
      <w:pPr>
        <w:ind w:left="340" w:right="460" w:hanging="224"/>
        <w:spacing w:after="0" w:line="260" w:lineRule="auto"/>
        <w:tabs>
          <w:tab w:leader="none" w:pos="340" w:val="left"/>
        </w:tabs>
        <w:numPr>
          <w:ilvl w:val="0"/>
          <w:numId w:val="21"/>
        </w:numPr>
        <w:rPr>
          <w:rFonts w:ascii="Arial" w:cs="Arial" w:eastAsia="Arial" w:hAnsi="Arial"/>
          <w:sz w:val="16"/>
          <w:szCs w:val="16"/>
          <w:color w:val="E52823"/>
        </w:rPr>
      </w:pPr>
      <w:r>
        <w:rPr>
          <w:rFonts w:ascii="Arial" w:cs="Arial" w:eastAsia="Arial" w:hAnsi="Arial"/>
          <w:sz w:val="16"/>
          <w:szCs w:val="16"/>
          <w:color w:val="auto"/>
        </w:rPr>
        <w:t>The Audit Committee reviews and discusses, with management as appropriate, our major financial and enterprise (including cybersecurity) risk exposures, risk assessment and risk management policies;</w:t>
      </w:r>
    </w:p>
    <w:p>
      <w:pPr>
        <w:spacing w:after="0" w:line="60" w:lineRule="exact"/>
        <w:rPr>
          <w:rFonts w:ascii="Arial" w:cs="Arial" w:eastAsia="Arial" w:hAnsi="Arial"/>
          <w:sz w:val="16"/>
          <w:szCs w:val="16"/>
          <w:color w:val="E52823"/>
        </w:rPr>
      </w:pPr>
    </w:p>
    <w:p>
      <w:pPr>
        <w:ind w:left="340" w:right="20" w:hanging="224"/>
        <w:spacing w:after="0" w:line="253" w:lineRule="auto"/>
        <w:tabs>
          <w:tab w:leader="none" w:pos="340" w:val="left"/>
        </w:tabs>
        <w:numPr>
          <w:ilvl w:val="0"/>
          <w:numId w:val="21"/>
        </w:numPr>
        <w:rPr>
          <w:rFonts w:ascii="Arial" w:cs="Arial" w:eastAsia="Arial" w:hAnsi="Arial"/>
          <w:sz w:val="16"/>
          <w:szCs w:val="16"/>
          <w:color w:val="E52823"/>
        </w:rPr>
      </w:pPr>
      <w:r>
        <w:rPr>
          <w:rFonts w:ascii="Arial" w:cs="Arial" w:eastAsia="Arial" w:hAnsi="Arial"/>
          <w:sz w:val="16"/>
          <w:szCs w:val="16"/>
          <w:color w:val="auto"/>
        </w:rPr>
        <w:t>The Compensation Committee, in approving and evaluating the Company’s executive compensation plans, policies and programs, takes into account the degree of risk to the Company that such plans, policies and programs may create and assists the Board in fulfilling its oversight responsibilities with respect to succession planning for our executive officers; and</w:t>
      </w:r>
    </w:p>
    <w:p>
      <w:pPr>
        <w:spacing w:after="0" w:line="66" w:lineRule="exact"/>
        <w:rPr>
          <w:rFonts w:ascii="Arial" w:cs="Arial" w:eastAsia="Arial" w:hAnsi="Arial"/>
          <w:sz w:val="16"/>
          <w:szCs w:val="16"/>
          <w:color w:val="E52823"/>
        </w:rPr>
      </w:pPr>
    </w:p>
    <w:p>
      <w:pPr>
        <w:ind w:left="340" w:right="500" w:hanging="224"/>
        <w:spacing w:after="0" w:line="253" w:lineRule="auto"/>
        <w:tabs>
          <w:tab w:leader="none" w:pos="340" w:val="left"/>
        </w:tabs>
        <w:numPr>
          <w:ilvl w:val="0"/>
          <w:numId w:val="21"/>
        </w:numPr>
        <w:rPr>
          <w:rFonts w:ascii="Arial" w:cs="Arial" w:eastAsia="Arial" w:hAnsi="Arial"/>
          <w:sz w:val="16"/>
          <w:szCs w:val="16"/>
          <w:color w:val="E52823"/>
        </w:rPr>
      </w:pPr>
      <w:r>
        <w:rPr>
          <w:rFonts w:ascii="Arial" w:cs="Arial" w:eastAsia="Arial" w:hAnsi="Arial"/>
          <w:sz w:val="16"/>
          <w:szCs w:val="16"/>
          <w:color w:val="auto"/>
        </w:rPr>
        <w:t>The Nominating and Governance Committee assists the Board in fulfilling its oversight responsibilities with respect to the management of risks associated with Board organization, membership and structure, succession planning for our directors and executive officers, and our overall governance structure, and also by reviewing our Code of Conduct, which creates a foundation for our compliance program.</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does not believe that its role in the oversight of our risks affects the Board’s leadership structure.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Responsibility</w:t>
      </w:r>
    </w:p>
    <w:p>
      <w:pPr>
        <w:spacing w:after="0" w:line="200"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Garrett’s mission to enable cleaner, safer vehicles is at the heart of its contribution to society. We develop solutions for the auto industry’s most pressing sustainability issues, from emissions reduction to vehicle cybersecurity. Corporate responsibility is therefore a priority for the Company and the Board. The Board is responsible for promoting corporate responsibility and sustainability as well as monitoring adherence to Company standards. The Board manages oversight of sustainability through a Sustainability Committee, which is comprised of senior leaders who assess and prioritize topics that are material for the business.</w:t>
      </w:r>
    </w:p>
    <w:p>
      <w:pPr>
        <w:spacing w:after="0" w:line="176" w:lineRule="exact"/>
        <w:rPr>
          <w:sz w:val="20"/>
          <w:szCs w:val="20"/>
          <w:color w:val="auto"/>
        </w:rPr>
      </w:pPr>
    </w:p>
    <w:p>
      <w:pPr>
        <w:ind w:left="120" w:right="380"/>
        <w:spacing w:after="0" w:line="260" w:lineRule="auto"/>
        <w:rPr>
          <w:sz w:val="20"/>
          <w:szCs w:val="20"/>
          <w:color w:val="auto"/>
        </w:rPr>
      </w:pPr>
      <w:r>
        <w:rPr>
          <w:rFonts w:ascii="Arial" w:cs="Arial" w:eastAsia="Arial" w:hAnsi="Arial"/>
          <w:sz w:val="16"/>
          <w:szCs w:val="16"/>
          <w:color w:val="auto"/>
        </w:rPr>
        <w:t xml:space="preserve">Garrett articulates its commitments to to social and environmental considerations in the communities in which it operates in the Company’s Code of Business Conduct, which can be found on our website at </w:t>
      </w:r>
      <w:r>
        <w:rPr>
          <w:rFonts w:ascii="Arial" w:cs="Arial" w:eastAsia="Arial" w:hAnsi="Arial"/>
          <w:sz w:val="16"/>
          <w:szCs w:val="16"/>
          <w:b w:val="1"/>
          <w:bCs w:val="1"/>
          <w:color w:val="E52823"/>
        </w:rPr>
        <w:t>www.garrettmotion.com</w:t>
      </w:r>
      <w:r>
        <w:rPr>
          <w:rFonts w:ascii="Arial" w:cs="Arial" w:eastAsia="Arial" w:hAnsi="Arial"/>
          <w:sz w:val="16"/>
          <w:szCs w:val="16"/>
          <w:color w:val="auto"/>
        </w:rPr>
        <w:t xml:space="preserve"> under “Investors—Leadership &amp; Governance”.</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intends to publish its first sustainability report in 2021 and to annually report progress on its sustainability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6254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18</w:t>
      </w:r>
    </w:p>
    <w:p>
      <w:pPr>
        <w:sectPr>
          <w:pgSz w:w="11900" w:h="16838" w:orient="portrait"/>
          <w:cols w:equalWidth="0" w:num="1">
            <w:col w:w="11020"/>
          </w:cols>
          <w:pgMar w:left="320" w:top="459" w:right="5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31375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Sustainability Commitments</w:t>
      </w:r>
    </w:p>
    <w:p>
      <w:pPr>
        <w:spacing w:after="0" w:line="197"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WeCare4</w:t>
      </w:r>
      <w:r>
        <w:rPr>
          <w:rFonts w:ascii="Arial" w:cs="Arial" w:eastAsia="Arial" w:hAnsi="Arial"/>
          <w:sz w:val="16"/>
          <w:szCs w:val="16"/>
          <w:color w:val="auto"/>
        </w:rPr>
        <w:t xml:space="preserve"> sustainability approach, defined in 2019 following Garrett’s first materiality assessment, focuses on two essential building blocks required to successfully achieve our mission: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Culture of innovation</w:t>
      </w:r>
    </w:p>
    <w:p>
      <w:pPr>
        <w:spacing w:after="0" w:line="102"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6"/>
          <w:szCs w:val="16"/>
          <w:color w:val="E52823"/>
        </w:rPr>
      </w:pPr>
      <w:r>
        <w:rPr>
          <w:rFonts w:ascii="Arial" w:cs="Arial" w:eastAsia="Arial" w:hAnsi="Arial"/>
          <w:sz w:val="16"/>
          <w:szCs w:val="16"/>
          <w:color w:val="auto"/>
        </w:rPr>
        <w:t>Developing our people</w:t>
      </w:r>
    </w:p>
    <w:p>
      <w:pPr>
        <w:spacing w:after="0" w:line="86" w:lineRule="exact"/>
        <w:rPr>
          <w:rFonts w:ascii="Arial" w:cs="Arial" w:eastAsia="Arial" w:hAnsi="Arial"/>
          <w:sz w:val="16"/>
          <w:szCs w:val="16"/>
          <w:color w:val="E52823"/>
        </w:rPr>
      </w:pPr>
    </w:p>
    <w:p>
      <w:pPr>
        <w:jc w:val="both"/>
        <w:ind w:left="980" w:hanging="324"/>
        <w:spacing w:after="0" w:line="253" w:lineRule="auto"/>
        <w:tabs>
          <w:tab w:leader="none" w:pos="980" w:val="left"/>
        </w:tabs>
        <w:numPr>
          <w:ilvl w:val="1"/>
          <w:numId w:val="22"/>
        </w:numPr>
        <w:rPr>
          <w:rFonts w:ascii="Arial" w:cs="Arial" w:eastAsia="Arial" w:hAnsi="Arial"/>
          <w:sz w:val="13"/>
          <w:szCs w:val="13"/>
          <w:color w:val="auto"/>
        </w:rPr>
      </w:pPr>
      <w:r>
        <w:rPr>
          <w:rFonts w:ascii="Arial" w:cs="Arial" w:eastAsia="Arial" w:hAnsi="Arial"/>
          <w:sz w:val="16"/>
          <w:szCs w:val="16"/>
          <w:color w:val="auto"/>
        </w:rPr>
        <w:t>We encourage our employees to fulfill their potential and support their development through a comprehensive annual performance review and objective-setting process, training and development opportunities, including a catalogue of approximately 1,000 web-based learning modules, and leadership training for managers.</w:t>
      </w:r>
    </w:p>
    <w:p>
      <w:pPr>
        <w:spacing w:after="0" w:line="66" w:lineRule="exact"/>
        <w:rPr>
          <w:rFonts w:ascii="Arial" w:cs="Arial" w:eastAsia="Arial" w:hAnsi="Arial"/>
          <w:sz w:val="13"/>
          <w:szCs w:val="13"/>
          <w:color w:val="auto"/>
        </w:rPr>
      </w:pPr>
    </w:p>
    <w:p>
      <w:pPr>
        <w:ind w:left="980" w:right="400" w:hanging="324"/>
        <w:spacing w:after="0" w:line="260" w:lineRule="auto"/>
        <w:tabs>
          <w:tab w:leader="none" w:pos="980" w:val="left"/>
        </w:tabs>
        <w:numPr>
          <w:ilvl w:val="1"/>
          <w:numId w:val="22"/>
        </w:numPr>
        <w:rPr>
          <w:rFonts w:ascii="Arial" w:cs="Arial" w:eastAsia="Arial" w:hAnsi="Arial"/>
          <w:sz w:val="13"/>
          <w:szCs w:val="13"/>
          <w:color w:val="auto"/>
        </w:rPr>
      </w:pPr>
      <w:r>
        <w:rPr>
          <w:rFonts w:ascii="Arial" w:cs="Arial" w:eastAsia="Arial" w:hAnsi="Arial"/>
          <w:sz w:val="16"/>
          <w:szCs w:val="16"/>
          <w:color w:val="auto"/>
        </w:rPr>
        <w:t>Our Diversity and Inclusion Committee drives a global network of diversity and inclusion champions and policy improvements, as well as awareness activities such as unconscious bias training and cultural adaptation online learning.</w:t>
      </w:r>
    </w:p>
    <w:p>
      <w:pPr>
        <w:spacing w:after="0" w:line="60" w:lineRule="exact"/>
        <w:rPr>
          <w:rFonts w:ascii="Arial" w:cs="Arial" w:eastAsia="Arial" w:hAnsi="Arial"/>
          <w:sz w:val="13"/>
          <w:szCs w:val="13"/>
          <w:color w:val="auto"/>
        </w:rPr>
      </w:pPr>
    </w:p>
    <w:p>
      <w:pPr>
        <w:ind w:left="980" w:hanging="324"/>
        <w:spacing w:after="0" w:line="260" w:lineRule="auto"/>
        <w:tabs>
          <w:tab w:leader="none" w:pos="980" w:val="left"/>
        </w:tabs>
        <w:numPr>
          <w:ilvl w:val="1"/>
          <w:numId w:val="22"/>
        </w:numPr>
        <w:rPr>
          <w:rFonts w:ascii="Arial" w:cs="Arial" w:eastAsia="Arial" w:hAnsi="Arial"/>
          <w:sz w:val="13"/>
          <w:szCs w:val="13"/>
          <w:color w:val="auto"/>
        </w:rPr>
      </w:pPr>
      <w:r>
        <w:rPr>
          <w:rFonts w:ascii="Arial" w:cs="Arial" w:eastAsia="Arial" w:hAnsi="Arial"/>
          <w:sz w:val="16"/>
          <w:szCs w:val="16"/>
          <w:color w:val="auto"/>
        </w:rPr>
        <w:t>World-class health and safety considerations are integrated into Garrett’s procedures and processes. Health and safety are an integral aspect of the design of our products, processes and services, and the lifecycle of our products.</w:t>
      </w:r>
    </w:p>
    <w:p>
      <w:pPr>
        <w:spacing w:after="0" w:line="60" w:lineRule="exact"/>
        <w:rPr>
          <w:rFonts w:ascii="Arial" w:cs="Arial" w:eastAsia="Arial" w:hAnsi="Arial"/>
          <w:sz w:val="13"/>
          <w:szCs w:val="13"/>
          <w:color w:val="auto"/>
        </w:rPr>
      </w:pPr>
    </w:p>
    <w:p>
      <w:pPr>
        <w:ind w:left="980" w:hanging="324"/>
        <w:spacing w:after="0"/>
        <w:tabs>
          <w:tab w:leader="none" w:pos="980" w:val="left"/>
        </w:tabs>
        <w:numPr>
          <w:ilvl w:val="1"/>
          <w:numId w:val="22"/>
        </w:numPr>
        <w:rPr>
          <w:rFonts w:ascii="Arial" w:cs="Arial" w:eastAsia="Arial" w:hAnsi="Arial"/>
          <w:sz w:val="13"/>
          <w:szCs w:val="13"/>
          <w:color w:val="auto"/>
        </w:rPr>
      </w:pPr>
      <w:r>
        <w:rPr>
          <w:rFonts w:ascii="Arial" w:cs="Arial" w:eastAsia="Arial" w:hAnsi="Arial"/>
          <w:sz w:val="16"/>
          <w:szCs w:val="16"/>
          <w:color w:val="auto"/>
        </w:rPr>
        <w:t>Our management systems apply a global standard that provides protection of human health during normal and emergency situations.</w:t>
      </w:r>
    </w:p>
    <w:p>
      <w:pPr>
        <w:spacing w:after="0" w:line="86" w:lineRule="exact"/>
        <w:rPr>
          <w:rFonts w:ascii="Arial" w:cs="Arial" w:eastAsia="Arial" w:hAnsi="Arial"/>
          <w:sz w:val="13"/>
          <w:szCs w:val="13"/>
          <w:color w:val="auto"/>
        </w:rPr>
      </w:pPr>
    </w:p>
    <w:p>
      <w:pPr>
        <w:ind w:left="340" w:hanging="224"/>
        <w:spacing w:after="0"/>
        <w:tabs>
          <w:tab w:leader="none" w:pos="340" w:val="left"/>
        </w:tabs>
        <w:numPr>
          <w:ilvl w:val="0"/>
          <w:numId w:val="22"/>
        </w:numPr>
        <w:rPr>
          <w:rFonts w:ascii="Arial" w:cs="Arial" w:eastAsia="Arial" w:hAnsi="Arial"/>
          <w:sz w:val="16"/>
          <w:szCs w:val="16"/>
          <w:color w:val="E52823"/>
        </w:rPr>
      </w:pPr>
      <w:r>
        <w:rPr>
          <w:rFonts w:ascii="Arial" w:cs="Arial" w:eastAsia="Arial" w:hAnsi="Arial"/>
          <w:sz w:val="16"/>
          <w:szCs w:val="16"/>
          <w:color w:val="auto"/>
        </w:rPr>
        <w:t>Educating future innovators</w:t>
      </w:r>
    </w:p>
    <w:p>
      <w:pPr>
        <w:spacing w:after="0" w:line="86" w:lineRule="exact"/>
        <w:rPr>
          <w:rFonts w:ascii="Arial" w:cs="Arial" w:eastAsia="Arial" w:hAnsi="Arial"/>
          <w:sz w:val="16"/>
          <w:szCs w:val="16"/>
          <w:color w:val="E52823"/>
        </w:rPr>
      </w:pPr>
    </w:p>
    <w:p>
      <w:pPr>
        <w:ind w:left="980" w:right="120" w:hanging="324"/>
        <w:spacing w:after="0" w:line="253" w:lineRule="auto"/>
        <w:tabs>
          <w:tab w:leader="none" w:pos="980" w:val="left"/>
        </w:tabs>
        <w:numPr>
          <w:ilvl w:val="1"/>
          <w:numId w:val="22"/>
        </w:numPr>
        <w:rPr>
          <w:rFonts w:ascii="Arial" w:cs="Arial" w:eastAsia="Arial" w:hAnsi="Arial"/>
          <w:sz w:val="13"/>
          <w:szCs w:val="13"/>
          <w:color w:val="auto"/>
        </w:rPr>
      </w:pPr>
      <w:r>
        <w:rPr>
          <w:rFonts w:ascii="Arial" w:cs="Arial" w:eastAsia="Arial" w:hAnsi="Arial"/>
          <w:sz w:val="16"/>
          <w:szCs w:val="16"/>
          <w:color w:val="auto"/>
        </w:rPr>
        <w:t>Garrett places a high value on Science, Technology, Engineering and Math (“STEM”) research and learning opportunities that provide young people with the skills needed to develop the future of sustainable mobility. The Company sponsors higher education institutes in several countries to further critical research in technical areas and provide students with opportunities to study STEM programs.</w:t>
      </w:r>
    </w:p>
    <w:p>
      <w:pPr>
        <w:spacing w:after="0" w:line="66" w:lineRule="exact"/>
        <w:rPr>
          <w:rFonts w:ascii="Arial" w:cs="Arial" w:eastAsia="Arial" w:hAnsi="Arial"/>
          <w:sz w:val="13"/>
          <w:szCs w:val="13"/>
          <w:color w:val="auto"/>
        </w:rPr>
      </w:pPr>
    </w:p>
    <w:p>
      <w:pPr>
        <w:ind w:left="980" w:right="280" w:hanging="324"/>
        <w:spacing w:after="0" w:line="260" w:lineRule="auto"/>
        <w:tabs>
          <w:tab w:leader="none" w:pos="980" w:val="left"/>
        </w:tabs>
        <w:numPr>
          <w:ilvl w:val="1"/>
          <w:numId w:val="22"/>
        </w:numPr>
        <w:rPr>
          <w:rFonts w:ascii="Arial" w:cs="Arial" w:eastAsia="Arial" w:hAnsi="Arial"/>
          <w:sz w:val="13"/>
          <w:szCs w:val="13"/>
          <w:color w:val="auto"/>
        </w:rPr>
      </w:pPr>
      <w:r>
        <w:rPr>
          <w:rFonts w:ascii="Arial" w:cs="Arial" w:eastAsia="Arial" w:hAnsi="Arial"/>
          <w:sz w:val="16"/>
          <w:szCs w:val="16"/>
          <w:color w:val="auto"/>
        </w:rPr>
        <w:t>We support STEM awareness in our host communities, holding regular open days for school children with a specific focus on encouraging girls to take an interest in STEM.</w:t>
      </w:r>
    </w:p>
    <w:p>
      <w:pPr>
        <w:spacing w:after="0" w:line="60" w:lineRule="exact"/>
        <w:rPr>
          <w:rFonts w:ascii="Arial" w:cs="Arial" w:eastAsia="Arial" w:hAnsi="Arial"/>
          <w:sz w:val="13"/>
          <w:szCs w:val="13"/>
          <w:color w:val="auto"/>
        </w:rPr>
      </w:pPr>
    </w:p>
    <w:p>
      <w:pPr>
        <w:ind w:left="980" w:right="420" w:hanging="324"/>
        <w:spacing w:after="0" w:line="260" w:lineRule="auto"/>
        <w:tabs>
          <w:tab w:leader="none" w:pos="980" w:val="left"/>
        </w:tabs>
        <w:numPr>
          <w:ilvl w:val="1"/>
          <w:numId w:val="22"/>
        </w:numPr>
        <w:rPr>
          <w:rFonts w:ascii="Arial" w:cs="Arial" w:eastAsia="Arial" w:hAnsi="Arial"/>
          <w:sz w:val="13"/>
          <w:szCs w:val="13"/>
          <w:color w:val="auto"/>
        </w:rPr>
      </w:pPr>
      <w:r>
        <w:rPr>
          <w:rFonts w:ascii="Arial" w:cs="Arial" w:eastAsia="Arial" w:hAnsi="Arial"/>
          <w:sz w:val="16"/>
          <w:szCs w:val="16"/>
          <w:color w:val="auto"/>
        </w:rPr>
        <w:t>The Company launched its Internship and graduate program in 2019 and sponsors Formula SAE and Formula Student teams in several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19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Responsible operations</w:t>
      </w:r>
    </w:p>
    <w:p>
      <w:pPr>
        <w:spacing w:after="0" w:line="102"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6"/>
          <w:szCs w:val="16"/>
          <w:color w:val="E52823"/>
        </w:rPr>
      </w:pPr>
      <w:r>
        <w:rPr>
          <w:rFonts w:ascii="Arial" w:cs="Arial" w:eastAsia="Arial" w:hAnsi="Arial"/>
          <w:sz w:val="16"/>
          <w:szCs w:val="16"/>
          <w:color w:val="auto"/>
        </w:rPr>
        <w:t>Managing our environmental footprint</w:t>
      </w:r>
    </w:p>
    <w:p>
      <w:pPr>
        <w:spacing w:after="0" w:line="86" w:lineRule="exact"/>
        <w:rPr>
          <w:rFonts w:ascii="Arial" w:cs="Arial" w:eastAsia="Arial" w:hAnsi="Arial"/>
          <w:sz w:val="16"/>
          <w:szCs w:val="16"/>
          <w:color w:val="E52823"/>
        </w:rPr>
      </w:pPr>
    </w:p>
    <w:p>
      <w:pPr>
        <w:ind w:left="980" w:right="20" w:hanging="324"/>
        <w:spacing w:after="0" w:line="253" w:lineRule="auto"/>
        <w:tabs>
          <w:tab w:leader="none" w:pos="980" w:val="left"/>
        </w:tabs>
        <w:numPr>
          <w:ilvl w:val="1"/>
          <w:numId w:val="23"/>
        </w:numPr>
        <w:rPr>
          <w:rFonts w:ascii="Arial" w:cs="Arial" w:eastAsia="Arial" w:hAnsi="Arial"/>
          <w:sz w:val="13"/>
          <w:szCs w:val="13"/>
          <w:color w:val="auto"/>
        </w:rPr>
      </w:pPr>
      <w:r>
        <w:rPr>
          <w:rFonts w:ascii="Arial" w:cs="Arial" w:eastAsia="Arial" w:hAnsi="Arial"/>
          <w:sz w:val="16"/>
          <w:szCs w:val="16"/>
          <w:color w:val="auto"/>
        </w:rPr>
        <w:t>As a company whose products help reduce harmful emissions from vehicles, we are committed to reducing the impact of our operations on the environment. Garrett applies global standards governing environmental impact as part of our lifecycle management, assessing end-to-end performance from design to manufacturing and service support.</w:t>
      </w:r>
    </w:p>
    <w:p>
      <w:pPr>
        <w:spacing w:after="0" w:line="66" w:lineRule="exact"/>
        <w:rPr>
          <w:rFonts w:ascii="Arial" w:cs="Arial" w:eastAsia="Arial" w:hAnsi="Arial"/>
          <w:sz w:val="13"/>
          <w:szCs w:val="13"/>
          <w:color w:val="auto"/>
        </w:rPr>
      </w:pPr>
    </w:p>
    <w:p>
      <w:pPr>
        <w:ind w:left="980" w:right="120" w:hanging="324"/>
        <w:spacing w:after="0" w:line="260" w:lineRule="auto"/>
        <w:tabs>
          <w:tab w:leader="none" w:pos="980" w:val="left"/>
        </w:tabs>
        <w:numPr>
          <w:ilvl w:val="1"/>
          <w:numId w:val="23"/>
        </w:numPr>
        <w:rPr>
          <w:rFonts w:ascii="Arial" w:cs="Arial" w:eastAsia="Arial" w:hAnsi="Arial"/>
          <w:sz w:val="13"/>
          <w:szCs w:val="13"/>
          <w:color w:val="auto"/>
        </w:rPr>
      </w:pPr>
      <w:r>
        <w:rPr>
          <w:rFonts w:ascii="Arial" w:cs="Arial" w:eastAsia="Arial" w:hAnsi="Arial"/>
          <w:sz w:val="16"/>
          <w:szCs w:val="16"/>
          <w:color w:val="auto"/>
        </w:rPr>
        <w:t>All of our sites are certified ISO 14001, with 12 of 13 manufacturing sites certified ISO 50001. We have annual targets to reduce, reuse and recycle waste, and reduce water use and have implemented several renewable energy and efficiency projects to reduce our CO2 emissions.</w:t>
      </w:r>
    </w:p>
    <w:p>
      <w:pPr>
        <w:spacing w:after="0" w:line="60" w:lineRule="exact"/>
        <w:rPr>
          <w:rFonts w:ascii="Arial" w:cs="Arial" w:eastAsia="Arial" w:hAnsi="Arial"/>
          <w:sz w:val="13"/>
          <w:szCs w:val="13"/>
          <w:color w:val="auto"/>
        </w:rPr>
      </w:pPr>
    </w:p>
    <w:p>
      <w:pPr>
        <w:ind w:left="980" w:hanging="324"/>
        <w:spacing w:after="0"/>
        <w:tabs>
          <w:tab w:leader="none" w:pos="980" w:val="left"/>
        </w:tabs>
        <w:numPr>
          <w:ilvl w:val="1"/>
          <w:numId w:val="23"/>
        </w:numPr>
        <w:rPr>
          <w:rFonts w:ascii="Arial" w:cs="Arial" w:eastAsia="Arial" w:hAnsi="Arial"/>
          <w:sz w:val="13"/>
          <w:szCs w:val="13"/>
          <w:color w:val="auto"/>
        </w:rPr>
      </w:pPr>
      <w:r>
        <w:rPr>
          <w:rFonts w:ascii="Arial" w:cs="Arial" w:eastAsia="Arial" w:hAnsi="Arial"/>
          <w:sz w:val="16"/>
          <w:szCs w:val="16"/>
          <w:color w:val="auto"/>
        </w:rPr>
        <w:t>Garrett submitted its first CDP Climate Change report in 2019.</w:t>
      </w:r>
    </w:p>
    <w:p>
      <w:pPr>
        <w:spacing w:after="0" w:line="86" w:lineRule="exact"/>
        <w:rPr>
          <w:rFonts w:ascii="Arial" w:cs="Arial" w:eastAsia="Arial" w:hAnsi="Arial"/>
          <w:sz w:val="13"/>
          <w:szCs w:val="13"/>
          <w:color w:val="auto"/>
        </w:rPr>
      </w:pPr>
    </w:p>
    <w:p>
      <w:pPr>
        <w:ind w:left="340" w:hanging="224"/>
        <w:spacing w:after="0"/>
        <w:tabs>
          <w:tab w:leader="none" w:pos="340" w:val="left"/>
        </w:tabs>
        <w:numPr>
          <w:ilvl w:val="0"/>
          <w:numId w:val="23"/>
        </w:numPr>
        <w:rPr>
          <w:rFonts w:ascii="Arial" w:cs="Arial" w:eastAsia="Arial" w:hAnsi="Arial"/>
          <w:sz w:val="16"/>
          <w:szCs w:val="16"/>
          <w:color w:val="E52823"/>
        </w:rPr>
      </w:pPr>
      <w:r>
        <w:rPr>
          <w:rFonts w:ascii="Arial" w:cs="Arial" w:eastAsia="Arial" w:hAnsi="Arial"/>
          <w:sz w:val="16"/>
          <w:szCs w:val="16"/>
          <w:color w:val="auto"/>
        </w:rPr>
        <w:t>Behaving ethically</w:t>
      </w:r>
    </w:p>
    <w:p>
      <w:pPr>
        <w:spacing w:after="0" w:line="86" w:lineRule="exact"/>
        <w:rPr>
          <w:rFonts w:ascii="Arial" w:cs="Arial" w:eastAsia="Arial" w:hAnsi="Arial"/>
          <w:sz w:val="16"/>
          <w:szCs w:val="16"/>
          <w:color w:val="E52823"/>
        </w:rPr>
      </w:pPr>
    </w:p>
    <w:p>
      <w:pPr>
        <w:ind w:left="980" w:right="340" w:hanging="324"/>
        <w:spacing w:after="0" w:line="253" w:lineRule="auto"/>
        <w:tabs>
          <w:tab w:leader="none" w:pos="980" w:val="left"/>
        </w:tabs>
        <w:numPr>
          <w:ilvl w:val="1"/>
          <w:numId w:val="23"/>
        </w:numPr>
        <w:rPr>
          <w:rFonts w:ascii="Arial" w:cs="Arial" w:eastAsia="Arial" w:hAnsi="Arial"/>
          <w:sz w:val="13"/>
          <w:szCs w:val="13"/>
          <w:color w:val="auto"/>
        </w:rPr>
      </w:pPr>
      <w:r>
        <w:rPr>
          <w:rFonts w:ascii="Arial" w:cs="Arial" w:eastAsia="Arial" w:hAnsi="Arial"/>
          <w:sz w:val="16"/>
          <w:szCs w:val="16"/>
          <w:color w:val="auto"/>
        </w:rPr>
        <w:t>Garrett ensures compliance and integrity both internally and externally through the adoption of best-in-class, robust practices, codes of conduct and policies which bind the directors, officers and employees of Garrett and its subsidiaries as well as our suppliers, vendors and other providers. These are available on our website and/or have been filed by Garrett with the SEC.</w:t>
      </w:r>
    </w:p>
    <w:p>
      <w:pPr>
        <w:spacing w:after="0" w:line="66" w:lineRule="exact"/>
        <w:rPr>
          <w:rFonts w:ascii="Arial" w:cs="Arial" w:eastAsia="Arial" w:hAnsi="Arial"/>
          <w:sz w:val="13"/>
          <w:szCs w:val="13"/>
          <w:color w:val="auto"/>
        </w:rPr>
      </w:pPr>
    </w:p>
    <w:p>
      <w:pPr>
        <w:ind w:left="980" w:right="740" w:hanging="324"/>
        <w:spacing w:after="0" w:line="260" w:lineRule="auto"/>
        <w:tabs>
          <w:tab w:leader="none" w:pos="980" w:val="left"/>
        </w:tabs>
        <w:numPr>
          <w:ilvl w:val="1"/>
          <w:numId w:val="23"/>
        </w:numPr>
        <w:rPr>
          <w:rFonts w:ascii="Arial" w:cs="Arial" w:eastAsia="Arial" w:hAnsi="Arial"/>
          <w:sz w:val="13"/>
          <w:szCs w:val="13"/>
          <w:color w:val="auto"/>
        </w:rPr>
      </w:pPr>
      <w:r>
        <w:rPr>
          <w:rFonts w:ascii="Arial" w:cs="Arial" w:eastAsia="Arial" w:hAnsi="Arial"/>
          <w:sz w:val="16"/>
          <w:szCs w:val="16"/>
          <w:color w:val="auto"/>
        </w:rPr>
        <w:t>The Garrett Code of Business Conduct covers topics such as child and forced labor, external stakeholder human rights and working conditions.</w:t>
      </w:r>
    </w:p>
    <w:p>
      <w:pPr>
        <w:spacing w:after="0" w:line="60" w:lineRule="exact"/>
        <w:rPr>
          <w:rFonts w:ascii="Arial" w:cs="Arial" w:eastAsia="Arial" w:hAnsi="Arial"/>
          <w:sz w:val="13"/>
          <w:szCs w:val="13"/>
          <w:color w:val="auto"/>
        </w:rPr>
      </w:pPr>
    </w:p>
    <w:p>
      <w:pPr>
        <w:ind w:left="980" w:right="120" w:hanging="324"/>
        <w:spacing w:after="0" w:line="253" w:lineRule="auto"/>
        <w:tabs>
          <w:tab w:leader="none" w:pos="980" w:val="left"/>
        </w:tabs>
        <w:numPr>
          <w:ilvl w:val="1"/>
          <w:numId w:val="23"/>
        </w:numPr>
        <w:rPr>
          <w:rFonts w:ascii="Arial" w:cs="Arial" w:eastAsia="Arial" w:hAnsi="Arial"/>
          <w:sz w:val="13"/>
          <w:szCs w:val="13"/>
          <w:color w:val="auto"/>
        </w:rPr>
      </w:pPr>
      <w:r>
        <w:rPr>
          <w:rFonts w:ascii="Arial" w:cs="Arial" w:eastAsia="Arial" w:hAnsi="Arial"/>
          <w:sz w:val="16"/>
          <w:szCs w:val="16"/>
          <w:color w:val="auto"/>
        </w:rPr>
        <w:t>Garrett has adopted the Supplier Code of Conduct that provides clear expectations for suppliers to ensure they treat their employees with dignity and respect. Garrett is committed to the responsible sourcing of tantalum, tin, tungsten and gold (“3TG”) throughout our global supply chain and to compliance with the Conflict Mineral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Prohibition of Hedging or Pledging the Company’s Securities</w:t>
      </w:r>
    </w:p>
    <w:p>
      <w:pPr>
        <w:spacing w:after="0" w:line="213"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We believe it is improper and inappropriate for any person associated with Garrett to engage in short-term or speculative transactions involving the Company’s securities. Directors, officers and employees of the Company are therefore prohibited from engaging in short sales, and from pledging and buying or selling puts, calls, options or other derivative securities of the Company.</w:t>
      </w:r>
    </w:p>
    <w:p>
      <w:pPr>
        <w:spacing w:after="0" w:line="161"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Our securities trading policy also prohibits directors and executive officers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equity securities whether they are granted to such director or executive officer by the Company as part of such person’s compensation or otherwise held, directly or indirectly, by such director or executive officer.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Communications with Directors</w:t>
      </w:r>
    </w:p>
    <w:p>
      <w:pPr>
        <w:spacing w:after="0" w:line="200"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auto"/>
        </w:rPr>
        <w:t>Stockholders and other interested parties who wish to send communications to the non-management directors as a group, any individual director or the full Board should address such communications to Jérôme Maironi, Secretary, Garrett Motion Inc., La Pièce 16, Rolle, Switzerland 1180. All communications, except for marketing and advertising materials, will be forwarded to the appropriate individual(s).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Executive Officers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names, ages and positions of our current executive officers:</w:t>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E52823"/>
              </w:rPr>
              <w:t>Name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E52823"/>
              </w:rPr>
              <w:t>Age</w:t>
            </w:r>
          </w:p>
        </w:tc>
        <w:tc>
          <w:tcPr>
            <w:tcW w:w="7800" w:type="dxa"/>
            <w:vAlign w:val="bottom"/>
            <w:tcBorders>
              <w:bottom w:val="single" w:sz="8" w:color="auto"/>
            </w:tcBorders>
          </w:tcPr>
          <w:p>
            <w:pPr>
              <w:ind w:left="3740"/>
              <w:spacing w:after="0"/>
              <w:rPr>
                <w:sz w:val="20"/>
                <w:szCs w:val="20"/>
                <w:color w:val="auto"/>
              </w:rPr>
            </w:pPr>
            <w:r>
              <w:rPr>
                <w:rFonts w:ascii="Arial" w:cs="Arial" w:eastAsia="Arial" w:hAnsi="Arial"/>
                <w:sz w:val="14"/>
                <w:szCs w:val="14"/>
                <w:color w:val="E52823"/>
              </w:rPr>
              <w:t>Position</w:t>
            </w:r>
          </w:p>
        </w:tc>
      </w:tr>
      <w:tr>
        <w:trPr>
          <w:trHeight w:val="203"/>
        </w:trPr>
        <w:tc>
          <w:tcPr>
            <w:tcW w:w="2520" w:type="dxa"/>
            <w:vAlign w:val="bottom"/>
            <w:shd w:val="clear" w:color="auto" w:fill="EDEDED"/>
          </w:tcPr>
          <w:p>
            <w:pPr>
              <w:ind w:left="60"/>
              <w:spacing w:after="0"/>
              <w:rPr>
                <w:sz w:val="20"/>
                <w:szCs w:val="20"/>
                <w:color w:val="auto"/>
              </w:rPr>
            </w:pPr>
            <w:r>
              <w:rPr>
                <w:rFonts w:ascii="Arial" w:cs="Arial" w:eastAsia="Arial" w:hAnsi="Arial"/>
                <w:sz w:val="16"/>
                <w:szCs w:val="16"/>
                <w:color w:val="auto"/>
              </w:rPr>
              <w:t>Olivier Rabiller*</w:t>
            </w:r>
          </w:p>
        </w:tc>
        <w:tc>
          <w:tcPr>
            <w:tcW w:w="7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49</w:t>
            </w:r>
          </w:p>
        </w:tc>
        <w:tc>
          <w:tcPr>
            <w:tcW w:w="7800" w:type="dxa"/>
            <w:vAlign w:val="bottom"/>
            <w:shd w:val="clear" w:color="auto" w:fill="EDEDED"/>
          </w:tcPr>
          <w:p>
            <w:pPr>
              <w:ind w:left="200"/>
              <w:spacing w:after="0"/>
              <w:rPr>
                <w:sz w:val="20"/>
                <w:szCs w:val="20"/>
                <w:color w:val="auto"/>
              </w:rPr>
            </w:pPr>
            <w:r>
              <w:rPr>
                <w:rFonts w:ascii="Arial" w:cs="Arial" w:eastAsia="Arial" w:hAnsi="Arial"/>
                <w:sz w:val="16"/>
                <w:szCs w:val="16"/>
                <w:color w:val="auto"/>
              </w:rPr>
              <w:t>President and Chief Executive Officer</w:t>
            </w:r>
          </w:p>
        </w:tc>
      </w:tr>
      <w:tr>
        <w:trPr>
          <w:trHeight w:val="216"/>
        </w:trPr>
        <w:tc>
          <w:tcPr>
            <w:tcW w:w="2520" w:type="dxa"/>
            <w:vAlign w:val="bottom"/>
          </w:tcPr>
          <w:p>
            <w:pPr>
              <w:ind w:left="60"/>
              <w:spacing w:after="0"/>
              <w:rPr>
                <w:sz w:val="20"/>
                <w:szCs w:val="20"/>
                <w:color w:val="auto"/>
              </w:rPr>
            </w:pPr>
            <w:r>
              <w:rPr>
                <w:rFonts w:ascii="Arial" w:cs="Arial" w:eastAsia="Arial" w:hAnsi="Arial"/>
                <w:sz w:val="16"/>
                <w:szCs w:val="16"/>
                <w:color w:val="auto"/>
              </w:rPr>
              <w:t>Craig Balis</w:t>
            </w:r>
          </w:p>
        </w:tc>
        <w:tc>
          <w:tcPr>
            <w:tcW w:w="700" w:type="dxa"/>
            <w:vAlign w:val="bottom"/>
          </w:tcPr>
          <w:p>
            <w:pPr>
              <w:jc w:val="center"/>
              <w:spacing w:after="0"/>
              <w:rPr>
                <w:sz w:val="20"/>
                <w:szCs w:val="20"/>
                <w:color w:val="auto"/>
              </w:rPr>
            </w:pPr>
            <w:r>
              <w:rPr>
                <w:rFonts w:ascii="Arial" w:cs="Arial" w:eastAsia="Arial" w:hAnsi="Arial"/>
                <w:sz w:val="16"/>
                <w:szCs w:val="16"/>
                <w:color w:val="auto"/>
              </w:rPr>
              <w:t>55</w:t>
            </w:r>
          </w:p>
        </w:tc>
        <w:tc>
          <w:tcPr>
            <w:tcW w:w="7800" w:type="dxa"/>
            <w:vAlign w:val="bottom"/>
          </w:tcPr>
          <w:p>
            <w:pPr>
              <w:ind w:left="200"/>
              <w:spacing w:after="0"/>
              <w:rPr>
                <w:sz w:val="20"/>
                <w:szCs w:val="20"/>
                <w:color w:val="auto"/>
              </w:rPr>
            </w:pPr>
            <w:r>
              <w:rPr>
                <w:rFonts w:ascii="Arial" w:cs="Arial" w:eastAsia="Arial" w:hAnsi="Arial"/>
                <w:sz w:val="16"/>
                <w:szCs w:val="16"/>
                <w:color w:val="auto"/>
              </w:rPr>
              <w:t>Senior Vice President and Chief Technology Officer</w:t>
            </w:r>
          </w:p>
        </w:tc>
      </w:tr>
      <w:tr>
        <w:trPr>
          <w:trHeight w:val="216"/>
        </w:trPr>
        <w:tc>
          <w:tcPr>
            <w:tcW w:w="2520" w:type="dxa"/>
            <w:vAlign w:val="bottom"/>
            <w:shd w:val="clear" w:color="auto" w:fill="EDEDED"/>
          </w:tcPr>
          <w:p>
            <w:pPr>
              <w:ind w:left="60"/>
              <w:spacing w:after="0"/>
              <w:rPr>
                <w:sz w:val="20"/>
                <w:szCs w:val="20"/>
                <w:color w:val="auto"/>
              </w:rPr>
            </w:pPr>
            <w:r>
              <w:rPr>
                <w:rFonts w:ascii="Arial" w:cs="Arial" w:eastAsia="Arial" w:hAnsi="Arial"/>
                <w:sz w:val="16"/>
                <w:szCs w:val="16"/>
                <w:color w:val="auto"/>
              </w:rPr>
              <w:t>Peter Bracke</w:t>
            </w:r>
          </w:p>
        </w:tc>
        <w:tc>
          <w:tcPr>
            <w:tcW w:w="7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53</w:t>
            </w:r>
          </w:p>
        </w:tc>
        <w:tc>
          <w:tcPr>
            <w:tcW w:w="7800" w:type="dxa"/>
            <w:vAlign w:val="bottom"/>
            <w:shd w:val="clear" w:color="auto" w:fill="EDEDED"/>
          </w:tcPr>
          <w:p>
            <w:pPr>
              <w:ind w:left="200"/>
              <w:spacing w:after="0"/>
              <w:rPr>
                <w:sz w:val="20"/>
                <w:szCs w:val="20"/>
                <w:color w:val="auto"/>
              </w:rPr>
            </w:pPr>
            <w:r>
              <w:rPr>
                <w:rFonts w:ascii="Arial" w:cs="Arial" w:eastAsia="Arial" w:hAnsi="Arial"/>
                <w:sz w:val="16"/>
                <w:szCs w:val="16"/>
                <w:color w:val="auto"/>
              </w:rPr>
              <w:t>Vice President and Interim Chief Financial Officer</w:t>
            </w:r>
          </w:p>
        </w:tc>
      </w:tr>
      <w:tr>
        <w:trPr>
          <w:trHeight w:val="216"/>
        </w:trPr>
        <w:tc>
          <w:tcPr>
            <w:tcW w:w="2520" w:type="dxa"/>
            <w:vAlign w:val="bottom"/>
          </w:tcPr>
          <w:p>
            <w:pPr>
              <w:ind w:left="60"/>
              <w:spacing w:after="0"/>
              <w:rPr>
                <w:sz w:val="20"/>
                <w:szCs w:val="20"/>
                <w:color w:val="auto"/>
              </w:rPr>
            </w:pPr>
            <w:r>
              <w:rPr>
                <w:rFonts w:ascii="Arial" w:cs="Arial" w:eastAsia="Arial" w:hAnsi="Arial"/>
                <w:sz w:val="16"/>
                <w:szCs w:val="16"/>
                <w:color w:val="auto"/>
              </w:rPr>
              <w:t>Daniel Deiro</w:t>
            </w:r>
          </w:p>
        </w:tc>
        <w:tc>
          <w:tcPr>
            <w:tcW w:w="700" w:type="dxa"/>
            <w:vAlign w:val="bottom"/>
          </w:tcPr>
          <w:p>
            <w:pPr>
              <w:jc w:val="center"/>
              <w:spacing w:after="0"/>
              <w:rPr>
                <w:sz w:val="20"/>
                <w:szCs w:val="20"/>
                <w:color w:val="auto"/>
              </w:rPr>
            </w:pPr>
            <w:r>
              <w:rPr>
                <w:rFonts w:ascii="Arial" w:cs="Arial" w:eastAsia="Arial" w:hAnsi="Arial"/>
                <w:sz w:val="16"/>
                <w:szCs w:val="16"/>
                <w:color w:val="auto"/>
              </w:rPr>
              <w:t>47</w:t>
            </w:r>
          </w:p>
        </w:tc>
        <w:tc>
          <w:tcPr>
            <w:tcW w:w="7800" w:type="dxa"/>
            <w:vAlign w:val="bottom"/>
          </w:tcPr>
          <w:p>
            <w:pPr>
              <w:ind w:left="200"/>
              <w:spacing w:after="0"/>
              <w:rPr>
                <w:sz w:val="20"/>
                <w:szCs w:val="20"/>
                <w:color w:val="auto"/>
              </w:rPr>
            </w:pPr>
            <w:r>
              <w:rPr>
                <w:rFonts w:ascii="Arial" w:cs="Arial" w:eastAsia="Arial" w:hAnsi="Arial"/>
                <w:sz w:val="16"/>
                <w:szCs w:val="16"/>
                <w:color w:val="auto"/>
              </w:rPr>
              <w:t>Senior Vice President, Global Customer Management and General Manager Japan/Korea</w:t>
            </w:r>
          </w:p>
        </w:tc>
      </w:tr>
      <w:tr>
        <w:trPr>
          <w:trHeight w:val="216"/>
        </w:trPr>
        <w:tc>
          <w:tcPr>
            <w:tcW w:w="2520" w:type="dxa"/>
            <w:vAlign w:val="bottom"/>
            <w:shd w:val="clear" w:color="auto" w:fill="EDEDED"/>
          </w:tcPr>
          <w:p>
            <w:pPr>
              <w:ind w:left="60"/>
              <w:spacing w:after="0"/>
              <w:rPr>
                <w:sz w:val="20"/>
                <w:szCs w:val="20"/>
                <w:color w:val="auto"/>
              </w:rPr>
            </w:pPr>
            <w:r>
              <w:rPr>
                <w:rFonts w:ascii="Arial" w:cs="Arial" w:eastAsia="Arial" w:hAnsi="Arial"/>
                <w:sz w:val="16"/>
                <w:szCs w:val="16"/>
                <w:color w:val="auto"/>
              </w:rPr>
              <w:t>Thierry Mabru</w:t>
            </w:r>
          </w:p>
        </w:tc>
        <w:tc>
          <w:tcPr>
            <w:tcW w:w="7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52</w:t>
            </w:r>
          </w:p>
        </w:tc>
        <w:tc>
          <w:tcPr>
            <w:tcW w:w="7800" w:type="dxa"/>
            <w:vAlign w:val="bottom"/>
            <w:shd w:val="clear" w:color="auto" w:fill="EDEDED"/>
          </w:tcPr>
          <w:p>
            <w:pPr>
              <w:ind w:left="200"/>
              <w:spacing w:after="0"/>
              <w:rPr>
                <w:sz w:val="20"/>
                <w:szCs w:val="20"/>
                <w:color w:val="auto"/>
              </w:rPr>
            </w:pPr>
            <w:r>
              <w:rPr>
                <w:rFonts w:ascii="Arial" w:cs="Arial" w:eastAsia="Arial" w:hAnsi="Arial"/>
                <w:sz w:val="16"/>
                <w:szCs w:val="16"/>
                <w:color w:val="auto"/>
              </w:rPr>
              <w:t>Senior Vice President, Integrated Supply Chain</w:t>
            </w:r>
          </w:p>
        </w:tc>
      </w:tr>
      <w:tr>
        <w:trPr>
          <w:trHeight w:val="216"/>
        </w:trPr>
        <w:tc>
          <w:tcPr>
            <w:tcW w:w="2520" w:type="dxa"/>
            <w:vAlign w:val="bottom"/>
          </w:tcPr>
          <w:p>
            <w:pPr>
              <w:ind w:left="60"/>
              <w:spacing w:after="0"/>
              <w:rPr>
                <w:sz w:val="20"/>
                <w:szCs w:val="20"/>
                <w:color w:val="auto"/>
              </w:rPr>
            </w:pPr>
            <w:r>
              <w:rPr>
                <w:rFonts w:ascii="Arial" w:cs="Arial" w:eastAsia="Arial" w:hAnsi="Arial"/>
                <w:sz w:val="16"/>
                <w:szCs w:val="16"/>
                <w:color w:val="auto"/>
              </w:rPr>
              <w:t>Jérôme Maironi</w:t>
            </w:r>
          </w:p>
        </w:tc>
        <w:tc>
          <w:tcPr>
            <w:tcW w:w="700" w:type="dxa"/>
            <w:vAlign w:val="bottom"/>
          </w:tcPr>
          <w:p>
            <w:pPr>
              <w:jc w:val="center"/>
              <w:spacing w:after="0"/>
              <w:rPr>
                <w:sz w:val="20"/>
                <w:szCs w:val="20"/>
                <w:color w:val="auto"/>
              </w:rPr>
            </w:pPr>
            <w:r>
              <w:rPr>
                <w:rFonts w:ascii="Arial" w:cs="Arial" w:eastAsia="Arial" w:hAnsi="Arial"/>
                <w:sz w:val="16"/>
                <w:szCs w:val="16"/>
                <w:color w:val="auto"/>
              </w:rPr>
              <w:t>54</w:t>
            </w:r>
          </w:p>
        </w:tc>
        <w:tc>
          <w:tcPr>
            <w:tcW w:w="7800" w:type="dxa"/>
            <w:vAlign w:val="bottom"/>
          </w:tcPr>
          <w:p>
            <w:pPr>
              <w:ind w:left="200"/>
              <w:spacing w:after="0"/>
              <w:rPr>
                <w:sz w:val="20"/>
                <w:szCs w:val="20"/>
                <w:color w:val="auto"/>
              </w:rPr>
            </w:pPr>
            <w:r>
              <w:rPr>
                <w:rFonts w:ascii="Arial" w:cs="Arial" w:eastAsia="Arial" w:hAnsi="Arial"/>
                <w:sz w:val="16"/>
                <w:szCs w:val="16"/>
                <w:color w:val="auto"/>
              </w:rPr>
              <w:t>Senior Vice President, General Counsel and Corporate Secretary</w:t>
            </w:r>
          </w:p>
        </w:tc>
      </w:tr>
      <w:tr>
        <w:trPr>
          <w:trHeight w:val="216"/>
        </w:trPr>
        <w:tc>
          <w:tcPr>
            <w:tcW w:w="2520" w:type="dxa"/>
            <w:vAlign w:val="bottom"/>
            <w:tcBorders>
              <w:bottom w:val="single" w:sz="8" w:color="E52823"/>
            </w:tcBorders>
            <w:shd w:val="clear" w:color="auto" w:fill="EDEDED"/>
          </w:tcPr>
          <w:p>
            <w:pPr>
              <w:ind w:left="60"/>
              <w:spacing w:after="0"/>
              <w:rPr>
                <w:sz w:val="20"/>
                <w:szCs w:val="20"/>
                <w:color w:val="auto"/>
              </w:rPr>
            </w:pPr>
            <w:r>
              <w:rPr>
                <w:rFonts w:ascii="Arial" w:cs="Arial" w:eastAsia="Arial" w:hAnsi="Arial"/>
                <w:sz w:val="16"/>
                <w:szCs w:val="16"/>
                <w:color w:val="auto"/>
              </w:rPr>
              <w:t>Fabrice Spenninck</w:t>
            </w:r>
          </w:p>
        </w:tc>
        <w:tc>
          <w:tcPr>
            <w:tcW w:w="700" w:type="dxa"/>
            <w:vAlign w:val="bottom"/>
            <w:tcBorders>
              <w:bottom w:val="single" w:sz="8" w:color="E52823"/>
            </w:tcBorders>
            <w:shd w:val="clear" w:color="auto" w:fill="EDEDED"/>
          </w:tcPr>
          <w:p>
            <w:pPr>
              <w:jc w:val="center"/>
              <w:spacing w:after="0"/>
              <w:rPr>
                <w:sz w:val="20"/>
                <w:szCs w:val="20"/>
                <w:color w:val="auto"/>
              </w:rPr>
            </w:pPr>
            <w:r>
              <w:rPr>
                <w:rFonts w:ascii="Arial" w:cs="Arial" w:eastAsia="Arial" w:hAnsi="Arial"/>
                <w:sz w:val="16"/>
                <w:szCs w:val="16"/>
                <w:color w:val="auto"/>
              </w:rPr>
              <w:t>51</w:t>
            </w:r>
          </w:p>
        </w:tc>
        <w:tc>
          <w:tcPr>
            <w:tcW w:w="7800" w:type="dxa"/>
            <w:vAlign w:val="bottom"/>
            <w:tcBorders>
              <w:bottom w:val="single" w:sz="8" w:color="E52823"/>
            </w:tcBorders>
            <w:shd w:val="clear" w:color="auto" w:fill="EDEDED"/>
          </w:tcPr>
          <w:p>
            <w:pPr>
              <w:ind w:left="200"/>
              <w:spacing w:after="0"/>
              <w:rPr>
                <w:sz w:val="20"/>
                <w:szCs w:val="20"/>
                <w:color w:val="auto"/>
              </w:rPr>
            </w:pPr>
            <w:r>
              <w:rPr>
                <w:rFonts w:ascii="Arial" w:cs="Arial" w:eastAsia="Arial" w:hAnsi="Arial"/>
                <w:sz w:val="16"/>
                <w:szCs w:val="16"/>
                <w:color w:val="auto"/>
              </w:rPr>
              <w:t>Senior Vice President and Chief Human Resources Officer</w:t>
            </w:r>
          </w:p>
        </w:tc>
      </w:tr>
    </w:tbl>
    <w:p>
      <w:pPr>
        <w:spacing w:after="0" w:line="75"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Mr. Rabiller is a member of our Board. See “Proposal One—Election of Directors” for more information about Mr.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line="258" w:lineRule="auto"/>
        <w:rPr>
          <w:sz w:val="20"/>
          <w:szCs w:val="20"/>
          <w:color w:val="auto"/>
        </w:rPr>
      </w:pPr>
      <w:r>
        <w:rPr>
          <w:rFonts w:ascii="Arial" w:cs="Arial" w:eastAsia="Arial" w:hAnsi="Arial"/>
          <w:sz w:val="16"/>
          <w:szCs w:val="16"/>
          <w:i w:val="1"/>
          <w:iCs w:val="1"/>
          <w:color w:val="auto"/>
        </w:rPr>
        <w:t xml:space="preserve">Craig Balis </w:t>
      </w:r>
      <w:r>
        <w:rPr>
          <w:rFonts w:ascii="Arial" w:cs="Arial" w:eastAsia="Arial" w:hAnsi="Arial"/>
          <w:sz w:val="16"/>
          <w:szCs w:val="16"/>
          <w:color w:val="auto"/>
        </w:rPr>
        <w:t>has served as our Senior Vice President and Chief Technology Officer since the Spin-Off. From June 2014 until the Spin-Off, Mr. Balis was the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and Chief Technology Officer of Honeywell Transportation Systems. From December 2008 to June 2014, Mr. Balis was the Vice President of Engineering of Honeywell Transportation Systems. Mr. Balis has a Bachelor of Science and Master’s degree in Engineering from the University of Illinois.</w:t>
      </w:r>
    </w:p>
    <w:p>
      <w:pPr>
        <w:spacing w:after="0" w:line="154"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i w:val="1"/>
          <w:iCs w:val="1"/>
          <w:color w:val="auto"/>
        </w:rPr>
        <w:t xml:space="preserve">Peter Bracke </w:t>
      </w:r>
      <w:r>
        <w:rPr>
          <w:rFonts w:ascii="Arial" w:cs="Arial" w:eastAsia="Arial" w:hAnsi="Arial"/>
          <w:sz w:val="16"/>
          <w:szCs w:val="16"/>
          <w:color w:val="auto"/>
        </w:rPr>
        <w:t>has served as Vice President and Interim Chief Financial Officer since September 2019. Previously, Mr. Bracke was Vice President, FP&amp;A</w:t>
      </w:r>
      <w:r>
        <w:rPr>
          <w:rFonts w:ascii="Arial" w:cs="Arial" w:eastAsia="Arial" w:hAnsi="Arial"/>
          <w:sz w:val="16"/>
          <w:szCs w:val="16"/>
          <w:i w:val="1"/>
          <w:iCs w:val="1"/>
          <w:color w:val="auto"/>
        </w:rPr>
        <w:t xml:space="preserve"> </w:t>
      </w:r>
      <w:r>
        <w:rPr>
          <w:rFonts w:ascii="Arial" w:cs="Arial" w:eastAsia="Arial" w:hAnsi="Arial"/>
          <w:sz w:val="16"/>
          <w:szCs w:val="16"/>
          <w:color w:val="auto"/>
        </w:rPr>
        <w:t>and Business Finance for Garrett where he was responsible for the financial planning and control of operational and commercial activities from the Spin-Off to September 2019. Prior to this, Mr. Bracke held various senior-level roles within multiple divisions at Honeywell. During his more than 20-year tenure at Honeywell, Mr. Bracke was Chief Financial Officer for Honeywell Homes &amp; Buildings Technologies and Chief Financial Officer for Honeywell Transportation Systems, which was renamed Garrett following the Spin Off. Prior to joining Honeywell, Mr. Bracke was an auditor at KPMG. He received his undergraduate degree in Business Administration and his Master’s degree in Accountancy from the University of Ghent in Belgium.</w:t>
      </w:r>
    </w:p>
    <w:p>
      <w:pPr>
        <w:spacing w:after="0" w:line="146" w:lineRule="exact"/>
        <w:rPr>
          <w:sz w:val="20"/>
          <w:szCs w:val="20"/>
          <w:color w:val="auto"/>
        </w:rPr>
      </w:pPr>
    </w:p>
    <w:p>
      <w:pPr>
        <w:ind w:left="120" w:right="100"/>
        <w:spacing w:after="0" w:line="258" w:lineRule="auto"/>
        <w:rPr>
          <w:sz w:val="20"/>
          <w:szCs w:val="20"/>
          <w:color w:val="auto"/>
        </w:rPr>
      </w:pPr>
      <w:r>
        <w:rPr>
          <w:rFonts w:ascii="Arial" w:cs="Arial" w:eastAsia="Arial" w:hAnsi="Arial"/>
          <w:sz w:val="16"/>
          <w:szCs w:val="16"/>
          <w:i w:val="1"/>
          <w:iCs w:val="1"/>
          <w:color w:val="auto"/>
        </w:rPr>
        <w:t xml:space="preserve">Daniel Deiro </w:t>
      </w:r>
      <w:r>
        <w:rPr>
          <w:rFonts w:ascii="Arial" w:cs="Arial" w:eastAsia="Arial" w:hAnsi="Arial"/>
          <w:sz w:val="16"/>
          <w:szCs w:val="16"/>
          <w:color w:val="auto"/>
        </w:rPr>
        <w:t>has served as our Senior Vice President, Global Customer Management, and General Manager Japan/Korea since the Spin-Off.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2014 until the Spin-Off, Mr. Deiro was the Vice President of Customer Management and General Manager for Honeywell Transportation Systems for Japan and Korea. From April 2012 until August 2014, Mr. Deiro was a Senior Customer Management Director at Honeywell Transportation Systems. Mr. Deiro has a degree in Automotive Engineering from Haute école spécialisée bernoise, Technique et Informatique (BFH-TI), Biel, Switzerland.</w:t>
      </w:r>
    </w:p>
    <w:p>
      <w:pPr>
        <w:spacing w:after="0" w:line="140"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6"/>
          <w:szCs w:val="16"/>
          <w:i w:val="1"/>
          <w:iCs w:val="1"/>
          <w:color w:val="auto"/>
        </w:rPr>
        <w:t xml:space="preserve">Thierry Mabru </w:t>
      </w:r>
      <w:r>
        <w:rPr>
          <w:rFonts w:ascii="Arial" w:cs="Arial" w:eastAsia="Arial" w:hAnsi="Arial"/>
          <w:sz w:val="16"/>
          <w:szCs w:val="16"/>
          <w:color w:val="auto"/>
        </w:rPr>
        <w:t>has served as our Senior Vice President, Integrated Supply Chain since the Spin-Off. From March 2013 until the Spin-Off, Mr. Mabru was</w:t>
      </w:r>
      <w:r>
        <w:rPr>
          <w:rFonts w:ascii="Arial" w:cs="Arial" w:eastAsia="Arial" w:hAnsi="Arial"/>
          <w:sz w:val="16"/>
          <w:szCs w:val="16"/>
          <w:i w:val="1"/>
          <w:iCs w:val="1"/>
          <w:color w:val="auto"/>
        </w:rPr>
        <w:t xml:space="preserve"> </w:t>
      </w:r>
      <w:r>
        <w:rPr>
          <w:rFonts w:ascii="Arial" w:cs="Arial" w:eastAsia="Arial" w:hAnsi="Arial"/>
          <w:sz w:val="16"/>
          <w:szCs w:val="16"/>
          <w:color w:val="auto"/>
        </w:rPr>
        <w:t>the Vice President of Global Integrated Supply Chain for Honeywell Transportation Systems. From April 2011 until February 2013, Mr. Mabru was Senior Director of Global Advanced Manufacturing Engineering for Honeywell Transportation Systems. From September 2006 to February 2011, Mr. Mabru was Director of the Program Management Office of Honeywell Aerospace EMEAI. Mr. Mabru currently serves as director of both the Board of Friction Material Pacific (FMP) Group Australia PTY Limited and Board of Friction Material Pacific (FMP) Group PTY Limited. Mr. Mabru holds a Master of Science degree from the École Nationale de Mé canique et d’Aé rotechniques (ISAE/ENSMA), Poitier, France.</w:t>
      </w:r>
    </w:p>
    <w:p>
      <w:pPr>
        <w:spacing w:after="0" w:line="159"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i w:val="1"/>
          <w:iCs w:val="1"/>
          <w:color w:val="auto"/>
        </w:rPr>
        <w:t xml:space="preserve">Jérôme Maironi </w:t>
      </w:r>
      <w:r>
        <w:rPr>
          <w:rFonts w:ascii="Arial" w:cs="Arial" w:eastAsia="Arial" w:hAnsi="Arial"/>
          <w:sz w:val="16"/>
          <w:szCs w:val="16"/>
          <w:color w:val="auto"/>
        </w:rPr>
        <w:t>has served as our Senior Vice President, General Counsel and Corporate Secretary since the Spin-Off. For the five years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Spin-Off, Mr. Maironi was the Vice President of Global Legal Affairs for Honeywell Performance Materials and Technologies. Mr. Maironi received a post-graduate degree in Law &amp; Practice of International Trade and a Master of Law from the University Rene Descartes, Paris, France. Mr. Maironi is a member of the Association Francaise des Juristes d’Entreprise and has also passed the French Bar Exam. Mr. Maironi graduated with an Executive MBA from INSEAD, Fontainebleau, France.</w:t>
      </w:r>
    </w:p>
    <w:p>
      <w:pPr>
        <w:spacing w:after="0" w:line="143" w:lineRule="exact"/>
        <w:rPr>
          <w:sz w:val="20"/>
          <w:szCs w:val="20"/>
          <w:color w:val="auto"/>
        </w:rPr>
      </w:pPr>
    </w:p>
    <w:p>
      <w:pPr>
        <w:jc w:val="both"/>
        <w:ind w:left="120" w:right="40"/>
        <w:spacing w:after="0" w:line="258" w:lineRule="auto"/>
        <w:rPr>
          <w:sz w:val="20"/>
          <w:szCs w:val="20"/>
          <w:color w:val="auto"/>
        </w:rPr>
      </w:pPr>
      <w:r>
        <w:rPr>
          <w:rFonts w:ascii="Arial" w:cs="Arial" w:eastAsia="Arial" w:hAnsi="Arial"/>
          <w:sz w:val="16"/>
          <w:szCs w:val="16"/>
          <w:i w:val="1"/>
          <w:iCs w:val="1"/>
          <w:color w:val="auto"/>
        </w:rPr>
        <w:t xml:space="preserve">Fabrice Spenninck </w:t>
      </w:r>
      <w:r>
        <w:rPr>
          <w:rFonts w:ascii="Arial" w:cs="Arial" w:eastAsia="Arial" w:hAnsi="Arial"/>
          <w:sz w:val="16"/>
          <w:szCs w:val="16"/>
          <w:color w:val="auto"/>
        </w:rPr>
        <w:t>has served as our Senior Vice President and Chief Human Resources Officer since the Spin-Off. From August 2015 until the Spin-Off,</w:t>
      </w:r>
      <w:r>
        <w:rPr>
          <w:rFonts w:ascii="Arial" w:cs="Arial" w:eastAsia="Arial" w:hAnsi="Arial"/>
          <w:sz w:val="16"/>
          <w:szCs w:val="16"/>
          <w:i w:val="1"/>
          <w:iCs w:val="1"/>
          <w:color w:val="auto"/>
        </w:rPr>
        <w:t xml:space="preserve"> </w:t>
      </w:r>
      <w:r>
        <w:rPr>
          <w:rFonts w:ascii="Arial" w:cs="Arial" w:eastAsia="Arial" w:hAnsi="Arial"/>
          <w:sz w:val="16"/>
          <w:szCs w:val="16"/>
          <w:color w:val="auto"/>
        </w:rPr>
        <w:t>Mr. Spenninck was Vice President of Human Resources of Honeywell Transportation Systems. From 2013 to 2015, Mr. Spenninck was Vice President of Labor and Employee Relations and, from 2011 to 2013, he was Senior Director of Human Resources (One Country Leader) in France and North Africa at Honeywell. Mr. Spenninck holds a Master’s degree in Human Resources and Labor Relations from the University of Montpellier,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234950</wp:posOffset>
            </wp:positionV>
            <wp:extent cx="6995160" cy="6254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21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EXECUTIVE COMPENSATION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Our Compensation Discussion and Analysis describes the principles underlying the material components of the executive compensation programs for our Named Executive Officers who are named in the “Summary Compensation Table” below and the factors relevant to an analysis of the compensatory policies and decisions. In 2019, our Named Executive Officers were:</w:t>
      </w:r>
    </w:p>
    <w:p>
      <w:pPr>
        <w:spacing w:after="0" w:line="66"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6"/>
          <w:szCs w:val="16"/>
          <w:color w:val="E52823"/>
        </w:rPr>
      </w:pPr>
      <w:r>
        <w:rPr>
          <w:rFonts w:ascii="Arial" w:cs="Arial" w:eastAsia="Arial" w:hAnsi="Arial"/>
          <w:sz w:val="16"/>
          <w:szCs w:val="16"/>
          <w:color w:val="auto"/>
        </w:rPr>
        <w:t>Olivier Rabiller, President and Chief Executive Officer;</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25"/>
        </w:numPr>
        <w:rPr>
          <w:rFonts w:ascii="Arial" w:cs="Arial" w:eastAsia="Arial" w:hAnsi="Arial"/>
          <w:sz w:val="16"/>
          <w:szCs w:val="16"/>
          <w:color w:val="E52823"/>
        </w:rPr>
      </w:pPr>
      <w:r>
        <w:rPr>
          <w:rFonts w:ascii="Arial" w:cs="Arial" w:eastAsia="Arial" w:hAnsi="Arial"/>
          <w:sz w:val="16"/>
          <w:szCs w:val="16"/>
          <w:color w:val="auto"/>
        </w:rPr>
        <w:t>Peter Bracke, Vice President and Interim Chief Financial Officer;</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25"/>
        </w:numPr>
        <w:rPr>
          <w:rFonts w:ascii="Arial" w:cs="Arial" w:eastAsia="Arial" w:hAnsi="Arial"/>
          <w:sz w:val="16"/>
          <w:szCs w:val="16"/>
          <w:color w:val="E52823"/>
        </w:rPr>
      </w:pPr>
      <w:r>
        <w:rPr>
          <w:rFonts w:ascii="Arial" w:cs="Arial" w:eastAsia="Arial" w:hAnsi="Arial"/>
          <w:sz w:val="16"/>
          <w:szCs w:val="16"/>
          <w:color w:val="auto"/>
        </w:rPr>
        <w:t>Alessandro Gili, former Senior Vice President and Chief Financial Officer;</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25"/>
        </w:numPr>
        <w:rPr>
          <w:rFonts w:ascii="Arial" w:cs="Arial" w:eastAsia="Arial" w:hAnsi="Arial"/>
          <w:sz w:val="16"/>
          <w:szCs w:val="16"/>
          <w:color w:val="E52823"/>
        </w:rPr>
      </w:pPr>
      <w:r>
        <w:rPr>
          <w:rFonts w:ascii="Arial" w:cs="Arial" w:eastAsia="Arial" w:hAnsi="Arial"/>
          <w:sz w:val="16"/>
          <w:szCs w:val="16"/>
          <w:color w:val="auto"/>
        </w:rPr>
        <w:t>Craig Balis, Senior Vice President and Chief Technology Officer;</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25"/>
        </w:numPr>
        <w:rPr>
          <w:rFonts w:ascii="Arial" w:cs="Arial" w:eastAsia="Arial" w:hAnsi="Arial"/>
          <w:sz w:val="16"/>
          <w:szCs w:val="16"/>
          <w:color w:val="E52823"/>
        </w:rPr>
      </w:pPr>
      <w:r>
        <w:rPr>
          <w:rFonts w:ascii="Arial" w:cs="Arial" w:eastAsia="Arial" w:hAnsi="Arial"/>
          <w:sz w:val="16"/>
          <w:szCs w:val="16"/>
          <w:color w:val="auto"/>
        </w:rPr>
        <w:t>Jérôme Maironi, Senior Vice President, General Counsel, and Corporate Secretary; and</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25"/>
        </w:numPr>
        <w:rPr>
          <w:rFonts w:ascii="Arial" w:cs="Arial" w:eastAsia="Arial" w:hAnsi="Arial"/>
          <w:sz w:val="16"/>
          <w:szCs w:val="16"/>
          <w:color w:val="E52823"/>
        </w:rPr>
      </w:pPr>
      <w:r>
        <w:rPr>
          <w:rFonts w:ascii="Arial" w:cs="Arial" w:eastAsia="Arial" w:hAnsi="Arial"/>
          <w:sz w:val="16"/>
          <w:szCs w:val="16"/>
          <w:color w:val="auto"/>
        </w:rPr>
        <w:t>Thierry Mabru, Senior Vice President, Integrated Supply Chain.</w:t>
      </w:r>
    </w:p>
    <w:p>
      <w:pPr>
        <w:spacing w:after="0" w:line="221"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In September 2019, the Company and Mr. Gili entered into a separation agreement pursuant to which he separated from the Company in February 2020. In connection with entering into the separation agreement, Mr. Gili stepped down as our Senior Vice President and Chief Financial Officer in September 2019. On September 5, 2019, Peter Bracke was appointed as our Interim Chief Financial Officer, effective September 6, 2019.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Executive Summary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Financials</w:t>
      </w:r>
    </w:p>
    <w:p>
      <w:pPr>
        <w:spacing w:after="0" w:line="128"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auto"/>
        </w:rPr>
        <w:t>In 2019, Garrett Motion completed its first full year as an independent company. We achieved considerable progress during this time advancing our strategic priorities and reaching a higher level of maturity as a public entity.</w:t>
      </w:r>
    </w:p>
    <w:p>
      <w:pPr>
        <w:spacing w:after="0" w:line="168" w:lineRule="exact"/>
        <w:rPr>
          <w:sz w:val="20"/>
          <w:szCs w:val="20"/>
          <w:color w:val="auto"/>
        </w:rPr>
      </w:pPr>
    </w:p>
    <w:p>
      <w:pPr>
        <w:ind w:left="120" w:right="280"/>
        <w:spacing w:after="0" w:line="258" w:lineRule="auto"/>
        <w:rPr>
          <w:sz w:val="20"/>
          <w:szCs w:val="20"/>
          <w:color w:val="auto"/>
        </w:rPr>
      </w:pPr>
      <w:r>
        <w:rPr>
          <w:rFonts w:ascii="Arial" w:cs="Arial" w:eastAsia="Arial" w:hAnsi="Arial"/>
          <w:sz w:val="16"/>
          <w:szCs w:val="16"/>
          <w:color w:val="auto"/>
        </w:rPr>
        <w:t>We also delivered positive financial results in 2019 against a challenging macroeconomic backdrop. Our net sales for the year totaled $3,248 million, down 3.8% on a reported basis. However, net sales were up 0.2% at constant currency, outperforming global light vehicle auto production by approximately 600 basis points. This significant industry outperformance was achieved while undergoing a transformation in our product portfolio. Additionally, Garrett generated $583 million in Adjusted EBITDA, representing a margin of 17.9%, and Adjusted Free Cash Flow totaled $318 million.</w:t>
      </w:r>
      <w:r>
        <w:rPr>
          <w:rFonts w:ascii="Arial" w:cs="Arial" w:eastAsia="Arial" w:hAnsi="Arial"/>
          <w:sz w:val="27"/>
          <w:szCs w:val="27"/>
          <w:color w:val="auto"/>
          <w:vertAlign w:val="superscript"/>
        </w:rPr>
        <w:t>1</w:t>
      </w:r>
    </w:p>
    <w:p>
      <w:pPr>
        <w:spacing w:after="0" w:line="4"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Our 2019 financial results reflect the company’s unique ability to mitigate the impact of short-term fluctuations in the underlying macro-environment. For purposes of our short-term incentive plan (“ICP”) for 2019, the target achievement levels of our three financial performance goals, Net Sales, Adjusted EBITDA growth and Adjusted Free Cash Flow Conversion were not met, resulting in a below-target payout under the ICP.</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Our compensation philosophy is designed to align the interests of our executive officers with those of our stockholders by providing pay that is directly linked to the achievement of performance goals established to foster the creation of sustainable long-term stockholder value. At the root of our compensation philosophy is the use of variable, at-risk compensation that connects pay outcomes with superior results and sustainable growth execution. As shown in the chart below, 83% (increased from 81% in 2018) of the 2019 target total direct compensation of our Chief Executive Officer is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1258570</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1"/>
          <w:szCs w:val="11"/>
          <w:color w:val="auto"/>
        </w:rPr>
      </w:pPr>
      <w:r>
        <w:rPr>
          <w:rFonts w:ascii="Arial" w:cs="Arial" w:eastAsia="Arial" w:hAnsi="Arial"/>
          <w:sz w:val="13"/>
          <w:szCs w:val="13"/>
          <w:color w:val="auto"/>
        </w:rPr>
        <w:t>Please refer to the Annex for additional information regarding our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Chief Executive Officer Compensation Mix at Target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147955</wp:posOffset>
            </wp:positionV>
            <wp:extent cx="3360420" cy="1568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042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and 2020 Program Changes</w:t>
      </w:r>
    </w:p>
    <w:p>
      <w:pPr>
        <w:spacing w:after="0" w:line="196" w:lineRule="exact"/>
        <w:rPr>
          <w:sz w:val="20"/>
          <w:szCs w:val="20"/>
          <w:color w:val="auto"/>
        </w:rPr>
      </w:pPr>
    </w:p>
    <w:p>
      <w:pPr>
        <w:ind w:left="120" w:right="220"/>
        <w:spacing w:after="0" w:line="251" w:lineRule="auto"/>
        <w:rPr>
          <w:sz w:val="20"/>
          <w:szCs w:val="20"/>
          <w:color w:val="auto"/>
        </w:rPr>
      </w:pPr>
      <w:r>
        <w:rPr>
          <w:rFonts w:ascii="Arial" w:cs="Arial" w:eastAsia="Arial" w:hAnsi="Arial"/>
          <w:sz w:val="16"/>
          <w:szCs w:val="16"/>
          <w:color w:val="auto"/>
        </w:rPr>
        <w:t>In 2019 we launched our first year as a new, stand-alone company with an executive compensation program that was largely based on the pre-existing compensation methodology which was put in place right after the Spin-Off in October 2018. We had however updated this program to incorporate an additional financial metric, Adjusted Free Cash Flow Conversion, into our annual cash incentive program and long-term performance awards and we shifted the weightings of the financial performance metrics within our incentive plans.</w:t>
      </w:r>
    </w:p>
    <w:p>
      <w:pPr>
        <w:spacing w:after="0" w:line="94"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As mentioned in our proxy statement disclosure last year, in considering our 2020 program, the Compensation Committee undertook a thorough evaluation of the metrics that best align with the Company’s long-term strategy for inclusion in the ICP and Long-Term Incentive Plan (“LTI Plan”). The evaluation included analysis of different performance metrics and their alignment with our value proposition to shareholders, a review of the performance metrics used by our peer group, and an assessment of independent performance metrics versus modifier structures as well as absolute goals versus relative goals. The work also considered the input received during a series of shareholder outreach meetings.</w:t>
      </w:r>
    </w:p>
    <w:p>
      <w:pPr>
        <w:spacing w:after="0" w:line="9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 xml:space="preserve">Effective for fiscal year 2020 we have modified our 2020 executive compensation programs. These changes include a higher percentage of performance shares and the inclusion of relative and absolute Total Shareholder Return as described under “Company Compensation Programs for Fiscal 2020” below on page 35. The Compensation Committee will continue to evaluate and evolve our programs </w:t>
      </w:r>
      <w:r>
        <w:rPr>
          <w:rFonts w:ascii="Arial" w:cs="Arial" w:eastAsia="Arial" w:hAnsi="Arial"/>
          <w:sz w:val="16"/>
          <w:szCs w:val="16"/>
          <w:i w:val="1"/>
          <w:iCs w:val="1"/>
          <w:color w:val="auto"/>
        </w:rPr>
        <w:t>as necessary to support our business strategy and</w:t>
      </w:r>
      <w:r>
        <w:rPr>
          <w:rFonts w:ascii="Arial" w:cs="Arial" w:eastAsia="Arial" w:hAnsi="Arial"/>
          <w:sz w:val="16"/>
          <w:szCs w:val="16"/>
          <w:color w:val="auto"/>
        </w:rPr>
        <w:t xml:space="preserve"> </w:t>
      </w:r>
      <w:r>
        <w:rPr>
          <w:rFonts w:ascii="Arial" w:cs="Arial" w:eastAsia="Arial" w:hAnsi="Arial"/>
          <w:sz w:val="16"/>
          <w:szCs w:val="16"/>
          <w:i w:val="1"/>
          <w:iCs w:val="1"/>
          <w:color w:val="auto"/>
        </w:rPr>
        <w:t>organizational context.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Peer Group</w:t>
      </w:r>
    </w:p>
    <w:p>
      <w:pPr>
        <w:spacing w:after="0" w:line="12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In addition, in January 2019, we created a compensation peer group, which includes companies of similar size, industry and global presence and with which the Company competes for talent. We made an effort to include companies headquartered in the United States and Europe. This peer group, which is described in more detail on page 26, was referenced to establish market-competitive base salaries, award sizes for ICP and LTI Plan, and the metrics used in the ICP and LTI Plan beginning in 2019. In addition to the peer group described, we also leveraged broader market surveys and other data sources to guide the establishment of our executive compensation programs for 2019.</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Program Highlights</w:t>
      </w:r>
    </w:p>
    <w:p>
      <w:pPr>
        <w:spacing w:after="0" w:line="12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As noted above, our overall compensation program is structured to attract, motivate and retain highly qualified executive officers by paying them competitively, consistent with our success and their contribution to that success. Our ability to excel depends on the skill, creativity, integrity and teamwork of our employees. We believe compensation should be structured to reward short-term and long-term business results and exceptional performance, and most importantly, maximize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23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The following table highlights key features of our executive compensation program. We believe these practices promote good governance and serve the interests of our stockholders.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5180" w:type="dxa"/>
            <w:vAlign w:val="bottom"/>
          </w:tcPr>
          <w:p>
            <w:pPr>
              <w:ind w:left="2260"/>
              <w:spacing w:after="0"/>
              <w:rPr>
                <w:sz w:val="20"/>
                <w:szCs w:val="20"/>
                <w:color w:val="auto"/>
              </w:rPr>
            </w:pPr>
            <w:r>
              <w:rPr>
                <w:rFonts w:ascii="Arial" w:cs="Arial" w:eastAsia="Arial" w:hAnsi="Arial"/>
                <w:sz w:val="14"/>
                <w:szCs w:val="14"/>
                <w:color w:val="E52823"/>
              </w:rPr>
              <w:t>What We Do</w:t>
            </w:r>
          </w:p>
        </w:tc>
        <w:tc>
          <w:tcPr>
            <w:tcW w:w="5420" w:type="dxa"/>
            <w:vAlign w:val="bottom"/>
          </w:tcPr>
          <w:p>
            <w:pPr>
              <w:ind w:left="2360"/>
              <w:spacing w:after="0"/>
              <w:rPr>
                <w:sz w:val="20"/>
                <w:szCs w:val="20"/>
                <w:color w:val="auto"/>
              </w:rPr>
            </w:pPr>
            <w:r>
              <w:rPr>
                <w:rFonts w:ascii="Arial" w:cs="Arial" w:eastAsia="Arial" w:hAnsi="Arial"/>
                <w:sz w:val="14"/>
                <w:szCs w:val="14"/>
                <w:color w:val="E52823"/>
              </w:rPr>
              <w:t>What We Don’t Do</w:t>
            </w:r>
          </w:p>
        </w:tc>
      </w:tr>
      <w:tr>
        <w:trPr>
          <w:trHeight w:val="100"/>
        </w:trPr>
        <w:tc>
          <w:tcPr>
            <w:tcW w:w="42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r>
      <w:tr>
        <w:trPr>
          <w:trHeight w:val="204"/>
        </w:trPr>
        <w:tc>
          <w:tcPr>
            <w:tcW w:w="420" w:type="dxa"/>
            <w:vAlign w:val="bottom"/>
            <w:shd w:val="clear" w:color="auto" w:fill="EDEDED"/>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shd w:val="clear" w:color="auto" w:fill="EDEDED"/>
          </w:tcPr>
          <w:p>
            <w:pPr>
              <w:ind w:left="80"/>
              <w:spacing w:after="0"/>
              <w:rPr>
                <w:sz w:val="20"/>
                <w:szCs w:val="20"/>
                <w:color w:val="auto"/>
              </w:rPr>
            </w:pPr>
            <w:r>
              <w:rPr>
                <w:rFonts w:ascii="Arial" w:cs="Arial" w:eastAsia="Arial" w:hAnsi="Arial"/>
                <w:sz w:val="16"/>
                <w:szCs w:val="16"/>
                <w:color w:val="auto"/>
              </w:rPr>
              <w:t>Structure the majority of executive compensation in the form of</w:t>
            </w:r>
          </w:p>
        </w:tc>
        <w:tc>
          <w:tcPr>
            <w:tcW w:w="5420" w:type="dxa"/>
            <w:vAlign w:val="bottom"/>
            <w:shd w:val="clear" w:color="auto" w:fill="EDEDED"/>
          </w:tcPr>
          <w:p>
            <w:pPr>
              <w:ind w:left="220"/>
              <w:spacing w:after="0"/>
              <w:rPr>
                <w:sz w:val="20"/>
                <w:szCs w:val="20"/>
                <w:color w:val="auto"/>
              </w:rPr>
            </w:pPr>
            <w:r>
              <w:rPr>
                <w:rFonts w:ascii="Arial" w:cs="Arial" w:eastAsia="Arial" w:hAnsi="Arial"/>
                <w:sz w:val="16"/>
                <w:szCs w:val="16"/>
                <w:color w:val="auto"/>
              </w:rPr>
              <w:t>X  No single-trigger cash severance or benefits in connection with a</w:t>
            </w:r>
          </w:p>
        </w:tc>
      </w:tr>
      <w:tr>
        <w:trPr>
          <w:trHeight w:val="195"/>
        </w:trPr>
        <w:tc>
          <w:tcPr>
            <w:tcW w:w="420" w:type="dxa"/>
            <w:vAlign w:val="bottom"/>
            <w:shd w:val="clear" w:color="auto" w:fill="EDEDED"/>
          </w:tcPr>
          <w:p>
            <w:pPr>
              <w:spacing w:after="0"/>
              <w:rPr>
                <w:sz w:val="16"/>
                <w:szCs w:val="16"/>
                <w:color w:val="auto"/>
              </w:rPr>
            </w:pPr>
          </w:p>
        </w:tc>
        <w:tc>
          <w:tcPr>
            <w:tcW w:w="5180" w:type="dxa"/>
            <w:vAlign w:val="bottom"/>
            <w:shd w:val="clear" w:color="auto" w:fill="EDEDED"/>
          </w:tcPr>
          <w:p>
            <w:pPr>
              <w:ind w:left="80"/>
              <w:spacing w:after="0"/>
              <w:rPr>
                <w:sz w:val="20"/>
                <w:szCs w:val="20"/>
                <w:color w:val="auto"/>
              </w:rPr>
            </w:pPr>
            <w:r>
              <w:rPr>
                <w:rFonts w:ascii="Arial" w:cs="Arial" w:eastAsia="Arial" w:hAnsi="Arial"/>
                <w:sz w:val="16"/>
                <w:szCs w:val="16"/>
                <w:color w:val="auto"/>
              </w:rPr>
              <w:t>performance-based incentives</w:t>
            </w:r>
          </w:p>
        </w:tc>
        <w:tc>
          <w:tcPr>
            <w:tcW w:w="5420" w:type="dxa"/>
            <w:vAlign w:val="bottom"/>
            <w:shd w:val="clear" w:color="auto" w:fill="EDEDED"/>
          </w:tcPr>
          <w:p>
            <w:pPr>
              <w:ind w:left="480"/>
              <w:spacing w:after="0"/>
              <w:rPr>
                <w:sz w:val="20"/>
                <w:szCs w:val="20"/>
                <w:color w:val="auto"/>
              </w:rPr>
            </w:pPr>
            <w:r>
              <w:rPr>
                <w:rFonts w:ascii="Arial" w:cs="Arial" w:eastAsia="Arial" w:hAnsi="Arial"/>
                <w:sz w:val="16"/>
                <w:szCs w:val="16"/>
                <w:color w:val="auto"/>
              </w:rPr>
              <w:t>change in control</w:t>
            </w:r>
          </w:p>
        </w:tc>
      </w:tr>
      <w:tr>
        <w:trPr>
          <w:trHeight w:val="100"/>
        </w:trPr>
        <w:tc>
          <w:tcPr>
            <w:tcW w:w="420" w:type="dxa"/>
            <w:vAlign w:val="bottom"/>
            <w:shd w:val="clear" w:color="auto" w:fill="EDEDED"/>
          </w:tcPr>
          <w:p>
            <w:pPr>
              <w:spacing w:after="0"/>
              <w:rPr>
                <w:sz w:val="8"/>
                <w:szCs w:val="8"/>
                <w:color w:val="auto"/>
              </w:rPr>
            </w:pPr>
          </w:p>
        </w:tc>
        <w:tc>
          <w:tcPr>
            <w:tcW w:w="5180" w:type="dxa"/>
            <w:vAlign w:val="bottom"/>
            <w:shd w:val="clear" w:color="auto" w:fill="EDEDED"/>
          </w:tcPr>
          <w:p>
            <w:pPr>
              <w:spacing w:after="0"/>
              <w:rPr>
                <w:sz w:val="8"/>
                <w:szCs w:val="8"/>
                <w:color w:val="auto"/>
              </w:rPr>
            </w:pPr>
          </w:p>
        </w:tc>
        <w:tc>
          <w:tcPr>
            <w:tcW w:w="5420" w:type="dxa"/>
            <w:vAlign w:val="bottom"/>
            <w:shd w:val="clear" w:color="auto" w:fill="EDEDED"/>
          </w:tcPr>
          <w:p>
            <w:pPr>
              <w:spacing w:after="0"/>
              <w:rPr>
                <w:sz w:val="8"/>
                <w:szCs w:val="8"/>
                <w:color w:val="auto"/>
              </w:rPr>
            </w:pPr>
          </w:p>
        </w:tc>
      </w:tr>
      <w:tr>
        <w:trPr>
          <w:trHeight w:val="218"/>
        </w:trPr>
        <w:tc>
          <w:tcPr>
            <w:tcW w:w="42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80"/>
              <w:spacing w:after="0"/>
              <w:rPr>
                <w:sz w:val="20"/>
                <w:szCs w:val="20"/>
                <w:color w:val="auto"/>
              </w:rPr>
            </w:pPr>
            <w:r>
              <w:rPr>
                <w:rFonts w:ascii="Arial" w:cs="Arial" w:eastAsia="Arial" w:hAnsi="Arial"/>
                <w:sz w:val="16"/>
                <w:szCs w:val="16"/>
                <w:color w:val="auto"/>
              </w:rPr>
              <w:t>Multi-year vesting of equity awards granted to our executive officers</w:t>
            </w:r>
          </w:p>
        </w:tc>
        <w:tc>
          <w:tcPr>
            <w:tcW w:w="5420" w:type="dxa"/>
            <w:vAlign w:val="bottom"/>
          </w:tcPr>
          <w:p>
            <w:pPr>
              <w:ind w:left="220"/>
              <w:spacing w:after="0"/>
              <w:rPr>
                <w:sz w:val="20"/>
                <w:szCs w:val="20"/>
                <w:color w:val="auto"/>
              </w:rPr>
            </w:pPr>
            <w:r>
              <w:rPr>
                <w:rFonts w:ascii="Arial" w:cs="Arial" w:eastAsia="Arial" w:hAnsi="Arial"/>
                <w:sz w:val="16"/>
                <w:szCs w:val="16"/>
                <w:color w:val="auto"/>
              </w:rPr>
              <w:t>X  No guaranteed cash incentives, equity compensation or salary</w:t>
            </w:r>
          </w:p>
        </w:tc>
      </w:tr>
      <w:tr>
        <w:trPr>
          <w:trHeight w:val="195"/>
        </w:trPr>
        <w:tc>
          <w:tcPr>
            <w:tcW w:w="4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5420" w:type="dxa"/>
            <w:vAlign w:val="bottom"/>
          </w:tcPr>
          <w:p>
            <w:pPr>
              <w:ind w:left="480"/>
              <w:spacing w:after="0"/>
              <w:rPr>
                <w:sz w:val="20"/>
                <w:szCs w:val="20"/>
                <w:color w:val="auto"/>
              </w:rPr>
            </w:pPr>
            <w:r>
              <w:rPr>
                <w:rFonts w:ascii="Arial" w:cs="Arial" w:eastAsia="Arial" w:hAnsi="Arial"/>
                <w:sz w:val="16"/>
                <w:szCs w:val="16"/>
                <w:color w:val="auto"/>
              </w:rPr>
              <w:t>increases for executive officers</w:t>
            </w:r>
          </w:p>
        </w:tc>
      </w:tr>
      <w:tr>
        <w:trPr>
          <w:trHeight w:val="101"/>
        </w:trPr>
        <w:tc>
          <w:tcPr>
            <w:tcW w:w="4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5420" w:type="dxa"/>
            <w:vAlign w:val="bottom"/>
          </w:tcPr>
          <w:p>
            <w:pPr>
              <w:spacing w:after="0"/>
              <w:rPr>
                <w:sz w:val="8"/>
                <w:szCs w:val="8"/>
                <w:color w:val="auto"/>
              </w:rPr>
            </w:pPr>
          </w:p>
        </w:tc>
      </w:tr>
      <w:tr>
        <w:trPr>
          <w:trHeight w:val="254"/>
        </w:trPr>
        <w:tc>
          <w:tcPr>
            <w:tcW w:w="420" w:type="dxa"/>
            <w:vAlign w:val="bottom"/>
            <w:shd w:val="clear" w:color="auto" w:fill="EDEDED"/>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shd w:val="clear" w:color="auto" w:fill="EDEDED"/>
          </w:tcPr>
          <w:p>
            <w:pPr>
              <w:ind w:left="80"/>
              <w:spacing w:after="0"/>
              <w:rPr>
                <w:sz w:val="20"/>
                <w:szCs w:val="20"/>
                <w:color w:val="auto"/>
              </w:rPr>
            </w:pPr>
            <w:r>
              <w:rPr>
                <w:rFonts w:ascii="Arial" w:cs="Arial" w:eastAsia="Arial" w:hAnsi="Arial"/>
                <w:sz w:val="16"/>
                <w:szCs w:val="16"/>
                <w:color w:val="auto"/>
              </w:rPr>
              <w:t>Executive and non-employee director stock ownership requirements</w:t>
            </w:r>
          </w:p>
        </w:tc>
        <w:tc>
          <w:tcPr>
            <w:tcW w:w="5420" w:type="dxa"/>
            <w:vAlign w:val="bottom"/>
            <w:shd w:val="clear" w:color="auto" w:fill="EDEDED"/>
          </w:tcPr>
          <w:p>
            <w:pPr>
              <w:ind w:left="220"/>
              <w:spacing w:after="0"/>
              <w:rPr>
                <w:sz w:val="20"/>
                <w:szCs w:val="20"/>
                <w:color w:val="auto"/>
              </w:rPr>
            </w:pPr>
            <w:r>
              <w:rPr>
                <w:rFonts w:ascii="Arial" w:cs="Arial" w:eastAsia="Arial" w:hAnsi="Arial"/>
                <w:sz w:val="16"/>
                <w:szCs w:val="16"/>
                <w:color w:val="auto"/>
              </w:rPr>
              <w:t>X  No excise tax gross-up provisions</w:t>
            </w:r>
          </w:p>
        </w:tc>
      </w:tr>
      <w:tr>
        <w:trPr>
          <w:trHeight w:val="83"/>
        </w:trPr>
        <w:tc>
          <w:tcPr>
            <w:tcW w:w="420" w:type="dxa"/>
            <w:vAlign w:val="bottom"/>
            <w:shd w:val="clear" w:color="auto" w:fill="EDEDED"/>
          </w:tcPr>
          <w:p>
            <w:pPr>
              <w:spacing w:after="0"/>
              <w:rPr>
                <w:sz w:val="7"/>
                <w:szCs w:val="7"/>
                <w:color w:val="auto"/>
              </w:rPr>
            </w:pPr>
          </w:p>
        </w:tc>
        <w:tc>
          <w:tcPr>
            <w:tcW w:w="5180" w:type="dxa"/>
            <w:vAlign w:val="bottom"/>
            <w:shd w:val="clear" w:color="auto" w:fill="EDEDED"/>
          </w:tcPr>
          <w:p>
            <w:pPr>
              <w:spacing w:after="0"/>
              <w:rPr>
                <w:sz w:val="7"/>
                <w:szCs w:val="7"/>
                <w:color w:val="auto"/>
              </w:rPr>
            </w:pPr>
          </w:p>
        </w:tc>
        <w:tc>
          <w:tcPr>
            <w:tcW w:w="5420" w:type="dxa"/>
            <w:vAlign w:val="bottom"/>
            <w:shd w:val="clear" w:color="auto" w:fill="EDEDED"/>
          </w:tcPr>
          <w:p>
            <w:pPr>
              <w:spacing w:after="0"/>
              <w:rPr>
                <w:sz w:val="7"/>
                <w:szCs w:val="7"/>
                <w:color w:val="auto"/>
              </w:rPr>
            </w:pPr>
          </w:p>
        </w:tc>
      </w:tr>
    </w:tbl>
    <w:p>
      <w:pPr>
        <w:spacing w:after="0" w:line="29" w:lineRule="exact"/>
        <w:rPr>
          <w:sz w:val="20"/>
          <w:szCs w:val="20"/>
          <w:color w:val="auto"/>
        </w:rPr>
      </w:pPr>
    </w:p>
    <w:p>
      <w:pPr>
        <w:sectPr>
          <w:pgSz w:w="11900" w:h="16838" w:orient="portrait"/>
          <w:cols w:equalWidth="0" w:num="1">
            <w:col w:w="11140"/>
          </w:cols>
          <w:pgMar w:left="320" w:top="459" w:right="439" w:bottom="1440" w:gutter="0" w:footer="0" w:header="0"/>
        </w:sectPr>
      </w:pPr>
    </w:p>
    <w:p>
      <w:pPr>
        <w:ind w:left="620" w:hanging="433"/>
        <w:spacing w:after="0" w:line="260" w:lineRule="auto"/>
        <w:tabs>
          <w:tab w:leader="none" w:pos="620" w:val="left"/>
        </w:tabs>
        <w:numPr>
          <w:ilvl w:val="0"/>
          <w:numId w:val="27"/>
        </w:numPr>
        <w:rPr>
          <w:rFonts w:ascii="MS PGothic" w:cs="MS PGothic" w:eastAsia="MS PGothic" w:hAnsi="MS PGothic"/>
          <w:sz w:val="16"/>
          <w:szCs w:val="16"/>
          <w:color w:val="auto"/>
        </w:rPr>
      </w:pPr>
      <w:r>
        <w:rPr>
          <w:rFonts w:ascii="Arial" w:cs="Arial" w:eastAsia="Arial" w:hAnsi="Arial"/>
          <w:sz w:val="16"/>
          <w:szCs w:val="16"/>
          <w:color w:val="auto"/>
        </w:rPr>
        <w:t>Compensation programs include balanced performance metrics and an oversight process to identify risk</w:t>
      </w:r>
    </w:p>
    <w:p>
      <w:pPr>
        <w:spacing w:after="0" w:line="20" w:lineRule="exact"/>
        <w:rPr>
          <w:sz w:val="20"/>
          <w:szCs w:val="20"/>
          <w:color w:val="auto"/>
        </w:rPr>
      </w:pPr>
      <w:r>
        <w:rPr>
          <w:sz w:val="20"/>
          <w:szCs w:val="20"/>
          <w:color w:val="auto"/>
        </w:rPr>
        <w:br w:type="column"/>
      </w:r>
    </w:p>
    <w:p>
      <w:pPr>
        <w:ind w:left="252" w:right="200" w:hanging="252"/>
        <w:spacing w:after="0" w:line="253" w:lineRule="auto"/>
        <w:tabs>
          <w:tab w:leader="none" w:pos="2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repricing of stock option awards and our plans expressly forbid exchanging underwater options for cash without stockholder approval</w:t>
      </w:r>
    </w:p>
    <w:p>
      <w:pPr>
        <w:spacing w:after="0" w:line="91" w:lineRule="exact"/>
        <w:rPr>
          <w:sz w:val="20"/>
          <w:szCs w:val="20"/>
          <w:color w:val="auto"/>
        </w:rPr>
      </w:pPr>
    </w:p>
    <w:p>
      <w:pPr>
        <w:sectPr>
          <w:pgSz w:w="11900" w:h="16838" w:orient="portrait"/>
          <w:cols w:equalWidth="0" w:num="2">
            <w:col w:w="5720" w:space="228"/>
            <w:col w:w="5192"/>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8"/>
        </w:trPr>
        <w:tc>
          <w:tcPr>
            <w:tcW w:w="420" w:type="dxa"/>
            <w:vAlign w:val="bottom"/>
            <w:shd w:val="clear" w:color="auto" w:fill="EDEDED"/>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shd w:val="clear" w:color="auto" w:fill="EDEDED"/>
          </w:tcPr>
          <w:p>
            <w:pPr>
              <w:ind w:left="80"/>
              <w:spacing w:after="0"/>
              <w:rPr>
                <w:sz w:val="20"/>
                <w:szCs w:val="20"/>
                <w:color w:val="auto"/>
              </w:rPr>
            </w:pPr>
            <w:r>
              <w:rPr>
                <w:rFonts w:ascii="Arial" w:cs="Arial" w:eastAsia="Arial" w:hAnsi="Arial"/>
                <w:sz w:val="16"/>
                <w:szCs w:val="16"/>
                <w:color w:val="auto"/>
              </w:rPr>
              <w:t>Independent Compensation Committee oversees and evaluates</w:t>
            </w:r>
          </w:p>
        </w:tc>
        <w:tc>
          <w:tcPr>
            <w:tcW w:w="540" w:type="dxa"/>
            <w:vAlign w:val="bottom"/>
            <w:shd w:val="clear" w:color="auto" w:fill="EDEDED"/>
          </w:tcPr>
          <w:p>
            <w:pPr>
              <w:ind w:left="340"/>
              <w:spacing w:after="0"/>
              <w:rPr>
                <w:sz w:val="20"/>
                <w:szCs w:val="20"/>
                <w:color w:val="auto"/>
              </w:rPr>
            </w:pPr>
            <w:r>
              <w:rPr>
                <w:rFonts w:ascii="Arial" w:cs="Arial" w:eastAsia="Arial" w:hAnsi="Arial"/>
                <w:sz w:val="16"/>
                <w:szCs w:val="16"/>
                <w:color w:val="auto"/>
              </w:rPr>
              <w:t>X</w:t>
            </w:r>
          </w:p>
        </w:tc>
        <w:tc>
          <w:tcPr>
            <w:tcW w:w="5000" w:type="dxa"/>
            <w:vAlign w:val="bottom"/>
            <w:shd w:val="clear" w:color="auto" w:fill="EDEDED"/>
          </w:tcPr>
          <w:p>
            <w:pPr>
              <w:ind w:left="60"/>
              <w:spacing w:after="0"/>
              <w:rPr>
                <w:sz w:val="20"/>
                <w:szCs w:val="20"/>
                <w:color w:val="auto"/>
              </w:rPr>
            </w:pPr>
            <w:r>
              <w:rPr>
                <w:rFonts w:ascii="Arial" w:cs="Arial" w:eastAsia="Arial" w:hAnsi="Arial"/>
                <w:sz w:val="16"/>
                <w:szCs w:val="16"/>
                <w:color w:val="auto"/>
              </w:rPr>
              <w:t>No hedging or pledging of our equity securities</w:t>
            </w:r>
          </w:p>
        </w:tc>
      </w:tr>
      <w:tr>
        <w:trPr>
          <w:trHeight w:val="189"/>
        </w:trPr>
        <w:tc>
          <w:tcPr>
            <w:tcW w:w="420" w:type="dxa"/>
            <w:vAlign w:val="bottom"/>
            <w:shd w:val="clear" w:color="auto" w:fill="EDEDED"/>
          </w:tcPr>
          <w:p>
            <w:pPr>
              <w:spacing w:after="0"/>
              <w:rPr>
                <w:sz w:val="16"/>
                <w:szCs w:val="16"/>
                <w:color w:val="auto"/>
              </w:rPr>
            </w:pPr>
          </w:p>
        </w:tc>
        <w:tc>
          <w:tcPr>
            <w:tcW w:w="5060" w:type="dxa"/>
            <w:vAlign w:val="bottom"/>
            <w:shd w:val="clear" w:color="auto" w:fill="EDEDED"/>
          </w:tcPr>
          <w:p>
            <w:pPr>
              <w:ind w:left="80"/>
              <w:spacing w:after="0"/>
              <w:rPr>
                <w:sz w:val="20"/>
                <w:szCs w:val="20"/>
                <w:color w:val="auto"/>
              </w:rPr>
            </w:pPr>
            <w:r>
              <w:rPr>
                <w:rFonts w:ascii="Arial" w:cs="Arial" w:eastAsia="Arial" w:hAnsi="Arial"/>
                <w:sz w:val="16"/>
                <w:szCs w:val="16"/>
                <w:color w:val="auto"/>
              </w:rPr>
              <w:t>executive compensation programs against competitive practices,</w:t>
            </w:r>
          </w:p>
        </w:tc>
        <w:tc>
          <w:tcPr>
            <w:tcW w:w="540" w:type="dxa"/>
            <w:vAlign w:val="bottom"/>
            <w:shd w:val="clear" w:color="auto" w:fill="EDEDED"/>
          </w:tcPr>
          <w:p>
            <w:pPr>
              <w:spacing w:after="0"/>
              <w:rPr>
                <w:sz w:val="16"/>
                <w:szCs w:val="16"/>
                <w:color w:val="auto"/>
              </w:rPr>
            </w:pPr>
          </w:p>
        </w:tc>
        <w:tc>
          <w:tcPr>
            <w:tcW w:w="5000" w:type="dxa"/>
            <w:vAlign w:val="bottom"/>
            <w:shd w:val="clear" w:color="auto" w:fill="EDEDED"/>
          </w:tcPr>
          <w:p>
            <w:pPr>
              <w:spacing w:after="0"/>
              <w:rPr>
                <w:sz w:val="16"/>
                <w:szCs w:val="16"/>
                <w:color w:val="auto"/>
              </w:rPr>
            </w:pPr>
          </w:p>
        </w:tc>
      </w:tr>
      <w:tr>
        <w:trPr>
          <w:trHeight w:val="195"/>
        </w:trPr>
        <w:tc>
          <w:tcPr>
            <w:tcW w:w="420" w:type="dxa"/>
            <w:vAlign w:val="bottom"/>
            <w:shd w:val="clear" w:color="auto" w:fill="EDEDED"/>
          </w:tcPr>
          <w:p>
            <w:pPr>
              <w:spacing w:after="0"/>
              <w:rPr>
                <w:sz w:val="16"/>
                <w:szCs w:val="16"/>
                <w:color w:val="auto"/>
              </w:rPr>
            </w:pPr>
          </w:p>
        </w:tc>
        <w:tc>
          <w:tcPr>
            <w:tcW w:w="5060" w:type="dxa"/>
            <w:vAlign w:val="bottom"/>
            <w:shd w:val="clear" w:color="auto" w:fill="EDEDED"/>
          </w:tcPr>
          <w:p>
            <w:pPr>
              <w:ind w:left="80"/>
              <w:spacing w:after="0"/>
              <w:rPr>
                <w:sz w:val="20"/>
                <w:szCs w:val="20"/>
                <w:color w:val="auto"/>
              </w:rPr>
            </w:pPr>
            <w:r>
              <w:rPr>
                <w:rFonts w:ascii="Arial" w:cs="Arial" w:eastAsia="Arial" w:hAnsi="Arial"/>
                <w:sz w:val="16"/>
                <w:szCs w:val="16"/>
                <w:color w:val="auto"/>
              </w:rPr>
              <w:t>regulatory developments and corporate government trends</w:t>
            </w:r>
          </w:p>
        </w:tc>
        <w:tc>
          <w:tcPr>
            <w:tcW w:w="540" w:type="dxa"/>
            <w:vAlign w:val="bottom"/>
            <w:shd w:val="clear" w:color="auto" w:fill="EDEDED"/>
          </w:tcPr>
          <w:p>
            <w:pPr>
              <w:spacing w:after="0"/>
              <w:rPr>
                <w:sz w:val="16"/>
                <w:szCs w:val="16"/>
                <w:color w:val="auto"/>
              </w:rPr>
            </w:pPr>
          </w:p>
        </w:tc>
        <w:tc>
          <w:tcPr>
            <w:tcW w:w="5000" w:type="dxa"/>
            <w:vAlign w:val="bottom"/>
            <w:shd w:val="clear" w:color="auto" w:fill="EDEDED"/>
          </w:tcPr>
          <w:p>
            <w:pPr>
              <w:spacing w:after="0"/>
              <w:rPr>
                <w:sz w:val="16"/>
                <w:szCs w:val="16"/>
                <w:color w:val="auto"/>
              </w:rPr>
            </w:pPr>
          </w:p>
        </w:tc>
      </w:tr>
      <w:tr>
        <w:trPr>
          <w:trHeight w:val="100"/>
        </w:trPr>
        <w:tc>
          <w:tcPr>
            <w:tcW w:w="420" w:type="dxa"/>
            <w:vAlign w:val="bottom"/>
            <w:shd w:val="clear" w:color="auto" w:fill="EDEDED"/>
          </w:tcPr>
          <w:p>
            <w:pPr>
              <w:spacing w:after="0"/>
              <w:rPr>
                <w:sz w:val="8"/>
                <w:szCs w:val="8"/>
                <w:color w:val="auto"/>
              </w:rPr>
            </w:pPr>
          </w:p>
        </w:tc>
        <w:tc>
          <w:tcPr>
            <w:tcW w:w="5060" w:type="dxa"/>
            <w:vAlign w:val="bottom"/>
            <w:shd w:val="clear" w:color="auto" w:fill="EDEDED"/>
          </w:tcPr>
          <w:p>
            <w:pPr>
              <w:spacing w:after="0"/>
              <w:rPr>
                <w:sz w:val="8"/>
                <w:szCs w:val="8"/>
                <w:color w:val="auto"/>
              </w:rPr>
            </w:pPr>
          </w:p>
        </w:tc>
        <w:tc>
          <w:tcPr>
            <w:tcW w:w="540" w:type="dxa"/>
            <w:vAlign w:val="bottom"/>
            <w:shd w:val="clear" w:color="auto" w:fill="EDEDED"/>
          </w:tcPr>
          <w:p>
            <w:pPr>
              <w:spacing w:after="0"/>
              <w:rPr>
                <w:sz w:val="8"/>
                <w:szCs w:val="8"/>
                <w:color w:val="auto"/>
              </w:rPr>
            </w:pPr>
          </w:p>
        </w:tc>
        <w:tc>
          <w:tcPr>
            <w:tcW w:w="5000" w:type="dxa"/>
            <w:vAlign w:val="bottom"/>
            <w:shd w:val="clear" w:color="auto" w:fill="EDEDED"/>
          </w:tcPr>
          <w:p>
            <w:pPr>
              <w:spacing w:after="0"/>
              <w:rPr>
                <w:sz w:val="8"/>
                <w:szCs w:val="8"/>
                <w:color w:val="auto"/>
              </w:rPr>
            </w:pPr>
          </w:p>
        </w:tc>
      </w:tr>
      <w:tr>
        <w:trPr>
          <w:trHeight w:val="218"/>
        </w:trPr>
        <w:tc>
          <w:tcPr>
            <w:tcW w:w="42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80"/>
              <w:spacing w:after="0"/>
              <w:rPr>
                <w:sz w:val="20"/>
                <w:szCs w:val="20"/>
                <w:color w:val="auto"/>
              </w:rPr>
            </w:pPr>
            <w:r>
              <w:rPr>
                <w:rFonts w:ascii="Arial" w:cs="Arial" w:eastAsia="Arial" w:hAnsi="Arial"/>
                <w:sz w:val="16"/>
                <w:szCs w:val="16"/>
                <w:color w:val="auto"/>
              </w:rPr>
              <w:t>Independent Compensation Committee advisor</w:t>
            </w:r>
          </w:p>
        </w:tc>
        <w:tc>
          <w:tcPr>
            <w:tcW w:w="540" w:type="dxa"/>
            <w:vAlign w:val="bottom"/>
          </w:tcPr>
          <w:p>
            <w:pPr>
              <w:ind w:left="340"/>
              <w:spacing w:after="0"/>
              <w:rPr>
                <w:sz w:val="20"/>
                <w:szCs w:val="20"/>
                <w:color w:val="auto"/>
              </w:rPr>
            </w:pPr>
            <w:r>
              <w:rPr>
                <w:rFonts w:ascii="Arial" w:cs="Arial" w:eastAsia="Arial" w:hAnsi="Arial"/>
                <w:sz w:val="16"/>
                <w:szCs w:val="16"/>
                <w:color w:val="auto"/>
              </w:rPr>
              <w:t>X</w:t>
            </w:r>
          </w:p>
        </w:tc>
        <w:tc>
          <w:tcPr>
            <w:tcW w:w="5000" w:type="dxa"/>
            <w:vAlign w:val="bottom"/>
          </w:tcPr>
          <w:p>
            <w:pPr>
              <w:ind w:left="60"/>
              <w:spacing w:after="0"/>
              <w:rPr>
                <w:sz w:val="20"/>
                <w:szCs w:val="20"/>
                <w:color w:val="auto"/>
              </w:rPr>
            </w:pPr>
            <w:r>
              <w:rPr>
                <w:rFonts w:ascii="Arial" w:cs="Arial" w:eastAsia="Arial" w:hAnsi="Arial"/>
                <w:sz w:val="16"/>
                <w:szCs w:val="16"/>
                <w:color w:val="auto"/>
              </w:rPr>
              <w:t>No dividends or dividend equivalents paid on unearned performance</w:t>
            </w:r>
          </w:p>
        </w:tc>
      </w:tr>
      <w:tr>
        <w:trPr>
          <w:trHeight w:val="195"/>
        </w:trPr>
        <w:tc>
          <w:tcPr>
            <w:tcW w:w="4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0" w:type="dxa"/>
            <w:vAlign w:val="bottom"/>
          </w:tcPr>
          <w:p>
            <w:pPr>
              <w:ind w:left="60"/>
              <w:spacing w:after="0"/>
              <w:rPr>
                <w:sz w:val="20"/>
                <w:szCs w:val="20"/>
                <w:color w:val="auto"/>
              </w:rPr>
            </w:pPr>
            <w:r>
              <w:rPr>
                <w:rFonts w:ascii="Arial" w:cs="Arial" w:eastAsia="Arial" w:hAnsi="Arial"/>
                <w:sz w:val="16"/>
                <w:szCs w:val="16"/>
                <w:color w:val="auto"/>
              </w:rPr>
              <w:t>stock units</w:t>
            </w:r>
          </w:p>
        </w:tc>
      </w:tr>
    </w:tbl>
    <w:p>
      <w:pPr>
        <w:spacing w:after="0" w:line="129" w:lineRule="exact"/>
        <w:rPr>
          <w:sz w:val="20"/>
          <w:szCs w:val="20"/>
          <w:color w:val="auto"/>
        </w:rPr>
      </w:pPr>
    </w:p>
    <w:p>
      <w:pPr>
        <w:ind w:left="620" w:hanging="433"/>
        <w:spacing w:after="0"/>
        <w:tabs>
          <w:tab w:leader="none" w:pos="620" w:val="left"/>
        </w:tabs>
        <w:numPr>
          <w:ilvl w:val="0"/>
          <w:numId w:val="29"/>
        </w:numPr>
        <w:rPr>
          <w:rFonts w:ascii="MS PGothic" w:cs="MS PGothic" w:eastAsia="MS PGothic" w:hAnsi="MS PGothic"/>
          <w:sz w:val="16"/>
          <w:szCs w:val="16"/>
          <w:color w:val="auto"/>
        </w:rPr>
      </w:pPr>
      <w:r>
        <w:rPr>
          <w:rFonts w:ascii="Arial" w:cs="Arial" w:eastAsia="Arial" w:hAnsi="Arial"/>
          <w:sz w:val="16"/>
          <w:szCs w:val="16"/>
          <w:color w:val="auto"/>
        </w:rPr>
        <w:t>Clawback policy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300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2019 Say-on-Pay Vote and Shareholder Outreach</w:t>
      </w:r>
    </w:p>
    <w:p>
      <w:pPr>
        <w:spacing w:after="0" w:line="196"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At our 2019 annual meeting, we conducted our first say-on-pay vote following the Spin-Off, with approximately 75% of our shareholders voting in favor of our pay programs. This vote was lower than expected and we take investor feedback very seriously. To better understand our shareholders’ perspectives of our pay programs, we engaged in shareholder outreach led by the Chairman of our Board and the Chairs of the Compensation and Nominating &amp; Corporate Governance Committees and received feedback that we took into account in the development of our 2020 executive compensation program detailed below. Going forward, we will continue to engage with shareholders to ensure we are reflecting their expectations in our compensation programs and pay for performance philosophy.</w:t>
      </w:r>
    </w:p>
    <w:p>
      <w:pPr>
        <w:spacing w:after="0" w:line="164"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auto"/>
        </w:rPr>
        <w:t>Below is a summary of the feedback we received and the changes made effective for the 2020 executive compensation program applicable to our Named Executive Officers: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5280" w:type="dxa"/>
            <w:vAlign w:val="bottom"/>
          </w:tcPr>
          <w:p>
            <w:pPr>
              <w:ind w:left="2160"/>
              <w:spacing w:after="0"/>
              <w:rPr>
                <w:sz w:val="20"/>
                <w:szCs w:val="20"/>
                <w:color w:val="auto"/>
              </w:rPr>
            </w:pPr>
            <w:r>
              <w:rPr>
                <w:rFonts w:ascii="Arial" w:cs="Arial" w:eastAsia="Arial" w:hAnsi="Arial"/>
                <w:sz w:val="14"/>
                <w:szCs w:val="14"/>
                <w:color w:val="E52823"/>
              </w:rPr>
              <w:t>What We Heard</w:t>
            </w:r>
          </w:p>
        </w:tc>
        <w:tc>
          <w:tcPr>
            <w:tcW w:w="5320" w:type="dxa"/>
            <w:vAlign w:val="bottom"/>
          </w:tcPr>
          <w:p>
            <w:pPr>
              <w:ind w:left="2420"/>
              <w:spacing w:after="0"/>
              <w:rPr>
                <w:sz w:val="20"/>
                <w:szCs w:val="20"/>
                <w:color w:val="auto"/>
              </w:rPr>
            </w:pPr>
            <w:r>
              <w:rPr>
                <w:rFonts w:ascii="Arial" w:cs="Arial" w:eastAsia="Arial" w:hAnsi="Arial"/>
                <w:sz w:val="14"/>
                <w:szCs w:val="14"/>
                <w:color w:val="E52823"/>
              </w:rPr>
              <w:t>What We Did</w:t>
            </w:r>
          </w:p>
        </w:tc>
      </w:tr>
      <w:tr>
        <w:trPr>
          <w:trHeight w:val="100"/>
        </w:trPr>
        <w:tc>
          <w:tcPr>
            <w:tcW w:w="420" w:type="dxa"/>
            <w:vAlign w:val="bottom"/>
            <w:tcBorders>
              <w:bottom w:val="single" w:sz="8" w:color="auto"/>
            </w:tcBorders>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r>
      <w:tr>
        <w:trPr>
          <w:trHeight w:val="204"/>
        </w:trPr>
        <w:tc>
          <w:tcPr>
            <w:tcW w:w="420" w:type="dxa"/>
            <w:vAlign w:val="bottom"/>
            <w:shd w:val="clear" w:color="auto" w:fill="EDEDED"/>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shd w:val="clear" w:color="auto" w:fill="EDEDED"/>
          </w:tcPr>
          <w:p>
            <w:pPr>
              <w:ind w:left="80"/>
              <w:spacing w:after="0"/>
              <w:rPr>
                <w:sz w:val="20"/>
                <w:szCs w:val="20"/>
                <w:color w:val="auto"/>
              </w:rPr>
            </w:pPr>
            <w:r>
              <w:rPr>
                <w:rFonts w:ascii="Arial" w:cs="Arial" w:eastAsia="Arial" w:hAnsi="Arial"/>
                <w:sz w:val="16"/>
                <w:szCs w:val="16"/>
                <w:color w:val="auto"/>
              </w:rPr>
              <w:t>A desire for majority performance-based compensation in the LTI Plan</w:t>
            </w:r>
          </w:p>
        </w:tc>
        <w:tc>
          <w:tcPr>
            <w:tcW w:w="5320" w:type="dxa"/>
            <w:vAlign w:val="bottom"/>
            <w:shd w:val="clear" w:color="auto" w:fill="EDEDED"/>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Increased weighting of Performance Stock Units (“PSUs”) to 60% of</w:t>
            </w:r>
          </w:p>
        </w:tc>
      </w:tr>
      <w:tr>
        <w:trPr>
          <w:trHeight w:val="189"/>
        </w:trPr>
        <w:tc>
          <w:tcPr>
            <w:tcW w:w="420" w:type="dxa"/>
            <w:vAlign w:val="bottom"/>
            <w:shd w:val="clear" w:color="auto" w:fill="EDEDED"/>
          </w:tcPr>
          <w:p>
            <w:pPr>
              <w:spacing w:after="0"/>
              <w:rPr>
                <w:sz w:val="16"/>
                <w:szCs w:val="16"/>
                <w:color w:val="auto"/>
              </w:rPr>
            </w:pPr>
          </w:p>
        </w:tc>
        <w:tc>
          <w:tcPr>
            <w:tcW w:w="5280" w:type="dxa"/>
            <w:vAlign w:val="bottom"/>
            <w:shd w:val="clear" w:color="auto" w:fill="EDEDED"/>
          </w:tcPr>
          <w:p>
            <w:pPr>
              <w:spacing w:after="0"/>
              <w:rPr>
                <w:sz w:val="16"/>
                <w:szCs w:val="16"/>
                <w:color w:val="auto"/>
              </w:rPr>
            </w:pPr>
          </w:p>
        </w:tc>
        <w:tc>
          <w:tcPr>
            <w:tcW w:w="5320" w:type="dxa"/>
            <w:vAlign w:val="bottom"/>
            <w:shd w:val="clear" w:color="auto" w:fill="EDEDED"/>
          </w:tcPr>
          <w:p>
            <w:pPr>
              <w:ind w:left="360"/>
              <w:spacing w:after="0"/>
              <w:rPr>
                <w:sz w:val="20"/>
                <w:szCs w:val="20"/>
                <w:color w:val="auto"/>
              </w:rPr>
            </w:pPr>
            <w:r>
              <w:rPr>
                <w:rFonts w:ascii="Arial" w:cs="Arial" w:eastAsia="Arial" w:hAnsi="Arial"/>
                <w:sz w:val="16"/>
                <w:szCs w:val="16"/>
                <w:color w:val="auto"/>
              </w:rPr>
              <w:t>the total long-term incentive awards granted to our Named Executive</w:t>
            </w:r>
          </w:p>
        </w:tc>
      </w:tr>
      <w:tr>
        <w:trPr>
          <w:trHeight w:val="195"/>
        </w:trPr>
        <w:tc>
          <w:tcPr>
            <w:tcW w:w="420" w:type="dxa"/>
            <w:vAlign w:val="bottom"/>
            <w:shd w:val="clear" w:color="auto" w:fill="EDEDED"/>
          </w:tcPr>
          <w:p>
            <w:pPr>
              <w:spacing w:after="0"/>
              <w:rPr>
                <w:sz w:val="16"/>
                <w:szCs w:val="16"/>
                <w:color w:val="auto"/>
              </w:rPr>
            </w:pPr>
          </w:p>
        </w:tc>
        <w:tc>
          <w:tcPr>
            <w:tcW w:w="5280" w:type="dxa"/>
            <w:vAlign w:val="bottom"/>
            <w:shd w:val="clear" w:color="auto" w:fill="EDEDED"/>
          </w:tcPr>
          <w:p>
            <w:pPr>
              <w:spacing w:after="0"/>
              <w:rPr>
                <w:sz w:val="16"/>
                <w:szCs w:val="16"/>
                <w:color w:val="auto"/>
              </w:rPr>
            </w:pPr>
          </w:p>
        </w:tc>
        <w:tc>
          <w:tcPr>
            <w:tcW w:w="5320" w:type="dxa"/>
            <w:vAlign w:val="bottom"/>
            <w:shd w:val="clear" w:color="auto" w:fill="EDEDED"/>
          </w:tcPr>
          <w:p>
            <w:pPr>
              <w:ind w:left="360"/>
              <w:spacing w:after="0"/>
              <w:rPr>
                <w:sz w:val="20"/>
                <w:szCs w:val="20"/>
                <w:color w:val="auto"/>
              </w:rPr>
            </w:pPr>
            <w:r>
              <w:rPr>
                <w:rFonts w:ascii="Arial" w:cs="Arial" w:eastAsia="Arial" w:hAnsi="Arial"/>
                <w:sz w:val="16"/>
                <w:szCs w:val="16"/>
                <w:color w:val="auto"/>
              </w:rPr>
              <w:t>Officers</w:t>
            </w:r>
          </w:p>
        </w:tc>
      </w:tr>
      <w:tr>
        <w:trPr>
          <w:trHeight w:val="100"/>
        </w:trPr>
        <w:tc>
          <w:tcPr>
            <w:tcW w:w="420" w:type="dxa"/>
            <w:vAlign w:val="bottom"/>
            <w:shd w:val="clear" w:color="auto" w:fill="EDEDED"/>
          </w:tcPr>
          <w:p>
            <w:pPr>
              <w:spacing w:after="0"/>
              <w:rPr>
                <w:sz w:val="8"/>
                <w:szCs w:val="8"/>
                <w:color w:val="auto"/>
              </w:rPr>
            </w:pPr>
          </w:p>
        </w:tc>
        <w:tc>
          <w:tcPr>
            <w:tcW w:w="5280" w:type="dxa"/>
            <w:vAlign w:val="bottom"/>
            <w:shd w:val="clear" w:color="auto" w:fill="EDEDED"/>
          </w:tcPr>
          <w:p>
            <w:pPr>
              <w:spacing w:after="0"/>
              <w:rPr>
                <w:sz w:val="8"/>
                <w:szCs w:val="8"/>
                <w:color w:val="auto"/>
              </w:rPr>
            </w:pPr>
          </w:p>
        </w:tc>
        <w:tc>
          <w:tcPr>
            <w:tcW w:w="5320" w:type="dxa"/>
            <w:vAlign w:val="bottom"/>
            <w:shd w:val="clear" w:color="auto" w:fill="EDEDED"/>
          </w:tcPr>
          <w:p>
            <w:pPr>
              <w:spacing w:after="0"/>
              <w:rPr>
                <w:sz w:val="8"/>
                <w:szCs w:val="8"/>
                <w:color w:val="auto"/>
              </w:rPr>
            </w:pPr>
          </w:p>
        </w:tc>
      </w:tr>
      <w:tr>
        <w:trPr>
          <w:trHeight w:val="218"/>
        </w:trPr>
        <w:tc>
          <w:tcPr>
            <w:tcW w:w="42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80"/>
              <w:spacing w:after="0"/>
              <w:rPr>
                <w:sz w:val="20"/>
                <w:szCs w:val="20"/>
                <w:color w:val="auto"/>
              </w:rPr>
            </w:pPr>
            <w:r>
              <w:rPr>
                <w:rFonts w:ascii="Arial" w:cs="Arial" w:eastAsia="Arial" w:hAnsi="Arial"/>
                <w:sz w:val="16"/>
                <w:szCs w:val="16"/>
                <w:color w:val="auto"/>
              </w:rPr>
              <w:t>A desire for shareholder return-based metrics in our long-term incentive</w:t>
            </w:r>
          </w:p>
        </w:tc>
        <w:tc>
          <w:tcPr>
            <w:tcW w:w="532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Added relative and absolute Total Shareholder Return (“TSR”)</w:t>
            </w:r>
          </w:p>
        </w:tc>
      </w:tr>
      <w:tr>
        <w:trPr>
          <w:trHeight w:val="195"/>
        </w:trPr>
        <w:tc>
          <w:tcPr>
            <w:tcW w:w="420" w:type="dxa"/>
            <w:vAlign w:val="bottom"/>
          </w:tcPr>
          <w:p>
            <w:pPr>
              <w:spacing w:after="0"/>
              <w:rPr>
                <w:sz w:val="16"/>
                <w:szCs w:val="16"/>
                <w:color w:val="auto"/>
              </w:rPr>
            </w:pPr>
          </w:p>
        </w:tc>
        <w:tc>
          <w:tcPr>
            <w:tcW w:w="5280" w:type="dxa"/>
            <w:vAlign w:val="bottom"/>
          </w:tcPr>
          <w:p>
            <w:pPr>
              <w:ind w:left="80"/>
              <w:spacing w:after="0"/>
              <w:rPr>
                <w:sz w:val="20"/>
                <w:szCs w:val="20"/>
                <w:color w:val="auto"/>
              </w:rPr>
            </w:pPr>
            <w:r>
              <w:rPr>
                <w:rFonts w:ascii="Arial" w:cs="Arial" w:eastAsia="Arial" w:hAnsi="Arial"/>
                <w:sz w:val="16"/>
                <w:szCs w:val="16"/>
                <w:color w:val="auto"/>
              </w:rPr>
              <w:t>program</w:t>
            </w:r>
          </w:p>
        </w:tc>
        <w:tc>
          <w:tcPr>
            <w:tcW w:w="5320" w:type="dxa"/>
            <w:vAlign w:val="bottom"/>
          </w:tcPr>
          <w:p>
            <w:pPr>
              <w:ind w:left="360"/>
              <w:spacing w:after="0"/>
              <w:rPr>
                <w:sz w:val="20"/>
                <w:szCs w:val="20"/>
                <w:color w:val="auto"/>
              </w:rPr>
            </w:pPr>
            <w:r>
              <w:rPr>
                <w:rFonts w:ascii="Arial" w:cs="Arial" w:eastAsia="Arial" w:hAnsi="Arial"/>
                <w:sz w:val="16"/>
                <w:szCs w:val="16"/>
                <w:color w:val="auto"/>
              </w:rPr>
              <w:t>metrics to our PSU awards under the 2020-2022 LTI Plan</w:t>
            </w:r>
          </w:p>
        </w:tc>
      </w:tr>
      <w:tr>
        <w:trPr>
          <w:trHeight w:val="100"/>
        </w:trPr>
        <w:tc>
          <w:tcPr>
            <w:tcW w:w="4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5320" w:type="dxa"/>
            <w:vAlign w:val="bottom"/>
          </w:tcPr>
          <w:p>
            <w:pPr>
              <w:spacing w:after="0"/>
              <w:rPr>
                <w:sz w:val="8"/>
                <w:szCs w:val="8"/>
                <w:color w:val="auto"/>
              </w:rPr>
            </w:pPr>
          </w:p>
        </w:tc>
      </w:tr>
      <w:tr>
        <w:trPr>
          <w:trHeight w:val="218"/>
        </w:trPr>
        <w:tc>
          <w:tcPr>
            <w:tcW w:w="420" w:type="dxa"/>
            <w:vAlign w:val="bottom"/>
            <w:shd w:val="clear" w:color="auto" w:fill="EDEDED"/>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shd w:val="clear" w:color="auto" w:fill="EDEDED"/>
          </w:tcPr>
          <w:p>
            <w:pPr>
              <w:ind w:left="80"/>
              <w:spacing w:after="0"/>
              <w:rPr>
                <w:sz w:val="20"/>
                <w:szCs w:val="20"/>
                <w:color w:val="auto"/>
              </w:rPr>
            </w:pPr>
            <w:r>
              <w:rPr>
                <w:rFonts w:ascii="Arial" w:cs="Arial" w:eastAsia="Arial" w:hAnsi="Arial"/>
                <w:sz w:val="16"/>
                <w:szCs w:val="16"/>
                <w:color w:val="auto"/>
              </w:rPr>
              <w:t>General support for the performance metrics in our ICP, but a request</w:t>
            </w:r>
          </w:p>
        </w:tc>
        <w:tc>
          <w:tcPr>
            <w:tcW w:w="5320" w:type="dxa"/>
            <w:vAlign w:val="bottom"/>
            <w:shd w:val="clear" w:color="auto" w:fill="EDEDED"/>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Shifted weighting of Adjusted Free Cash Flow Conversion metric</w:t>
            </w:r>
          </w:p>
        </w:tc>
      </w:tr>
      <w:tr>
        <w:trPr>
          <w:trHeight w:val="195"/>
        </w:trPr>
        <w:tc>
          <w:tcPr>
            <w:tcW w:w="420" w:type="dxa"/>
            <w:vAlign w:val="bottom"/>
            <w:shd w:val="clear" w:color="auto" w:fill="EDEDED"/>
          </w:tcPr>
          <w:p>
            <w:pPr>
              <w:spacing w:after="0"/>
              <w:rPr>
                <w:sz w:val="16"/>
                <w:szCs w:val="16"/>
                <w:color w:val="auto"/>
              </w:rPr>
            </w:pPr>
          </w:p>
        </w:tc>
        <w:tc>
          <w:tcPr>
            <w:tcW w:w="5280" w:type="dxa"/>
            <w:vAlign w:val="bottom"/>
            <w:shd w:val="clear" w:color="auto" w:fill="EDEDED"/>
          </w:tcPr>
          <w:p>
            <w:pPr>
              <w:ind w:left="80"/>
              <w:spacing w:after="0"/>
              <w:rPr>
                <w:sz w:val="20"/>
                <w:szCs w:val="20"/>
                <w:color w:val="auto"/>
              </w:rPr>
            </w:pPr>
            <w:r>
              <w:rPr>
                <w:rFonts w:ascii="Arial" w:cs="Arial" w:eastAsia="Arial" w:hAnsi="Arial"/>
                <w:sz w:val="16"/>
                <w:szCs w:val="16"/>
                <w:color w:val="auto"/>
              </w:rPr>
              <w:t>that we continue to emphasize free cash flow</w:t>
            </w:r>
          </w:p>
        </w:tc>
        <w:tc>
          <w:tcPr>
            <w:tcW w:w="5320" w:type="dxa"/>
            <w:vAlign w:val="bottom"/>
            <w:shd w:val="clear" w:color="auto" w:fill="EDEDED"/>
          </w:tcPr>
          <w:p>
            <w:pPr>
              <w:ind w:left="360"/>
              <w:spacing w:after="0"/>
              <w:rPr>
                <w:sz w:val="20"/>
                <w:szCs w:val="20"/>
                <w:color w:val="auto"/>
              </w:rPr>
            </w:pPr>
            <w:r>
              <w:rPr>
                <w:rFonts w:ascii="Arial" w:cs="Arial" w:eastAsia="Arial" w:hAnsi="Arial"/>
                <w:sz w:val="16"/>
                <w:szCs w:val="16"/>
                <w:color w:val="auto"/>
              </w:rPr>
              <w:t>from 40% to 60% in the ICP</w:t>
            </w:r>
          </w:p>
        </w:tc>
      </w:tr>
      <w:tr>
        <w:trPr>
          <w:trHeight w:val="100"/>
        </w:trPr>
        <w:tc>
          <w:tcPr>
            <w:tcW w:w="420" w:type="dxa"/>
            <w:vAlign w:val="bottom"/>
            <w:shd w:val="clear" w:color="auto" w:fill="EDEDED"/>
          </w:tcPr>
          <w:p>
            <w:pPr>
              <w:spacing w:after="0"/>
              <w:rPr>
                <w:sz w:val="8"/>
                <w:szCs w:val="8"/>
                <w:color w:val="auto"/>
              </w:rPr>
            </w:pPr>
          </w:p>
        </w:tc>
        <w:tc>
          <w:tcPr>
            <w:tcW w:w="5280" w:type="dxa"/>
            <w:vAlign w:val="bottom"/>
            <w:shd w:val="clear" w:color="auto" w:fill="EDEDED"/>
          </w:tcPr>
          <w:p>
            <w:pPr>
              <w:spacing w:after="0"/>
              <w:rPr>
                <w:sz w:val="8"/>
                <w:szCs w:val="8"/>
                <w:color w:val="auto"/>
              </w:rPr>
            </w:pPr>
          </w:p>
        </w:tc>
        <w:tc>
          <w:tcPr>
            <w:tcW w:w="5320" w:type="dxa"/>
            <w:vAlign w:val="bottom"/>
            <w:shd w:val="clear" w:color="auto" w:fill="EDEDED"/>
          </w:tcPr>
          <w:p>
            <w:pPr>
              <w:spacing w:after="0"/>
              <w:rPr>
                <w:sz w:val="8"/>
                <w:szCs w:val="8"/>
                <w:color w:val="auto"/>
              </w:rPr>
            </w:pPr>
          </w:p>
        </w:tc>
      </w:tr>
      <w:tr>
        <w:trPr>
          <w:trHeight w:val="218"/>
        </w:trPr>
        <w:tc>
          <w:tcPr>
            <w:tcW w:w="42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80"/>
              <w:spacing w:after="0"/>
              <w:rPr>
                <w:sz w:val="20"/>
                <w:szCs w:val="20"/>
                <w:color w:val="auto"/>
              </w:rPr>
            </w:pPr>
            <w:r>
              <w:rPr>
                <w:rFonts w:ascii="Arial" w:cs="Arial" w:eastAsia="Arial" w:hAnsi="Arial"/>
                <w:sz w:val="16"/>
                <w:szCs w:val="16"/>
                <w:color w:val="auto"/>
              </w:rPr>
              <w:t>Concern over duplication of metrics in the ICP and LTI Plans</w:t>
            </w:r>
          </w:p>
        </w:tc>
        <w:tc>
          <w:tcPr>
            <w:tcW w:w="5320" w:type="dxa"/>
            <w:vAlign w:val="bottom"/>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Differentiated and reduced the overlap of metrics under the ICP and</w:t>
            </w:r>
          </w:p>
        </w:tc>
      </w:tr>
      <w:tr>
        <w:trPr>
          <w:trHeight w:val="189"/>
        </w:trPr>
        <w:tc>
          <w:tcPr>
            <w:tcW w:w="4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5320" w:type="dxa"/>
            <w:vAlign w:val="bottom"/>
          </w:tcPr>
          <w:p>
            <w:pPr>
              <w:ind w:left="360"/>
              <w:spacing w:after="0"/>
              <w:rPr>
                <w:sz w:val="20"/>
                <w:szCs w:val="20"/>
                <w:color w:val="auto"/>
              </w:rPr>
            </w:pPr>
            <w:r>
              <w:rPr>
                <w:rFonts w:ascii="Arial" w:cs="Arial" w:eastAsia="Arial" w:hAnsi="Arial"/>
                <w:sz w:val="16"/>
                <w:szCs w:val="16"/>
                <w:color w:val="auto"/>
              </w:rPr>
              <w:t>LTI Plan by eliminating Organic Revenue Growth in the ICP and</w:t>
            </w:r>
          </w:p>
        </w:tc>
      </w:tr>
      <w:tr>
        <w:trPr>
          <w:trHeight w:val="195"/>
        </w:trPr>
        <w:tc>
          <w:tcPr>
            <w:tcW w:w="4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5320" w:type="dxa"/>
            <w:vAlign w:val="bottom"/>
          </w:tcPr>
          <w:p>
            <w:pPr>
              <w:ind w:left="360"/>
              <w:spacing w:after="0"/>
              <w:rPr>
                <w:sz w:val="20"/>
                <w:szCs w:val="20"/>
                <w:color w:val="auto"/>
              </w:rPr>
            </w:pPr>
            <w:r>
              <w:rPr>
                <w:rFonts w:ascii="Arial" w:cs="Arial" w:eastAsia="Arial" w:hAnsi="Arial"/>
                <w:sz w:val="16"/>
                <w:szCs w:val="16"/>
                <w:color w:val="auto"/>
              </w:rPr>
              <w:t>adding relative and absolute TSR in the LTI Plan</w:t>
            </w: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64" w:lineRule="exact"/>
        <w:rPr>
          <w:sz w:val="20"/>
          <w:szCs w:val="20"/>
          <w:color w:val="auto"/>
        </w:rPr>
      </w:pPr>
    </w:p>
    <w:p>
      <w:pPr>
        <w:ind w:left="620" w:right="334" w:hanging="433"/>
        <w:spacing w:after="0" w:line="260" w:lineRule="auto"/>
        <w:tabs>
          <w:tab w:leader="none" w:pos="620" w:val="left"/>
        </w:tabs>
        <w:numPr>
          <w:ilvl w:val="0"/>
          <w:numId w:val="30"/>
        </w:numPr>
        <w:rPr>
          <w:rFonts w:ascii="MS PGothic" w:cs="MS PGothic" w:eastAsia="MS PGothic" w:hAnsi="MS PGothic"/>
          <w:sz w:val="16"/>
          <w:szCs w:val="16"/>
          <w:color w:val="auto"/>
        </w:rPr>
      </w:pPr>
      <w:r>
        <w:rPr>
          <w:rFonts w:ascii="Arial" w:cs="Arial" w:eastAsia="Arial" w:hAnsi="Arial"/>
          <w:sz w:val="16"/>
          <w:szCs w:val="16"/>
          <w:color w:val="auto"/>
        </w:rPr>
        <w:t>Concern about how M&amp;A might be treated for performance measurement purposes under our incentive programs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86"/>
        <w:spacing w:after="0"/>
        <w:rPr>
          <w:sz w:val="20"/>
          <w:szCs w:val="20"/>
          <w:color w:val="auto"/>
        </w:rPr>
      </w:pPr>
      <w:r>
        <w:rPr>
          <w:rFonts w:ascii="Arial" w:cs="Arial" w:eastAsia="Arial" w:hAnsi="Arial"/>
          <w:sz w:val="16"/>
          <w:szCs w:val="16"/>
          <w:color w:val="auto"/>
        </w:rPr>
        <w:t>Confirmed that our performance metrics are measured on an organic</w:t>
      </w:r>
    </w:p>
    <w:p>
      <w:pPr>
        <w:spacing w:after="0" w:line="17" w:lineRule="exact"/>
        <w:rPr>
          <w:sz w:val="20"/>
          <w:szCs w:val="20"/>
          <w:color w:val="auto"/>
        </w:rPr>
      </w:pPr>
    </w:p>
    <w:p>
      <w:pPr>
        <w:ind w:left="286" w:hanging="286"/>
        <w:spacing w:after="0"/>
        <w:tabs>
          <w:tab w:leader="none" w:pos="286" w:val="left"/>
        </w:tabs>
        <w:numPr>
          <w:ilvl w:val="0"/>
          <w:numId w:val="31"/>
        </w:numPr>
        <w:rPr>
          <w:rFonts w:ascii="MS PGothic" w:cs="MS PGothic" w:eastAsia="MS PGothic" w:hAnsi="MS PGothic"/>
          <w:sz w:val="16"/>
          <w:szCs w:val="16"/>
          <w:color w:val="auto"/>
        </w:rPr>
      </w:pPr>
      <w:r>
        <w:rPr>
          <w:rFonts w:ascii="Arial" w:cs="Arial" w:eastAsia="Arial" w:hAnsi="Arial"/>
          <w:sz w:val="16"/>
          <w:szCs w:val="16"/>
          <w:color w:val="auto"/>
        </w:rPr>
        <w:t>basis and/or adjusted for M&amp;A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1905</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174" w:space="720"/>
            <w:col w:w="5246"/>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We discuss the changes in more detail under “Company Compensation Programs for Fiscal 2020” below on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6254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24</w:t>
      </w:r>
    </w:p>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Determination of Process</w:t>
      </w:r>
    </w:p>
    <w:p>
      <w:pPr>
        <w:spacing w:after="0" w:line="209"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Our Compensation Committee oversees and administers our executive compensation program for 2019, with input from our management team and also its independent compensation consultant.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Process and Timeline for Designing and Delivering Compensation</w:t>
      </w:r>
    </w:p>
    <w:p>
      <w:pPr>
        <w:spacing w:after="0" w:line="128"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The Compensation Committee is responsible for establishing and administering programs and procedures for annual and long-term executive compensation and assessing organizational structure and the development of our executives. Additional details on the Compensation Committee’s duties can be found on page 17. The Compensation Committee follows a robust process to review and approve all compensation decisions regarding the Named Executive Officers. These decisions are informed by peer group and market data and supported by the review and advice of an independent compensation consultant.</w:t>
      </w:r>
    </w:p>
    <w:p>
      <w:pPr>
        <w:spacing w:after="0" w:line="95"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auto"/>
        </w:rPr>
        <w:t>The Compensation Committee uses an annual calendar of planned meetings, and in 2019, the Compensation Committee performed a thorough review of compensation design and levels for our Named Executive Officers. Below were the main agenda items in 2019 for review and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22199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03415" cy="2219960"/>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40" w:type="dxa"/>
            <w:vAlign w:val="bottom"/>
            <w:shd w:val="clear" w:color="auto" w:fill="CCCCCC"/>
          </w:tcPr>
          <w:p>
            <w:pPr>
              <w:ind w:left="240"/>
              <w:spacing w:after="0"/>
              <w:rPr>
                <w:sz w:val="20"/>
                <w:szCs w:val="20"/>
                <w:color w:val="auto"/>
              </w:rPr>
            </w:pPr>
            <w:r>
              <w:rPr>
                <w:rFonts w:ascii="Arial" w:cs="Arial" w:eastAsia="Arial" w:hAnsi="Arial"/>
                <w:sz w:val="16"/>
                <w:szCs w:val="16"/>
                <w:color w:val="auto"/>
              </w:rPr>
              <w:t>First Quarter</w:t>
            </w: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Named Executive Officers’ 2018 performance assessments</w:t>
            </w:r>
          </w:p>
        </w:tc>
      </w:tr>
      <w:tr>
        <w:trPr>
          <w:trHeight w:val="189"/>
        </w:trPr>
        <w:tc>
          <w:tcPr>
            <w:tcW w:w="1440" w:type="dxa"/>
            <w:vAlign w:val="bottom"/>
            <w:shd w:val="clear" w:color="auto" w:fill="CCCCCC"/>
          </w:tcPr>
          <w:p>
            <w:pPr>
              <w:spacing w:after="0"/>
              <w:rPr>
                <w:sz w:val="16"/>
                <w:szCs w:val="16"/>
                <w:color w:val="auto"/>
              </w:rPr>
            </w:pPr>
          </w:p>
        </w:tc>
        <w:tc>
          <w:tcPr>
            <w:tcW w:w="600" w:type="dxa"/>
            <w:vAlign w:val="bottom"/>
            <w:shd w:val="clear" w:color="auto" w:fill="CCCCCC"/>
          </w:tcPr>
          <w:p>
            <w:pPr>
              <w:ind w:left="220"/>
              <w:spacing w:after="0"/>
              <w:rPr>
                <w:sz w:val="20"/>
                <w:szCs w:val="20"/>
                <w:color w:val="auto"/>
              </w:rPr>
            </w:pPr>
            <w:r>
              <w:rPr>
                <w:rFonts w:ascii="Arial" w:cs="Arial" w:eastAsia="Arial" w:hAnsi="Arial"/>
                <w:sz w:val="16"/>
                <w:szCs w:val="16"/>
                <w:color w:val="auto"/>
              </w:rPr>
              <w:t>2018</w:t>
            </w:r>
          </w:p>
        </w:tc>
        <w:tc>
          <w:tcPr>
            <w:tcW w:w="8980" w:type="dxa"/>
            <w:vAlign w:val="bottom"/>
            <w:shd w:val="clear" w:color="auto" w:fill="CCCCCC"/>
          </w:tcPr>
          <w:p>
            <w:pPr>
              <w:ind w:left="20"/>
              <w:spacing w:after="0"/>
              <w:rPr>
                <w:sz w:val="20"/>
                <w:szCs w:val="20"/>
                <w:color w:val="auto"/>
              </w:rPr>
            </w:pPr>
            <w:r>
              <w:rPr>
                <w:rFonts w:ascii="Arial" w:cs="Arial" w:eastAsia="Arial" w:hAnsi="Arial"/>
                <w:sz w:val="16"/>
                <w:szCs w:val="16"/>
                <w:color w:val="auto"/>
              </w:rPr>
              <w:t>ICP metrics achievement and payout</w:t>
            </w:r>
          </w:p>
        </w:tc>
      </w:tr>
      <w:tr>
        <w:trPr>
          <w:trHeight w:val="189"/>
        </w:trPr>
        <w:tc>
          <w:tcPr>
            <w:tcW w:w="1440" w:type="dxa"/>
            <w:vAlign w:val="bottom"/>
            <w:shd w:val="clear" w:color="auto" w:fill="CCCCCC"/>
          </w:tcPr>
          <w:p>
            <w:pPr>
              <w:spacing w:after="0"/>
              <w:rPr>
                <w:sz w:val="16"/>
                <w:szCs w:val="16"/>
                <w:color w:val="auto"/>
              </w:rPr>
            </w:pPr>
          </w:p>
        </w:tc>
        <w:tc>
          <w:tcPr>
            <w:tcW w:w="600" w:type="dxa"/>
            <w:vAlign w:val="bottom"/>
            <w:shd w:val="clear" w:color="auto" w:fill="CCCCCC"/>
          </w:tcPr>
          <w:p>
            <w:pPr>
              <w:ind w:left="220"/>
              <w:spacing w:after="0"/>
              <w:rPr>
                <w:sz w:val="20"/>
                <w:szCs w:val="20"/>
                <w:color w:val="auto"/>
              </w:rPr>
            </w:pPr>
            <w:r>
              <w:rPr>
                <w:rFonts w:ascii="Arial" w:cs="Arial" w:eastAsia="Arial" w:hAnsi="Arial"/>
                <w:sz w:val="16"/>
                <w:szCs w:val="16"/>
                <w:color w:val="auto"/>
              </w:rPr>
              <w:t>2019</w:t>
            </w:r>
          </w:p>
        </w:tc>
        <w:tc>
          <w:tcPr>
            <w:tcW w:w="8980" w:type="dxa"/>
            <w:vAlign w:val="bottom"/>
            <w:shd w:val="clear" w:color="auto" w:fill="CCCCCC"/>
          </w:tcPr>
          <w:p>
            <w:pPr>
              <w:ind w:left="20"/>
              <w:spacing w:after="0"/>
              <w:rPr>
                <w:sz w:val="20"/>
                <w:szCs w:val="20"/>
                <w:color w:val="auto"/>
              </w:rPr>
            </w:pPr>
            <w:r>
              <w:rPr>
                <w:rFonts w:ascii="Arial" w:cs="Arial" w:eastAsia="Arial" w:hAnsi="Arial"/>
                <w:sz w:val="16"/>
                <w:szCs w:val="16"/>
                <w:color w:val="auto"/>
              </w:rPr>
              <w:t>ICP metrics and targets</w:t>
            </w:r>
          </w:p>
        </w:tc>
      </w:tr>
      <w:tr>
        <w:trPr>
          <w:trHeight w:val="189"/>
        </w:trPr>
        <w:tc>
          <w:tcPr>
            <w:tcW w:w="1440" w:type="dxa"/>
            <w:vAlign w:val="bottom"/>
            <w:shd w:val="clear" w:color="auto" w:fill="CCCCCC"/>
          </w:tcPr>
          <w:p>
            <w:pPr>
              <w:spacing w:after="0"/>
              <w:rPr>
                <w:sz w:val="16"/>
                <w:szCs w:val="16"/>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2019-2021 LTI Plan design, metrics and targets</w:t>
            </w:r>
          </w:p>
        </w:tc>
      </w:tr>
      <w:tr>
        <w:trPr>
          <w:trHeight w:val="189"/>
        </w:trPr>
        <w:tc>
          <w:tcPr>
            <w:tcW w:w="1440" w:type="dxa"/>
            <w:vAlign w:val="bottom"/>
            <w:shd w:val="clear" w:color="auto" w:fill="CCCCCC"/>
          </w:tcPr>
          <w:p>
            <w:pPr>
              <w:spacing w:after="0"/>
              <w:rPr>
                <w:sz w:val="16"/>
                <w:szCs w:val="16"/>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Share ownership guidelines for Named Executive Officers and Board of Directors</w:t>
            </w:r>
          </w:p>
        </w:tc>
      </w:tr>
      <w:tr>
        <w:trPr>
          <w:trHeight w:val="189"/>
        </w:trPr>
        <w:tc>
          <w:tcPr>
            <w:tcW w:w="1440" w:type="dxa"/>
            <w:vAlign w:val="bottom"/>
            <w:shd w:val="clear" w:color="auto" w:fill="CCCCCC"/>
          </w:tcPr>
          <w:p>
            <w:pPr>
              <w:spacing w:after="0"/>
              <w:rPr>
                <w:sz w:val="16"/>
                <w:szCs w:val="16"/>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2019 compensation peer group</w:t>
            </w:r>
          </w:p>
        </w:tc>
      </w:tr>
      <w:tr>
        <w:trPr>
          <w:trHeight w:val="189"/>
        </w:trPr>
        <w:tc>
          <w:tcPr>
            <w:tcW w:w="1440" w:type="dxa"/>
            <w:vAlign w:val="bottom"/>
            <w:shd w:val="clear" w:color="auto" w:fill="CCCCCC"/>
          </w:tcPr>
          <w:p>
            <w:pPr>
              <w:spacing w:after="0"/>
              <w:rPr>
                <w:sz w:val="16"/>
                <w:szCs w:val="16"/>
                <w:color w:val="auto"/>
              </w:rPr>
            </w:pPr>
          </w:p>
        </w:tc>
        <w:tc>
          <w:tcPr>
            <w:tcW w:w="600" w:type="dxa"/>
            <w:vAlign w:val="bottom"/>
            <w:shd w:val="clear" w:color="auto" w:fill="CCCCCC"/>
          </w:tcPr>
          <w:p>
            <w:pPr>
              <w:ind w:left="220"/>
              <w:spacing w:after="0"/>
              <w:rPr>
                <w:sz w:val="20"/>
                <w:szCs w:val="20"/>
                <w:color w:val="auto"/>
              </w:rPr>
            </w:pPr>
            <w:r>
              <w:rPr>
                <w:rFonts w:ascii="Arial" w:cs="Arial" w:eastAsia="Arial" w:hAnsi="Arial"/>
                <w:sz w:val="16"/>
                <w:szCs w:val="16"/>
                <w:color w:val="auto"/>
              </w:rPr>
              <w:t>2019</w:t>
            </w:r>
          </w:p>
        </w:tc>
        <w:tc>
          <w:tcPr>
            <w:tcW w:w="8980" w:type="dxa"/>
            <w:vAlign w:val="bottom"/>
            <w:shd w:val="clear" w:color="auto" w:fill="CCCCCC"/>
          </w:tcPr>
          <w:p>
            <w:pPr>
              <w:ind w:left="20"/>
              <w:spacing w:after="0"/>
              <w:rPr>
                <w:sz w:val="20"/>
                <w:szCs w:val="20"/>
                <w:color w:val="auto"/>
              </w:rPr>
            </w:pPr>
            <w:r>
              <w:rPr>
                <w:rFonts w:ascii="Arial" w:cs="Arial" w:eastAsia="Arial" w:hAnsi="Arial"/>
                <w:sz w:val="16"/>
                <w:szCs w:val="16"/>
                <w:color w:val="auto"/>
              </w:rPr>
              <w:t>Named Executive Officers’ annual total direct compensation</w:t>
            </w:r>
          </w:p>
        </w:tc>
      </w:tr>
      <w:tr>
        <w:trPr>
          <w:trHeight w:val="198"/>
        </w:trPr>
        <w:tc>
          <w:tcPr>
            <w:tcW w:w="1440" w:type="dxa"/>
            <w:vAlign w:val="bottom"/>
            <w:tcBorders>
              <w:bottom w:val="single" w:sz="8" w:color="auto"/>
            </w:tcBorders>
            <w:shd w:val="clear" w:color="auto" w:fill="CCCCCC"/>
          </w:tcPr>
          <w:p>
            <w:pPr>
              <w:spacing w:after="0"/>
              <w:rPr>
                <w:sz w:val="17"/>
                <w:szCs w:val="17"/>
                <w:color w:val="auto"/>
              </w:rPr>
            </w:pPr>
          </w:p>
        </w:tc>
        <w:tc>
          <w:tcPr>
            <w:tcW w:w="9580" w:type="dxa"/>
            <w:vAlign w:val="bottom"/>
            <w:tcBorders>
              <w:bottom w:val="single" w:sz="8" w:color="auto"/>
            </w:tcBorders>
            <w:gridSpan w:val="2"/>
            <w:shd w:val="clear" w:color="auto" w:fill="CCCCCC"/>
          </w:tcPr>
          <w:p>
            <w:pPr>
              <w:ind w:left="220"/>
              <w:spacing w:after="0"/>
              <w:rPr>
                <w:sz w:val="20"/>
                <w:szCs w:val="20"/>
                <w:color w:val="auto"/>
              </w:rPr>
            </w:pPr>
            <w:r>
              <w:rPr>
                <w:rFonts w:ascii="Arial" w:cs="Arial" w:eastAsia="Arial" w:hAnsi="Arial"/>
                <w:sz w:val="16"/>
                <w:szCs w:val="16"/>
                <w:color w:val="auto"/>
              </w:rPr>
              <w:t>2019 annual equity grants</w:t>
            </w:r>
          </w:p>
        </w:tc>
      </w:tr>
      <w:tr>
        <w:trPr>
          <w:trHeight w:val="187"/>
        </w:trPr>
        <w:tc>
          <w:tcPr>
            <w:tcW w:w="1440" w:type="dxa"/>
            <w:vAlign w:val="bottom"/>
            <w:shd w:val="clear" w:color="auto" w:fill="CCCCCC"/>
          </w:tcPr>
          <w:p>
            <w:pPr>
              <w:ind w:left="240"/>
              <w:spacing w:after="0"/>
              <w:rPr>
                <w:sz w:val="20"/>
                <w:szCs w:val="20"/>
                <w:color w:val="auto"/>
              </w:rPr>
            </w:pPr>
            <w:r>
              <w:rPr>
                <w:rFonts w:ascii="Arial" w:cs="Arial" w:eastAsia="Arial" w:hAnsi="Arial"/>
                <w:sz w:val="16"/>
                <w:szCs w:val="16"/>
                <w:color w:val="auto"/>
              </w:rPr>
              <w:t>Second and</w:t>
            </w: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Compensation Discussion &amp; Analysis and Compensation Committee Report</w:t>
            </w:r>
          </w:p>
        </w:tc>
      </w:tr>
      <w:tr>
        <w:trPr>
          <w:trHeight w:val="189"/>
        </w:trPr>
        <w:tc>
          <w:tcPr>
            <w:tcW w:w="1440" w:type="dxa"/>
            <w:vAlign w:val="bottom"/>
            <w:shd w:val="clear" w:color="auto" w:fill="CCCCCC"/>
          </w:tcPr>
          <w:p>
            <w:pPr>
              <w:ind w:left="240"/>
              <w:spacing w:after="0"/>
              <w:rPr>
                <w:sz w:val="20"/>
                <w:szCs w:val="20"/>
                <w:color w:val="auto"/>
              </w:rPr>
            </w:pPr>
            <w:r>
              <w:rPr>
                <w:rFonts w:ascii="Arial" w:cs="Arial" w:eastAsia="Arial" w:hAnsi="Arial"/>
                <w:sz w:val="16"/>
                <w:szCs w:val="16"/>
                <w:color w:val="auto"/>
              </w:rPr>
              <w:t>Third Quarter</w:t>
            </w: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Summary of annual compensation cycle</w:t>
            </w:r>
          </w:p>
        </w:tc>
      </w:tr>
      <w:tr>
        <w:trPr>
          <w:trHeight w:val="189"/>
        </w:trPr>
        <w:tc>
          <w:tcPr>
            <w:tcW w:w="1440" w:type="dxa"/>
            <w:vAlign w:val="bottom"/>
            <w:shd w:val="clear" w:color="auto" w:fill="CCCCCC"/>
          </w:tcPr>
          <w:p>
            <w:pPr>
              <w:spacing w:after="0"/>
              <w:rPr>
                <w:sz w:val="16"/>
                <w:szCs w:val="16"/>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Share utilization update</w:t>
            </w:r>
          </w:p>
        </w:tc>
      </w:tr>
      <w:tr>
        <w:trPr>
          <w:trHeight w:val="198"/>
        </w:trPr>
        <w:tc>
          <w:tcPr>
            <w:tcW w:w="1440" w:type="dxa"/>
            <w:vAlign w:val="bottom"/>
            <w:tcBorders>
              <w:bottom w:val="single" w:sz="8" w:color="auto"/>
            </w:tcBorders>
            <w:shd w:val="clear" w:color="auto" w:fill="CCCCCC"/>
          </w:tcPr>
          <w:p>
            <w:pPr>
              <w:spacing w:after="0"/>
              <w:rPr>
                <w:sz w:val="17"/>
                <w:szCs w:val="17"/>
                <w:color w:val="auto"/>
              </w:rPr>
            </w:pPr>
          </w:p>
        </w:tc>
        <w:tc>
          <w:tcPr>
            <w:tcW w:w="9580" w:type="dxa"/>
            <w:vAlign w:val="bottom"/>
            <w:tcBorders>
              <w:bottom w:val="single" w:sz="8" w:color="auto"/>
            </w:tcBorders>
            <w:gridSpan w:val="2"/>
            <w:shd w:val="clear" w:color="auto" w:fill="CCCCCC"/>
          </w:tcPr>
          <w:p>
            <w:pPr>
              <w:ind w:left="220"/>
              <w:spacing w:after="0"/>
              <w:rPr>
                <w:sz w:val="20"/>
                <w:szCs w:val="20"/>
                <w:color w:val="auto"/>
              </w:rPr>
            </w:pPr>
            <w:r>
              <w:rPr>
                <w:rFonts w:ascii="Arial" w:cs="Arial" w:eastAsia="Arial" w:hAnsi="Arial"/>
                <w:sz w:val="16"/>
                <w:szCs w:val="16"/>
                <w:color w:val="auto"/>
              </w:rPr>
              <w:t>Updated 2019 compensation peer group</w:t>
            </w:r>
          </w:p>
        </w:tc>
      </w:tr>
      <w:tr>
        <w:trPr>
          <w:trHeight w:val="187"/>
        </w:trPr>
        <w:tc>
          <w:tcPr>
            <w:tcW w:w="1440" w:type="dxa"/>
            <w:vAlign w:val="bottom"/>
            <w:shd w:val="clear" w:color="auto" w:fill="CCCCCC"/>
          </w:tcPr>
          <w:p>
            <w:pPr>
              <w:ind w:left="240"/>
              <w:spacing w:after="0"/>
              <w:rPr>
                <w:sz w:val="20"/>
                <w:szCs w:val="20"/>
                <w:color w:val="auto"/>
              </w:rPr>
            </w:pPr>
            <w:r>
              <w:rPr>
                <w:rFonts w:ascii="Arial" w:cs="Arial" w:eastAsia="Arial" w:hAnsi="Arial"/>
                <w:sz w:val="16"/>
                <w:szCs w:val="16"/>
                <w:color w:val="auto"/>
              </w:rPr>
              <w:t>Fourth  Quarter</w:t>
            </w: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Compensation Committee charter</w:t>
            </w:r>
          </w:p>
        </w:tc>
      </w:tr>
      <w:tr>
        <w:trPr>
          <w:trHeight w:val="189"/>
        </w:trPr>
        <w:tc>
          <w:tcPr>
            <w:tcW w:w="1440" w:type="dxa"/>
            <w:vAlign w:val="bottom"/>
            <w:shd w:val="clear" w:color="auto" w:fill="CCCCCC"/>
          </w:tcPr>
          <w:p>
            <w:pPr>
              <w:spacing w:after="0"/>
              <w:rPr>
                <w:sz w:val="16"/>
                <w:szCs w:val="16"/>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Executive compensation trends</w:t>
            </w:r>
          </w:p>
        </w:tc>
      </w:tr>
      <w:tr>
        <w:trPr>
          <w:trHeight w:val="189"/>
        </w:trPr>
        <w:tc>
          <w:tcPr>
            <w:tcW w:w="1440" w:type="dxa"/>
            <w:vAlign w:val="bottom"/>
            <w:shd w:val="clear" w:color="auto" w:fill="CCCCCC"/>
          </w:tcPr>
          <w:p>
            <w:pPr>
              <w:spacing w:after="0"/>
              <w:rPr>
                <w:sz w:val="16"/>
                <w:szCs w:val="16"/>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Mid-cycle incentive plan performance updates</w:t>
            </w:r>
          </w:p>
        </w:tc>
      </w:tr>
      <w:tr>
        <w:trPr>
          <w:trHeight w:val="189"/>
        </w:trPr>
        <w:tc>
          <w:tcPr>
            <w:tcW w:w="1440" w:type="dxa"/>
            <w:vAlign w:val="bottom"/>
            <w:shd w:val="clear" w:color="auto" w:fill="CCCCCC"/>
          </w:tcPr>
          <w:p>
            <w:pPr>
              <w:spacing w:after="0"/>
              <w:rPr>
                <w:sz w:val="16"/>
                <w:szCs w:val="16"/>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2020 compensation peer group</w:t>
            </w:r>
          </w:p>
        </w:tc>
      </w:tr>
      <w:tr>
        <w:trPr>
          <w:trHeight w:val="189"/>
        </w:trPr>
        <w:tc>
          <w:tcPr>
            <w:tcW w:w="1440" w:type="dxa"/>
            <w:vAlign w:val="bottom"/>
            <w:shd w:val="clear" w:color="auto" w:fill="CCCCCC"/>
          </w:tcPr>
          <w:p>
            <w:pPr>
              <w:spacing w:after="0"/>
              <w:rPr>
                <w:sz w:val="16"/>
                <w:szCs w:val="16"/>
                <w:color w:val="auto"/>
              </w:rPr>
            </w:pPr>
          </w:p>
        </w:tc>
        <w:tc>
          <w:tcPr>
            <w:tcW w:w="600" w:type="dxa"/>
            <w:vAlign w:val="bottom"/>
            <w:shd w:val="clear" w:color="auto" w:fill="CCCCCC"/>
          </w:tcPr>
          <w:p>
            <w:pPr>
              <w:ind w:left="220"/>
              <w:spacing w:after="0"/>
              <w:rPr>
                <w:sz w:val="20"/>
                <w:szCs w:val="20"/>
                <w:color w:val="auto"/>
              </w:rPr>
            </w:pPr>
            <w:r>
              <w:rPr>
                <w:rFonts w:ascii="Arial" w:cs="Arial" w:eastAsia="Arial" w:hAnsi="Arial"/>
                <w:sz w:val="16"/>
                <w:szCs w:val="16"/>
                <w:color w:val="auto"/>
              </w:rPr>
              <w:t>2020</w:t>
            </w:r>
          </w:p>
        </w:tc>
        <w:tc>
          <w:tcPr>
            <w:tcW w:w="8980" w:type="dxa"/>
            <w:vAlign w:val="bottom"/>
            <w:shd w:val="clear" w:color="auto" w:fill="CCCCCC"/>
          </w:tcPr>
          <w:p>
            <w:pPr>
              <w:ind w:left="20"/>
              <w:spacing w:after="0"/>
              <w:rPr>
                <w:sz w:val="20"/>
                <w:szCs w:val="20"/>
                <w:color w:val="auto"/>
              </w:rPr>
            </w:pPr>
            <w:r>
              <w:rPr>
                <w:rFonts w:ascii="Arial" w:cs="Arial" w:eastAsia="Arial" w:hAnsi="Arial"/>
                <w:sz w:val="16"/>
                <w:szCs w:val="16"/>
                <w:color w:val="auto"/>
              </w:rPr>
              <w:t>ICP and 2020-2022 LTI Plan design</w:t>
            </w:r>
          </w:p>
        </w:tc>
      </w:tr>
      <w:tr>
        <w:trPr>
          <w:trHeight w:val="201"/>
        </w:trPr>
        <w:tc>
          <w:tcPr>
            <w:tcW w:w="1440" w:type="dxa"/>
            <w:vAlign w:val="bottom"/>
            <w:shd w:val="clear" w:color="auto" w:fill="CCCCCC"/>
          </w:tcPr>
          <w:p>
            <w:pPr>
              <w:spacing w:after="0"/>
              <w:rPr>
                <w:sz w:val="17"/>
                <w:szCs w:val="17"/>
                <w:color w:val="auto"/>
              </w:rPr>
            </w:pPr>
          </w:p>
        </w:tc>
        <w:tc>
          <w:tcPr>
            <w:tcW w:w="9580" w:type="dxa"/>
            <w:vAlign w:val="bottom"/>
            <w:gridSpan w:val="2"/>
            <w:shd w:val="clear" w:color="auto" w:fill="CCCCCC"/>
          </w:tcPr>
          <w:p>
            <w:pPr>
              <w:ind w:left="220"/>
              <w:spacing w:after="0"/>
              <w:rPr>
                <w:sz w:val="20"/>
                <w:szCs w:val="20"/>
                <w:color w:val="auto"/>
              </w:rPr>
            </w:pPr>
            <w:r>
              <w:rPr>
                <w:rFonts w:ascii="Arial" w:cs="Arial" w:eastAsia="Arial" w:hAnsi="Arial"/>
                <w:sz w:val="16"/>
                <w:szCs w:val="16"/>
                <w:color w:val="auto"/>
              </w:rPr>
              <w:t>Named Executive Officer compensation study</w:t>
            </w:r>
          </w:p>
        </w:tc>
      </w:tr>
    </w:tbl>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Role of Management</w:t>
      </w:r>
    </w:p>
    <w:p>
      <w:pPr>
        <w:ind w:left="120" w:right="40"/>
        <w:spacing w:after="0" w:line="250" w:lineRule="auto"/>
        <w:rPr>
          <w:sz w:val="20"/>
          <w:szCs w:val="20"/>
          <w:color w:val="auto"/>
        </w:rPr>
      </w:pPr>
      <w:r>
        <w:rPr>
          <w:rFonts w:ascii="Arial" w:cs="Arial" w:eastAsia="Arial" w:hAnsi="Arial"/>
          <w:sz w:val="16"/>
          <w:szCs w:val="16"/>
          <w:color w:val="auto"/>
        </w:rPr>
        <w:t>To aid the Compensation Committee in making its determination, our Chief Executive Officer provides recommendations annually to the Compensation Committee regarding the compensation of all other executive officers (other than himself) based on the overall corporate achievements during the period being assessed and his knowledge of the individual contributions to our success by each of the Named Executive Officers. Our Named Executive Officers do not play a role in their own compensation determinations other than discussing their performance with our Chief Executive Officer, or in the case of the Chief Executive Officer, with the Compensation Committee and Chairperson of the Board.</w:t>
      </w:r>
    </w:p>
    <w:p>
      <w:pPr>
        <w:spacing w:after="0" w:line="162" w:lineRule="exact"/>
        <w:rPr>
          <w:sz w:val="20"/>
          <w:szCs w:val="20"/>
          <w:color w:val="auto"/>
        </w:rPr>
      </w:pPr>
    </w:p>
    <w:p>
      <w:pPr>
        <w:ind w:left="120" w:right="400"/>
        <w:spacing w:after="0" w:line="251" w:lineRule="auto"/>
        <w:rPr>
          <w:sz w:val="20"/>
          <w:szCs w:val="20"/>
          <w:color w:val="auto"/>
        </w:rPr>
      </w:pPr>
      <w:r>
        <w:rPr>
          <w:rFonts w:ascii="Arial" w:cs="Arial" w:eastAsia="Arial" w:hAnsi="Arial"/>
          <w:sz w:val="16"/>
          <w:szCs w:val="16"/>
          <w:color w:val="auto"/>
        </w:rPr>
        <w:t>Our senior management also supports the Compensation Committee by developing recommendations for specific award designs, including metric assessment, performance goal-setting, and program administration. While members of our senior management may attend the meetings of the Compensation Committee, they do not attend executive sessions and do not attend the portions of meetings during which their own compensation is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25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Role of Independent Compensation Consultant</w:t>
      </w:r>
    </w:p>
    <w:p>
      <w:pPr>
        <w:ind w:left="120" w:right="60"/>
        <w:spacing w:after="0" w:line="248" w:lineRule="auto"/>
        <w:rPr>
          <w:sz w:val="20"/>
          <w:szCs w:val="20"/>
          <w:color w:val="auto"/>
        </w:rPr>
      </w:pPr>
      <w:r>
        <w:rPr>
          <w:rFonts w:ascii="Arial" w:cs="Arial" w:eastAsia="Arial" w:hAnsi="Arial"/>
          <w:sz w:val="16"/>
          <w:szCs w:val="16"/>
          <w:color w:val="auto"/>
        </w:rPr>
        <w:t>Our Compensation Committee has retained Semler Brossy as its independent compensation consultant. Semler Brossy assists the Compensation Committee in its evaluation of the compensation provided to our Chief Executive Officer and other executive officers and the design of the compensation programs for Named Executive Officers. Semler Brossy generally attends Compensation Committee meetings and provides information, research and analysis pertaining to executive compensation and governance as requested by the Compensation Committee. Other than advising the Compensation Committee and senior management, as described above, Semler Brossy did not provide any services to the Company in 2019. The Compensation Committee has considered the independence of Semler Brossy, consistent with the requirements of the NYSE, and has determined that Semler Brossy is independent. Further, pursuant to SEC rules, the Compensation Committee conducted a conflicts of interest assessment and determined that there is no conflict of interest resulting from retaining Semler Brossy. The Compensation Committee intends to reassess the independence of its advisor at least annually.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Compensation Peer Group</w:t>
      </w:r>
    </w:p>
    <w:p>
      <w:pPr>
        <w:spacing w:after="0" w:line="129" w:lineRule="exact"/>
        <w:rPr>
          <w:sz w:val="20"/>
          <w:szCs w:val="20"/>
          <w:color w:val="auto"/>
        </w:rPr>
      </w:pPr>
    </w:p>
    <w:p>
      <w:pPr>
        <w:ind w:left="120" w:right="480"/>
        <w:spacing w:after="0" w:line="253" w:lineRule="auto"/>
        <w:rPr>
          <w:sz w:val="20"/>
          <w:szCs w:val="20"/>
          <w:color w:val="auto"/>
        </w:rPr>
      </w:pPr>
      <w:r>
        <w:rPr>
          <w:rFonts w:ascii="Arial" w:cs="Arial" w:eastAsia="Arial" w:hAnsi="Arial"/>
          <w:sz w:val="16"/>
          <w:szCs w:val="16"/>
          <w:color w:val="auto"/>
        </w:rPr>
        <w:t>In 2019, Semler Brossy worked with the Compensation Committee and management to develop a peer group of companies to be used for market comparison purposes in terms of executive pay levels and practices. The objective was to create a peer group of companies based on the following characteristics:</w:t>
      </w:r>
    </w:p>
    <w:p>
      <w:pPr>
        <w:spacing w:after="0" w:line="10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6"/>
          <w:szCs w:val="16"/>
          <w:color w:val="E52823"/>
        </w:rPr>
      </w:pPr>
      <w:r>
        <w:rPr>
          <w:rFonts w:ascii="Arial" w:cs="Arial" w:eastAsia="Arial" w:hAnsi="Arial"/>
          <w:sz w:val="16"/>
          <w:szCs w:val="16"/>
          <w:color w:val="auto"/>
        </w:rPr>
        <w:t>Industry;</w:t>
      </w:r>
    </w:p>
    <w:p>
      <w:pPr>
        <w:spacing w:after="0" w:line="5" w:lineRule="exact"/>
        <w:rPr>
          <w:rFonts w:ascii="Arial" w:cs="Arial" w:eastAsia="Arial" w:hAnsi="Arial"/>
          <w:sz w:val="16"/>
          <w:szCs w:val="16"/>
          <w:color w:val="E52823"/>
        </w:rPr>
      </w:pPr>
    </w:p>
    <w:p>
      <w:pPr>
        <w:ind w:left="980" w:hanging="324"/>
        <w:spacing w:after="0"/>
        <w:tabs>
          <w:tab w:leader="none" w:pos="980" w:val="left"/>
        </w:tabs>
        <w:numPr>
          <w:ilvl w:val="0"/>
          <w:numId w:val="32"/>
        </w:numPr>
        <w:rPr>
          <w:rFonts w:ascii="Arial" w:cs="Arial" w:eastAsia="Arial" w:hAnsi="Arial"/>
          <w:sz w:val="16"/>
          <w:szCs w:val="16"/>
          <w:color w:val="E52823"/>
        </w:rPr>
      </w:pPr>
      <w:r>
        <w:rPr>
          <w:rFonts w:ascii="Arial" w:cs="Arial" w:eastAsia="Arial" w:hAnsi="Arial"/>
          <w:sz w:val="16"/>
          <w:szCs w:val="16"/>
          <w:color w:val="auto"/>
        </w:rPr>
        <w:t>Competitor for Talent;</w:t>
      </w:r>
    </w:p>
    <w:p>
      <w:pPr>
        <w:spacing w:after="0" w:line="5" w:lineRule="exact"/>
        <w:rPr>
          <w:rFonts w:ascii="Arial" w:cs="Arial" w:eastAsia="Arial" w:hAnsi="Arial"/>
          <w:sz w:val="16"/>
          <w:szCs w:val="16"/>
          <w:color w:val="E52823"/>
        </w:rPr>
      </w:pPr>
    </w:p>
    <w:p>
      <w:pPr>
        <w:ind w:left="980" w:hanging="324"/>
        <w:spacing w:after="0"/>
        <w:tabs>
          <w:tab w:leader="none" w:pos="980" w:val="left"/>
        </w:tabs>
        <w:numPr>
          <w:ilvl w:val="0"/>
          <w:numId w:val="32"/>
        </w:numPr>
        <w:rPr>
          <w:rFonts w:ascii="Arial" w:cs="Arial" w:eastAsia="Arial" w:hAnsi="Arial"/>
          <w:sz w:val="16"/>
          <w:szCs w:val="16"/>
          <w:color w:val="E52823"/>
        </w:rPr>
      </w:pPr>
      <w:r>
        <w:rPr>
          <w:rFonts w:ascii="Arial" w:cs="Arial" w:eastAsia="Arial" w:hAnsi="Arial"/>
          <w:sz w:val="16"/>
          <w:szCs w:val="16"/>
          <w:color w:val="auto"/>
        </w:rPr>
        <w:t>Global Presence;</w:t>
      </w:r>
    </w:p>
    <w:p>
      <w:pPr>
        <w:spacing w:after="0" w:line="5" w:lineRule="exact"/>
        <w:rPr>
          <w:rFonts w:ascii="Arial" w:cs="Arial" w:eastAsia="Arial" w:hAnsi="Arial"/>
          <w:sz w:val="16"/>
          <w:szCs w:val="16"/>
          <w:color w:val="E52823"/>
        </w:rPr>
      </w:pPr>
    </w:p>
    <w:p>
      <w:pPr>
        <w:ind w:left="980" w:hanging="324"/>
        <w:spacing w:after="0"/>
        <w:tabs>
          <w:tab w:leader="none" w:pos="980" w:val="left"/>
        </w:tabs>
        <w:numPr>
          <w:ilvl w:val="0"/>
          <w:numId w:val="32"/>
        </w:numPr>
        <w:rPr>
          <w:rFonts w:ascii="Arial" w:cs="Arial" w:eastAsia="Arial" w:hAnsi="Arial"/>
          <w:sz w:val="16"/>
          <w:szCs w:val="16"/>
          <w:color w:val="E52823"/>
        </w:rPr>
      </w:pPr>
      <w:r>
        <w:rPr>
          <w:rFonts w:ascii="Arial" w:cs="Arial" w:eastAsia="Arial" w:hAnsi="Arial"/>
          <w:sz w:val="16"/>
          <w:szCs w:val="16"/>
          <w:color w:val="auto"/>
        </w:rPr>
        <w:t>Headquarter Location</w:t>
      </w:r>
    </w:p>
    <w:p>
      <w:pPr>
        <w:spacing w:after="0" w:line="5" w:lineRule="exact"/>
        <w:rPr>
          <w:rFonts w:ascii="Arial" w:cs="Arial" w:eastAsia="Arial" w:hAnsi="Arial"/>
          <w:sz w:val="16"/>
          <w:szCs w:val="16"/>
          <w:color w:val="E52823"/>
        </w:rPr>
      </w:pPr>
    </w:p>
    <w:p>
      <w:pPr>
        <w:ind w:left="980" w:hanging="324"/>
        <w:spacing w:after="0"/>
        <w:tabs>
          <w:tab w:leader="none" w:pos="980" w:val="left"/>
        </w:tabs>
        <w:numPr>
          <w:ilvl w:val="0"/>
          <w:numId w:val="32"/>
        </w:numPr>
        <w:rPr>
          <w:rFonts w:ascii="Arial" w:cs="Arial" w:eastAsia="Arial" w:hAnsi="Arial"/>
          <w:sz w:val="16"/>
          <w:szCs w:val="16"/>
          <w:color w:val="E52823"/>
        </w:rPr>
      </w:pPr>
      <w:r>
        <w:rPr>
          <w:rFonts w:ascii="Arial" w:cs="Arial" w:eastAsia="Arial" w:hAnsi="Arial"/>
          <w:sz w:val="16"/>
          <w:szCs w:val="16"/>
          <w:color w:val="auto"/>
        </w:rPr>
        <w:t>Product Focus and Business Model;</w:t>
      </w:r>
    </w:p>
    <w:p>
      <w:pPr>
        <w:spacing w:after="0" w:line="5" w:lineRule="exact"/>
        <w:rPr>
          <w:rFonts w:ascii="Arial" w:cs="Arial" w:eastAsia="Arial" w:hAnsi="Arial"/>
          <w:sz w:val="16"/>
          <w:szCs w:val="16"/>
          <w:color w:val="E52823"/>
        </w:rPr>
      </w:pPr>
    </w:p>
    <w:p>
      <w:pPr>
        <w:ind w:left="980" w:hanging="324"/>
        <w:spacing w:after="0"/>
        <w:tabs>
          <w:tab w:leader="none" w:pos="980" w:val="left"/>
        </w:tabs>
        <w:numPr>
          <w:ilvl w:val="0"/>
          <w:numId w:val="32"/>
        </w:numPr>
        <w:rPr>
          <w:rFonts w:ascii="Arial" w:cs="Arial" w:eastAsia="Arial" w:hAnsi="Arial"/>
          <w:sz w:val="16"/>
          <w:szCs w:val="16"/>
          <w:color w:val="E52823"/>
        </w:rPr>
      </w:pPr>
      <w:r>
        <w:rPr>
          <w:rFonts w:ascii="Arial" w:cs="Arial" w:eastAsia="Arial" w:hAnsi="Arial"/>
          <w:sz w:val="16"/>
          <w:szCs w:val="16"/>
          <w:color w:val="auto"/>
        </w:rPr>
        <w:t>Evolving Technology; and</w:t>
      </w:r>
    </w:p>
    <w:p>
      <w:pPr>
        <w:spacing w:after="0" w:line="5" w:lineRule="exact"/>
        <w:rPr>
          <w:rFonts w:ascii="Arial" w:cs="Arial" w:eastAsia="Arial" w:hAnsi="Arial"/>
          <w:sz w:val="16"/>
          <w:szCs w:val="16"/>
          <w:color w:val="E52823"/>
        </w:rPr>
      </w:pPr>
    </w:p>
    <w:p>
      <w:pPr>
        <w:ind w:left="980" w:hanging="324"/>
        <w:spacing w:after="0"/>
        <w:tabs>
          <w:tab w:leader="none" w:pos="980" w:val="left"/>
        </w:tabs>
        <w:numPr>
          <w:ilvl w:val="0"/>
          <w:numId w:val="32"/>
        </w:numPr>
        <w:rPr>
          <w:rFonts w:ascii="Arial" w:cs="Arial" w:eastAsia="Arial" w:hAnsi="Arial"/>
          <w:sz w:val="16"/>
          <w:szCs w:val="16"/>
          <w:color w:val="E52823"/>
        </w:rPr>
      </w:pPr>
      <w:r>
        <w:rPr>
          <w:rFonts w:ascii="Arial" w:cs="Arial" w:eastAsia="Arial" w:hAnsi="Arial"/>
          <w:sz w:val="16"/>
          <w:szCs w:val="16"/>
          <w:color w:val="auto"/>
        </w:rPr>
        <w:t>Key Size Measures.</w:t>
      </w:r>
    </w:p>
    <w:p>
      <w:pPr>
        <w:spacing w:after="0" w:line="19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Compensation Committee was careful in constructing a group based on the considerations above that, on the whole, captures Garrett’s global presence and talent market as well as its unique business dynamics. As a U.S.-listed but European-headquartered company that attracts talent globally, we worked thoughtfully to include both U.S. and European companies. The peer group, which the Compensation Committee approved in January 2019, is as follows: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Enterprise</w:t>
            </w:r>
          </w:p>
        </w:tc>
        <w:tc>
          <w:tcPr>
            <w:tcW w:w="760" w:type="dxa"/>
            <w:vAlign w:val="bottom"/>
          </w:tcPr>
          <w:p>
            <w:pPr>
              <w:jc w:val="center"/>
              <w:spacing w:after="0"/>
              <w:rPr>
                <w:sz w:val="20"/>
                <w:szCs w:val="20"/>
                <w:color w:val="auto"/>
              </w:rPr>
            </w:pPr>
            <w:r>
              <w:rPr>
                <w:rFonts w:ascii="Arial" w:cs="Arial" w:eastAsia="Arial" w:hAnsi="Arial"/>
                <w:sz w:val="14"/>
                <w:szCs w:val="14"/>
                <w:color w:val="auto"/>
              </w:rPr>
              <w:t>Market</w:t>
            </w:r>
          </w:p>
        </w:tc>
        <w:tc>
          <w:tcPr>
            <w:tcW w:w="90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color w:val="auto"/>
              </w:rPr>
              <w:t>Country of</w:t>
            </w:r>
          </w:p>
        </w:tc>
        <w:tc>
          <w:tcPr>
            <w:tcW w:w="2240" w:type="dxa"/>
            <w:vAlign w:val="bottom"/>
          </w:tcPr>
          <w:p>
            <w:pPr>
              <w:ind w:left="740"/>
              <w:spacing w:after="0"/>
              <w:rPr>
                <w:sz w:val="20"/>
                <w:szCs w:val="20"/>
                <w:color w:val="auto"/>
              </w:rPr>
            </w:pPr>
            <w:r>
              <w:rPr>
                <w:rFonts w:ascii="Arial" w:cs="Arial" w:eastAsia="Arial" w:hAnsi="Arial"/>
                <w:sz w:val="14"/>
                <w:szCs w:val="14"/>
                <w:color w:val="auto"/>
              </w:rPr>
              <w:t>Primary Industry</w:t>
            </w:r>
          </w:p>
        </w:tc>
        <w:tc>
          <w:tcPr>
            <w:tcW w:w="1000" w:type="dxa"/>
            <w:vAlign w:val="bottom"/>
            <w:gridSpan w:val="2"/>
          </w:tcPr>
          <w:p>
            <w:pPr>
              <w:ind w:left="300"/>
              <w:spacing w:after="0"/>
              <w:rPr>
                <w:sz w:val="20"/>
                <w:szCs w:val="20"/>
                <w:color w:val="auto"/>
              </w:rPr>
            </w:pPr>
            <w:r>
              <w:rPr>
                <w:rFonts w:ascii="Arial" w:cs="Arial" w:eastAsia="Arial" w:hAnsi="Arial"/>
                <w:sz w:val="14"/>
                <w:szCs w:val="14"/>
                <w:color w:val="auto"/>
              </w:rPr>
              <w:t>Revenue</w:t>
            </w:r>
          </w:p>
        </w:tc>
        <w:tc>
          <w:tcPr>
            <w:tcW w:w="860" w:type="dxa"/>
            <w:vAlign w:val="bottom"/>
          </w:tcPr>
          <w:p>
            <w:pPr>
              <w:jc w:val="right"/>
              <w:ind w:right="161"/>
              <w:spacing w:after="0"/>
              <w:rPr>
                <w:sz w:val="20"/>
                <w:szCs w:val="20"/>
                <w:color w:val="auto"/>
              </w:rPr>
            </w:pPr>
            <w:r>
              <w:rPr>
                <w:rFonts w:ascii="Arial" w:cs="Arial" w:eastAsia="Arial" w:hAnsi="Arial"/>
                <w:sz w:val="14"/>
                <w:szCs w:val="14"/>
                <w:color w:val="auto"/>
              </w:rPr>
              <w:t>EBITDA</w:t>
            </w:r>
          </w:p>
        </w:tc>
        <w:tc>
          <w:tcPr>
            <w:tcW w:w="200" w:type="dxa"/>
            <w:vAlign w:val="bottom"/>
          </w:tcPr>
          <w:p>
            <w:pPr>
              <w:spacing w:after="0"/>
              <w:rPr>
                <w:sz w:val="14"/>
                <w:szCs w:val="14"/>
                <w:color w:val="auto"/>
              </w:rPr>
            </w:pPr>
          </w:p>
        </w:tc>
        <w:tc>
          <w:tcPr>
            <w:tcW w:w="660" w:type="dxa"/>
            <w:vAlign w:val="bottom"/>
          </w:tcPr>
          <w:p>
            <w:pPr>
              <w:jc w:val="right"/>
              <w:ind w:right="181"/>
              <w:spacing w:after="0"/>
              <w:rPr>
                <w:sz w:val="20"/>
                <w:szCs w:val="20"/>
                <w:color w:val="auto"/>
              </w:rPr>
            </w:pPr>
            <w:r>
              <w:rPr>
                <w:rFonts w:ascii="Arial" w:cs="Arial" w:eastAsia="Arial" w:hAnsi="Arial"/>
                <w:sz w:val="14"/>
                <w:szCs w:val="14"/>
                <w:color w:val="auto"/>
              </w:rPr>
              <w:t>Value</w:t>
            </w:r>
          </w:p>
        </w:tc>
        <w:tc>
          <w:tcPr>
            <w:tcW w:w="760" w:type="dxa"/>
            <w:vAlign w:val="bottom"/>
          </w:tcPr>
          <w:p>
            <w:pPr>
              <w:jc w:val="center"/>
              <w:spacing w:after="0"/>
              <w:rPr>
                <w:sz w:val="20"/>
                <w:szCs w:val="20"/>
                <w:color w:val="auto"/>
              </w:rPr>
            </w:pPr>
            <w:r>
              <w:rPr>
                <w:rFonts w:ascii="Arial" w:cs="Arial" w:eastAsia="Arial" w:hAnsi="Arial"/>
                <w:sz w:val="14"/>
                <w:szCs w:val="14"/>
                <w:color w:val="auto"/>
              </w:rPr>
              <w:t>Cap</w:t>
            </w:r>
          </w:p>
        </w:tc>
        <w:tc>
          <w:tcPr>
            <w:tcW w:w="900" w:type="dxa"/>
            <w:vAlign w:val="bottom"/>
          </w:tcPr>
          <w:p>
            <w:pPr>
              <w:jc w:val="right"/>
              <w:ind w:right="61"/>
              <w:spacing w:after="0"/>
              <w:rPr>
                <w:sz w:val="20"/>
                <w:szCs w:val="20"/>
                <w:color w:val="auto"/>
              </w:rPr>
            </w:pPr>
            <w:r>
              <w:rPr>
                <w:rFonts w:ascii="Arial" w:cs="Arial" w:eastAsia="Arial" w:hAnsi="Arial"/>
                <w:sz w:val="14"/>
                <w:szCs w:val="14"/>
                <w:color w:val="auto"/>
              </w:rPr>
              <w:t>Employee</w:t>
            </w:r>
          </w:p>
        </w:tc>
      </w:tr>
      <w:tr>
        <w:trPr>
          <w:trHeight w:val="172"/>
        </w:trPr>
        <w:tc>
          <w:tcPr>
            <w:tcW w:w="2620" w:type="dxa"/>
            <w:vAlign w:val="bottom"/>
          </w:tcPr>
          <w:p>
            <w:pPr>
              <w:ind w:left="60"/>
              <w:spacing w:after="0"/>
              <w:rPr>
                <w:sz w:val="20"/>
                <w:szCs w:val="20"/>
                <w:color w:val="auto"/>
              </w:rPr>
            </w:pPr>
            <w:r>
              <w:rPr>
                <w:rFonts w:ascii="Arial" w:cs="Arial" w:eastAsia="Arial" w:hAnsi="Arial"/>
                <w:sz w:val="14"/>
                <w:szCs w:val="14"/>
                <w:color w:val="auto"/>
              </w:rPr>
              <w:t>Company</w:t>
            </w:r>
          </w:p>
        </w:tc>
        <w:tc>
          <w:tcPr>
            <w:tcW w:w="880" w:type="dxa"/>
            <w:vAlign w:val="bottom"/>
          </w:tcPr>
          <w:p>
            <w:pPr>
              <w:ind w:left="120"/>
              <w:spacing w:after="0"/>
              <w:rPr>
                <w:sz w:val="20"/>
                <w:szCs w:val="20"/>
                <w:color w:val="auto"/>
              </w:rPr>
            </w:pPr>
            <w:r>
              <w:rPr>
                <w:rFonts w:ascii="Arial" w:cs="Arial" w:eastAsia="Arial" w:hAnsi="Arial"/>
                <w:sz w:val="14"/>
                <w:szCs w:val="14"/>
                <w:color w:val="auto"/>
              </w:rPr>
              <w:t>Exchange</w:t>
            </w:r>
          </w:p>
        </w:tc>
        <w:tc>
          <w:tcPr>
            <w:tcW w:w="900" w:type="dxa"/>
            <w:vAlign w:val="bottom"/>
          </w:tcPr>
          <w:p>
            <w:pPr>
              <w:ind w:left="340"/>
              <w:spacing w:after="0"/>
              <w:rPr>
                <w:sz w:val="20"/>
                <w:szCs w:val="20"/>
                <w:color w:val="auto"/>
              </w:rPr>
            </w:pPr>
            <w:r>
              <w:rPr>
                <w:rFonts w:ascii="Arial" w:cs="Arial" w:eastAsia="Arial" w:hAnsi="Arial"/>
                <w:sz w:val="14"/>
                <w:szCs w:val="14"/>
                <w:color w:val="auto"/>
              </w:rPr>
              <w:t>HQ</w:t>
            </w:r>
          </w:p>
        </w:tc>
        <w:tc>
          <w:tcPr>
            <w:tcW w:w="2240" w:type="dxa"/>
            <w:vAlign w:val="bottom"/>
          </w:tcPr>
          <w:p>
            <w:pPr>
              <w:ind w:left="840"/>
              <w:spacing w:after="0"/>
              <w:rPr>
                <w:sz w:val="20"/>
                <w:szCs w:val="20"/>
                <w:color w:val="auto"/>
              </w:rPr>
            </w:pPr>
            <w:r>
              <w:rPr>
                <w:rFonts w:ascii="Arial" w:cs="Arial" w:eastAsia="Arial" w:hAnsi="Arial"/>
                <w:sz w:val="14"/>
                <w:szCs w:val="14"/>
                <w:color w:val="auto"/>
              </w:rPr>
              <w:t>Classification</w:t>
            </w:r>
          </w:p>
        </w:tc>
        <w:tc>
          <w:tcPr>
            <w:tcW w:w="380" w:type="dxa"/>
            <w:vAlign w:val="bottom"/>
          </w:tcPr>
          <w:p>
            <w:pPr>
              <w:spacing w:after="0"/>
              <w:rPr>
                <w:sz w:val="14"/>
                <w:szCs w:val="14"/>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color w:val="auto"/>
              </w:rPr>
              <w:t>($Mil)</w:t>
            </w:r>
          </w:p>
        </w:tc>
        <w:tc>
          <w:tcPr>
            <w:tcW w:w="860" w:type="dxa"/>
            <w:vAlign w:val="bottom"/>
          </w:tcPr>
          <w:p>
            <w:pPr>
              <w:jc w:val="right"/>
              <w:ind w:right="201"/>
              <w:spacing w:after="0"/>
              <w:rPr>
                <w:sz w:val="20"/>
                <w:szCs w:val="20"/>
                <w:color w:val="auto"/>
              </w:rPr>
            </w:pPr>
            <w:r>
              <w:rPr>
                <w:rFonts w:ascii="Arial" w:cs="Arial" w:eastAsia="Arial" w:hAnsi="Arial"/>
                <w:sz w:val="14"/>
                <w:szCs w:val="14"/>
                <w:color w:val="auto"/>
              </w:rPr>
              <w:t>Margin</w:t>
            </w:r>
          </w:p>
        </w:tc>
        <w:tc>
          <w:tcPr>
            <w:tcW w:w="200" w:type="dxa"/>
            <w:vAlign w:val="bottom"/>
          </w:tcPr>
          <w:p>
            <w:pPr>
              <w:spacing w:after="0"/>
              <w:rPr>
                <w:sz w:val="14"/>
                <w:szCs w:val="14"/>
                <w:color w:val="auto"/>
              </w:rPr>
            </w:pPr>
          </w:p>
        </w:tc>
        <w:tc>
          <w:tcPr>
            <w:tcW w:w="660" w:type="dxa"/>
            <w:vAlign w:val="bottom"/>
          </w:tcPr>
          <w:p>
            <w:pPr>
              <w:jc w:val="right"/>
              <w:ind w:right="181"/>
              <w:spacing w:after="0"/>
              <w:rPr>
                <w:sz w:val="20"/>
                <w:szCs w:val="20"/>
                <w:color w:val="auto"/>
              </w:rPr>
            </w:pPr>
            <w:r>
              <w:rPr>
                <w:rFonts w:ascii="Arial" w:cs="Arial" w:eastAsia="Arial" w:hAnsi="Arial"/>
                <w:sz w:val="14"/>
                <w:szCs w:val="14"/>
                <w:color w:val="auto"/>
              </w:rPr>
              <w:t>($Mil)</w:t>
            </w:r>
          </w:p>
        </w:tc>
        <w:tc>
          <w:tcPr>
            <w:tcW w:w="760" w:type="dxa"/>
            <w:vAlign w:val="bottom"/>
          </w:tcPr>
          <w:p>
            <w:pPr>
              <w:jc w:val="center"/>
              <w:spacing w:after="0"/>
              <w:rPr>
                <w:sz w:val="20"/>
                <w:szCs w:val="20"/>
                <w:color w:val="auto"/>
              </w:rPr>
            </w:pPr>
            <w:r>
              <w:rPr>
                <w:rFonts w:ascii="Arial" w:cs="Arial" w:eastAsia="Arial" w:hAnsi="Arial"/>
                <w:sz w:val="14"/>
                <w:szCs w:val="14"/>
                <w:color w:val="auto"/>
              </w:rPr>
              <w:t>($Mil)</w:t>
            </w:r>
          </w:p>
        </w:tc>
        <w:tc>
          <w:tcPr>
            <w:tcW w:w="900" w:type="dxa"/>
            <w:vAlign w:val="bottom"/>
          </w:tcPr>
          <w:p>
            <w:pPr>
              <w:jc w:val="right"/>
              <w:ind w:right="181"/>
              <w:spacing w:after="0"/>
              <w:rPr>
                <w:sz w:val="20"/>
                <w:szCs w:val="20"/>
                <w:color w:val="auto"/>
              </w:rPr>
            </w:pPr>
            <w:r>
              <w:rPr>
                <w:rFonts w:ascii="Arial" w:cs="Arial" w:eastAsia="Arial" w:hAnsi="Arial"/>
                <w:sz w:val="14"/>
                <w:szCs w:val="14"/>
                <w:color w:val="auto"/>
              </w:rPr>
              <w:t>Count</w:t>
            </w:r>
          </w:p>
        </w:tc>
      </w:tr>
      <w:tr>
        <w:trPr>
          <w:trHeight w:val="100"/>
        </w:trPr>
        <w:tc>
          <w:tcPr>
            <w:tcW w:w="26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10"/>
        </w:trPr>
        <w:tc>
          <w:tcPr>
            <w:tcW w:w="2620" w:type="dxa"/>
            <w:vAlign w:val="bottom"/>
            <w:shd w:val="clear" w:color="auto" w:fill="EDEDED"/>
          </w:tcPr>
          <w:p>
            <w:pPr>
              <w:ind w:left="60"/>
              <w:spacing w:after="0"/>
              <w:rPr>
                <w:sz w:val="20"/>
                <w:szCs w:val="20"/>
                <w:color w:val="auto"/>
              </w:rPr>
            </w:pPr>
            <w:r>
              <w:rPr>
                <w:rFonts w:ascii="Arial" w:cs="Arial" w:eastAsia="Arial" w:hAnsi="Arial"/>
                <w:sz w:val="16"/>
                <w:szCs w:val="16"/>
                <w:color w:val="auto"/>
              </w:rPr>
              <w:t>US-Listed</w:t>
            </w:r>
          </w:p>
        </w:tc>
        <w:tc>
          <w:tcPr>
            <w:tcW w:w="880" w:type="dxa"/>
            <w:vAlign w:val="bottom"/>
            <w:shd w:val="clear" w:color="auto" w:fill="EDEDED"/>
          </w:tcPr>
          <w:p>
            <w:pPr>
              <w:spacing w:after="0"/>
              <w:rPr>
                <w:sz w:val="18"/>
                <w:szCs w:val="18"/>
                <w:color w:val="auto"/>
              </w:rPr>
            </w:pPr>
          </w:p>
        </w:tc>
        <w:tc>
          <w:tcPr>
            <w:tcW w:w="900" w:type="dxa"/>
            <w:vAlign w:val="bottom"/>
            <w:shd w:val="clear" w:color="auto" w:fill="EDEDED"/>
          </w:tcPr>
          <w:p>
            <w:pPr>
              <w:spacing w:after="0"/>
              <w:rPr>
                <w:sz w:val="18"/>
                <w:szCs w:val="18"/>
                <w:color w:val="auto"/>
              </w:rPr>
            </w:pPr>
          </w:p>
        </w:tc>
        <w:tc>
          <w:tcPr>
            <w:tcW w:w="2240" w:type="dxa"/>
            <w:vAlign w:val="bottom"/>
            <w:shd w:val="clear" w:color="auto" w:fill="EDEDED"/>
          </w:tcPr>
          <w:p>
            <w:pPr>
              <w:spacing w:after="0"/>
              <w:rPr>
                <w:sz w:val="18"/>
                <w:szCs w:val="18"/>
                <w:color w:val="auto"/>
              </w:rPr>
            </w:pPr>
          </w:p>
        </w:tc>
        <w:tc>
          <w:tcPr>
            <w:tcW w:w="380" w:type="dxa"/>
            <w:vAlign w:val="bottom"/>
            <w:shd w:val="clear" w:color="auto" w:fill="EDEDED"/>
          </w:tcPr>
          <w:p>
            <w:pPr>
              <w:spacing w:after="0"/>
              <w:rPr>
                <w:sz w:val="18"/>
                <w:szCs w:val="18"/>
                <w:color w:val="auto"/>
              </w:rPr>
            </w:pPr>
          </w:p>
        </w:tc>
        <w:tc>
          <w:tcPr>
            <w:tcW w:w="620" w:type="dxa"/>
            <w:vAlign w:val="bottom"/>
            <w:shd w:val="clear" w:color="auto" w:fill="EDEDED"/>
          </w:tcPr>
          <w:p>
            <w:pPr>
              <w:spacing w:after="0"/>
              <w:rPr>
                <w:sz w:val="18"/>
                <w:szCs w:val="18"/>
                <w:color w:val="auto"/>
              </w:rPr>
            </w:pPr>
          </w:p>
        </w:tc>
        <w:tc>
          <w:tcPr>
            <w:tcW w:w="860" w:type="dxa"/>
            <w:vAlign w:val="bottom"/>
            <w:shd w:val="clear" w:color="auto" w:fill="EDEDED"/>
          </w:tcPr>
          <w:p>
            <w:pPr>
              <w:spacing w:after="0"/>
              <w:rPr>
                <w:sz w:val="18"/>
                <w:szCs w:val="18"/>
                <w:color w:val="auto"/>
              </w:rPr>
            </w:pPr>
          </w:p>
        </w:tc>
        <w:tc>
          <w:tcPr>
            <w:tcW w:w="200" w:type="dxa"/>
            <w:vAlign w:val="bottom"/>
            <w:shd w:val="clear" w:color="auto" w:fill="EDEDED"/>
          </w:tcPr>
          <w:p>
            <w:pPr>
              <w:spacing w:after="0"/>
              <w:rPr>
                <w:sz w:val="18"/>
                <w:szCs w:val="18"/>
                <w:color w:val="auto"/>
              </w:rPr>
            </w:pPr>
          </w:p>
        </w:tc>
        <w:tc>
          <w:tcPr>
            <w:tcW w:w="66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900" w:type="dxa"/>
            <w:vAlign w:val="bottom"/>
            <w:shd w:val="clear" w:color="auto" w:fill="EDEDED"/>
          </w:tcPr>
          <w:p>
            <w:pPr>
              <w:spacing w:after="0"/>
              <w:rPr>
                <w:sz w:val="18"/>
                <w:szCs w:val="18"/>
                <w:color w:val="auto"/>
              </w:rPr>
            </w:pPr>
          </w:p>
        </w:tc>
      </w:tr>
      <w:tr>
        <w:trPr>
          <w:trHeight w:val="101"/>
        </w:trPr>
        <w:tc>
          <w:tcPr>
            <w:tcW w:w="2620" w:type="dxa"/>
            <w:vAlign w:val="bottom"/>
            <w:shd w:val="clear" w:color="auto" w:fill="EDEDED"/>
          </w:tcPr>
          <w:p>
            <w:pPr>
              <w:spacing w:after="0"/>
              <w:rPr>
                <w:sz w:val="8"/>
                <w:szCs w:val="8"/>
                <w:color w:val="auto"/>
              </w:rPr>
            </w:pPr>
          </w:p>
        </w:tc>
        <w:tc>
          <w:tcPr>
            <w:tcW w:w="88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c>
          <w:tcPr>
            <w:tcW w:w="2240" w:type="dxa"/>
            <w:vAlign w:val="bottom"/>
            <w:shd w:val="clear" w:color="auto" w:fill="EDEDED"/>
          </w:tcPr>
          <w:p>
            <w:pPr>
              <w:spacing w:after="0"/>
              <w:rPr>
                <w:sz w:val="8"/>
                <w:szCs w:val="8"/>
                <w:color w:val="auto"/>
              </w:rPr>
            </w:pPr>
          </w:p>
        </w:tc>
        <w:tc>
          <w:tcPr>
            <w:tcW w:w="380" w:type="dxa"/>
            <w:vAlign w:val="bottom"/>
            <w:shd w:val="clear" w:color="auto" w:fill="EDEDED"/>
          </w:tcPr>
          <w:p>
            <w:pPr>
              <w:spacing w:after="0"/>
              <w:rPr>
                <w:sz w:val="8"/>
                <w:szCs w:val="8"/>
                <w:color w:val="auto"/>
              </w:rPr>
            </w:pPr>
          </w:p>
        </w:tc>
        <w:tc>
          <w:tcPr>
            <w:tcW w:w="62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76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18"/>
        </w:trPr>
        <w:tc>
          <w:tcPr>
            <w:tcW w:w="2620" w:type="dxa"/>
            <w:vAlign w:val="bottom"/>
          </w:tcPr>
          <w:p>
            <w:pPr>
              <w:ind w:left="60"/>
              <w:spacing w:after="0"/>
              <w:rPr>
                <w:sz w:val="20"/>
                <w:szCs w:val="20"/>
                <w:color w:val="auto"/>
              </w:rPr>
            </w:pPr>
            <w:r>
              <w:rPr>
                <w:rFonts w:ascii="Arial" w:cs="Arial" w:eastAsia="Arial" w:hAnsi="Arial"/>
                <w:sz w:val="16"/>
                <w:szCs w:val="16"/>
                <w:color w:val="auto"/>
              </w:rPr>
              <w:t>Allison Transmission Holdings, Inc.</w:t>
            </w:r>
          </w:p>
        </w:tc>
        <w:tc>
          <w:tcPr>
            <w:tcW w:w="880" w:type="dxa"/>
            <w:vAlign w:val="bottom"/>
          </w:tcPr>
          <w:p>
            <w:pPr>
              <w:ind w:left="180"/>
              <w:spacing w:after="0"/>
              <w:rPr>
                <w:sz w:val="20"/>
                <w:szCs w:val="20"/>
                <w:color w:val="auto"/>
              </w:rPr>
            </w:pPr>
            <w:r>
              <w:rPr>
                <w:rFonts w:ascii="Arial" w:cs="Arial" w:eastAsia="Arial" w:hAnsi="Arial"/>
                <w:sz w:val="16"/>
                <w:szCs w:val="16"/>
                <w:color w:val="auto"/>
              </w:rPr>
              <w:t>NYSE</w:t>
            </w:r>
          </w:p>
        </w:tc>
        <w:tc>
          <w:tcPr>
            <w:tcW w:w="900" w:type="dxa"/>
            <w:vAlign w:val="bottom"/>
          </w:tcPr>
          <w:p>
            <w:pPr>
              <w:ind w:left="220"/>
              <w:spacing w:after="0"/>
              <w:rPr>
                <w:sz w:val="20"/>
                <w:szCs w:val="20"/>
                <w:color w:val="auto"/>
              </w:rPr>
            </w:pPr>
            <w:r>
              <w:rPr>
                <w:rFonts w:ascii="Arial" w:cs="Arial" w:eastAsia="Arial" w:hAnsi="Arial"/>
                <w:sz w:val="16"/>
                <w:szCs w:val="16"/>
                <w:color w:val="auto"/>
              </w:rPr>
              <w:t>US</w:t>
            </w:r>
          </w:p>
        </w:tc>
        <w:tc>
          <w:tcPr>
            <w:tcW w:w="2240" w:type="dxa"/>
            <w:vAlign w:val="bottom"/>
          </w:tcPr>
          <w:p>
            <w:pPr>
              <w:ind w:left="100"/>
              <w:spacing w:after="0"/>
              <w:rPr>
                <w:sz w:val="20"/>
                <w:szCs w:val="20"/>
                <w:color w:val="auto"/>
              </w:rPr>
            </w:pPr>
            <w:r>
              <w:rPr>
                <w:rFonts w:ascii="Arial" w:cs="Arial" w:eastAsia="Arial" w:hAnsi="Arial"/>
                <w:sz w:val="16"/>
                <w:szCs w:val="16"/>
                <w:color w:val="auto"/>
              </w:rPr>
              <w:t>Construction Machinery &amp;</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2,698</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8,189</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$ 5,761</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2,700</w:t>
            </w:r>
          </w:p>
        </w:tc>
      </w:tr>
      <w:tr>
        <w:trPr>
          <w:trHeight w:val="195"/>
        </w:trPr>
        <w:tc>
          <w:tcPr>
            <w:tcW w:w="2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40" w:type="dxa"/>
            <w:vAlign w:val="bottom"/>
          </w:tcPr>
          <w:p>
            <w:pPr>
              <w:ind w:left="100"/>
              <w:spacing w:after="0"/>
              <w:rPr>
                <w:sz w:val="20"/>
                <w:szCs w:val="20"/>
                <w:color w:val="auto"/>
              </w:rPr>
            </w:pPr>
            <w:r>
              <w:rPr>
                <w:rFonts w:ascii="Arial" w:cs="Arial" w:eastAsia="Arial" w:hAnsi="Arial"/>
                <w:sz w:val="16"/>
                <w:szCs w:val="16"/>
                <w:color w:val="auto"/>
              </w:rPr>
              <w:t>Heavy Trucks</w:t>
            </w: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00"/>
        </w:trPr>
        <w:tc>
          <w:tcPr>
            <w:tcW w:w="2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8"/>
        </w:trPr>
        <w:tc>
          <w:tcPr>
            <w:tcW w:w="2620" w:type="dxa"/>
            <w:vAlign w:val="bottom"/>
            <w:shd w:val="clear" w:color="auto" w:fill="EDEDED"/>
          </w:tcPr>
          <w:p>
            <w:pPr>
              <w:ind w:left="60"/>
              <w:spacing w:after="0"/>
              <w:rPr>
                <w:sz w:val="20"/>
                <w:szCs w:val="20"/>
                <w:color w:val="auto"/>
              </w:rPr>
            </w:pPr>
            <w:r>
              <w:rPr>
                <w:rFonts w:ascii="Arial" w:cs="Arial" w:eastAsia="Arial" w:hAnsi="Arial"/>
                <w:sz w:val="16"/>
                <w:szCs w:val="16"/>
                <w:color w:val="auto"/>
              </w:rPr>
              <w:t>American Axle &amp; Manufacturing</w:t>
            </w:r>
          </w:p>
        </w:tc>
        <w:tc>
          <w:tcPr>
            <w:tcW w:w="880" w:type="dxa"/>
            <w:vAlign w:val="bottom"/>
            <w:shd w:val="clear" w:color="auto" w:fill="EDEDED"/>
          </w:tcPr>
          <w:p>
            <w:pPr>
              <w:ind w:left="180"/>
              <w:spacing w:after="0"/>
              <w:rPr>
                <w:sz w:val="20"/>
                <w:szCs w:val="20"/>
                <w:color w:val="auto"/>
              </w:rPr>
            </w:pPr>
            <w:r>
              <w:rPr>
                <w:rFonts w:ascii="Arial" w:cs="Arial" w:eastAsia="Arial" w:hAnsi="Arial"/>
                <w:sz w:val="16"/>
                <w:szCs w:val="16"/>
                <w:color w:val="auto"/>
              </w:rPr>
              <w:t>NYSE</w:t>
            </w:r>
          </w:p>
        </w:tc>
        <w:tc>
          <w:tcPr>
            <w:tcW w:w="900" w:type="dxa"/>
            <w:vAlign w:val="bottom"/>
            <w:shd w:val="clear" w:color="auto" w:fill="EDEDED"/>
          </w:tcPr>
          <w:p>
            <w:pPr>
              <w:ind w:left="220"/>
              <w:spacing w:after="0"/>
              <w:rPr>
                <w:sz w:val="20"/>
                <w:szCs w:val="20"/>
                <w:color w:val="auto"/>
              </w:rPr>
            </w:pPr>
            <w:r>
              <w:rPr>
                <w:rFonts w:ascii="Arial" w:cs="Arial" w:eastAsia="Arial" w:hAnsi="Arial"/>
                <w:sz w:val="16"/>
                <w:szCs w:val="16"/>
                <w:color w:val="auto"/>
              </w:rPr>
              <w:t>US</w:t>
            </w:r>
          </w:p>
        </w:tc>
        <w:tc>
          <w:tcPr>
            <w:tcW w:w="22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Auto Parts &amp; Equip.</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6,531</w:t>
            </w:r>
          </w:p>
        </w:tc>
        <w:tc>
          <w:tcPr>
            <w:tcW w:w="8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15%</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4,664</w:t>
            </w:r>
          </w:p>
        </w:tc>
        <w:tc>
          <w:tcPr>
            <w:tcW w:w="76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7"/>
              </w:rPr>
              <w:t>$ 1,210</w:t>
            </w:r>
          </w:p>
        </w:tc>
        <w:tc>
          <w:tcPr>
            <w:tcW w:w="9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20,000</w:t>
            </w:r>
          </w:p>
        </w:tc>
      </w:tr>
      <w:tr>
        <w:trPr>
          <w:trHeight w:val="195"/>
        </w:trPr>
        <w:tc>
          <w:tcPr>
            <w:tcW w:w="2620" w:type="dxa"/>
            <w:vAlign w:val="bottom"/>
            <w:shd w:val="clear" w:color="auto" w:fill="EDEDED"/>
          </w:tcPr>
          <w:p>
            <w:pPr>
              <w:ind w:left="60"/>
              <w:spacing w:after="0"/>
              <w:rPr>
                <w:sz w:val="20"/>
                <w:szCs w:val="20"/>
                <w:color w:val="auto"/>
              </w:rPr>
            </w:pPr>
            <w:r>
              <w:rPr>
                <w:rFonts w:ascii="Arial" w:cs="Arial" w:eastAsia="Arial" w:hAnsi="Arial"/>
                <w:sz w:val="16"/>
                <w:szCs w:val="16"/>
                <w:color w:val="auto"/>
              </w:rPr>
              <w:t>Holdings, Inc.</w:t>
            </w:r>
          </w:p>
        </w:tc>
        <w:tc>
          <w:tcPr>
            <w:tcW w:w="880" w:type="dxa"/>
            <w:vAlign w:val="bottom"/>
            <w:shd w:val="clear" w:color="auto" w:fill="EDEDED"/>
          </w:tcPr>
          <w:p>
            <w:pPr>
              <w:spacing w:after="0"/>
              <w:rPr>
                <w:sz w:val="16"/>
                <w:szCs w:val="16"/>
                <w:color w:val="auto"/>
              </w:rPr>
            </w:pPr>
          </w:p>
        </w:tc>
        <w:tc>
          <w:tcPr>
            <w:tcW w:w="900" w:type="dxa"/>
            <w:vAlign w:val="bottom"/>
            <w:shd w:val="clear" w:color="auto" w:fill="EDEDED"/>
          </w:tcPr>
          <w:p>
            <w:pPr>
              <w:spacing w:after="0"/>
              <w:rPr>
                <w:sz w:val="16"/>
                <w:szCs w:val="16"/>
                <w:color w:val="auto"/>
              </w:rPr>
            </w:pPr>
          </w:p>
        </w:tc>
        <w:tc>
          <w:tcPr>
            <w:tcW w:w="2240" w:type="dxa"/>
            <w:vAlign w:val="bottom"/>
            <w:shd w:val="clear" w:color="auto" w:fill="EDEDED"/>
          </w:tcPr>
          <w:p>
            <w:pPr>
              <w:spacing w:after="0"/>
              <w:rPr>
                <w:sz w:val="16"/>
                <w:szCs w:val="16"/>
                <w:color w:val="auto"/>
              </w:rPr>
            </w:pPr>
          </w:p>
        </w:tc>
        <w:tc>
          <w:tcPr>
            <w:tcW w:w="380" w:type="dxa"/>
            <w:vAlign w:val="bottom"/>
            <w:shd w:val="clear" w:color="auto" w:fill="EDEDED"/>
          </w:tcPr>
          <w:p>
            <w:pPr>
              <w:spacing w:after="0"/>
              <w:rPr>
                <w:sz w:val="16"/>
                <w:szCs w:val="16"/>
                <w:color w:val="auto"/>
              </w:rPr>
            </w:pPr>
          </w:p>
        </w:tc>
        <w:tc>
          <w:tcPr>
            <w:tcW w:w="62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200" w:type="dxa"/>
            <w:vAlign w:val="bottom"/>
            <w:shd w:val="clear" w:color="auto" w:fill="EDEDED"/>
          </w:tcPr>
          <w:p>
            <w:pPr>
              <w:spacing w:after="0"/>
              <w:rPr>
                <w:sz w:val="16"/>
                <w:szCs w:val="16"/>
                <w:color w:val="auto"/>
              </w:rPr>
            </w:pPr>
          </w:p>
        </w:tc>
        <w:tc>
          <w:tcPr>
            <w:tcW w:w="66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900" w:type="dxa"/>
            <w:vAlign w:val="bottom"/>
            <w:shd w:val="clear" w:color="auto" w:fill="EDEDED"/>
          </w:tcPr>
          <w:p>
            <w:pPr>
              <w:spacing w:after="0"/>
              <w:rPr>
                <w:sz w:val="16"/>
                <w:szCs w:val="16"/>
                <w:color w:val="auto"/>
              </w:rPr>
            </w:pPr>
          </w:p>
        </w:tc>
      </w:tr>
      <w:tr>
        <w:trPr>
          <w:trHeight w:val="100"/>
        </w:trPr>
        <w:tc>
          <w:tcPr>
            <w:tcW w:w="2620" w:type="dxa"/>
            <w:vAlign w:val="bottom"/>
            <w:shd w:val="clear" w:color="auto" w:fill="EDEDED"/>
          </w:tcPr>
          <w:p>
            <w:pPr>
              <w:spacing w:after="0"/>
              <w:rPr>
                <w:sz w:val="8"/>
                <w:szCs w:val="8"/>
                <w:color w:val="auto"/>
              </w:rPr>
            </w:pPr>
          </w:p>
        </w:tc>
        <w:tc>
          <w:tcPr>
            <w:tcW w:w="88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c>
          <w:tcPr>
            <w:tcW w:w="2240" w:type="dxa"/>
            <w:vAlign w:val="bottom"/>
            <w:shd w:val="clear" w:color="auto" w:fill="EDEDED"/>
          </w:tcPr>
          <w:p>
            <w:pPr>
              <w:spacing w:after="0"/>
              <w:rPr>
                <w:sz w:val="8"/>
                <w:szCs w:val="8"/>
                <w:color w:val="auto"/>
              </w:rPr>
            </w:pPr>
          </w:p>
        </w:tc>
        <w:tc>
          <w:tcPr>
            <w:tcW w:w="1000" w:type="dxa"/>
            <w:vAlign w:val="bottom"/>
            <w:gridSpan w:val="2"/>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860" w:type="dxa"/>
            <w:vAlign w:val="bottom"/>
            <w:gridSpan w:val="2"/>
            <w:shd w:val="clear" w:color="auto" w:fill="EDEDED"/>
          </w:tcPr>
          <w:p>
            <w:pPr>
              <w:spacing w:after="0"/>
              <w:rPr>
                <w:sz w:val="8"/>
                <w:szCs w:val="8"/>
                <w:color w:val="auto"/>
              </w:rPr>
            </w:pPr>
          </w:p>
        </w:tc>
        <w:tc>
          <w:tcPr>
            <w:tcW w:w="76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23"/>
        </w:trPr>
        <w:tc>
          <w:tcPr>
            <w:tcW w:w="2620" w:type="dxa"/>
            <w:vAlign w:val="bottom"/>
          </w:tcPr>
          <w:p>
            <w:pPr>
              <w:ind w:left="60"/>
              <w:spacing w:after="0"/>
              <w:rPr>
                <w:sz w:val="20"/>
                <w:szCs w:val="20"/>
                <w:color w:val="auto"/>
              </w:rPr>
            </w:pPr>
            <w:r>
              <w:rPr>
                <w:rFonts w:ascii="Arial" w:cs="Arial" w:eastAsia="Arial" w:hAnsi="Arial"/>
                <w:sz w:val="16"/>
                <w:szCs w:val="16"/>
                <w:color w:val="auto"/>
              </w:rPr>
              <w:t>BorgWarner Inc.</w:t>
            </w:r>
          </w:p>
        </w:tc>
        <w:tc>
          <w:tcPr>
            <w:tcW w:w="880" w:type="dxa"/>
            <w:vAlign w:val="bottom"/>
          </w:tcPr>
          <w:p>
            <w:pPr>
              <w:ind w:left="180"/>
              <w:spacing w:after="0"/>
              <w:rPr>
                <w:sz w:val="20"/>
                <w:szCs w:val="20"/>
                <w:color w:val="auto"/>
              </w:rPr>
            </w:pPr>
            <w:r>
              <w:rPr>
                <w:rFonts w:ascii="Arial" w:cs="Arial" w:eastAsia="Arial" w:hAnsi="Arial"/>
                <w:sz w:val="16"/>
                <w:szCs w:val="16"/>
                <w:color w:val="auto"/>
              </w:rPr>
              <w:t>NYSE</w:t>
            </w:r>
          </w:p>
        </w:tc>
        <w:tc>
          <w:tcPr>
            <w:tcW w:w="900" w:type="dxa"/>
            <w:vAlign w:val="bottom"/>
          </w:tcPr>
          <w:p>
            <w:pPr>
              <w:ind w:left="220"/>
              <w:spacing w:after="0"/>
              <w:rPr>
                <w:sz w:val="20"/>
                <w:szCs w:val="20"/>
                <w:color w:val="auto"/>
              </w:rPr>
            </w:pPr>
            <w:r>
              <w:rPr>
                <w:rFonts w:ascii="Arial" w:cs="Arial" w:eastAsia="Arial" w:hAnsi="Arial"/>
                <w:sz w:val="16"/>
                <w:szCs w:val="16"/>
                <w:color w:val="auto"/>
              </w:rPr>
              <w:t>US</w:t>
            </w:r>
          </w:p>
        </w:tc>
        <w:tc>
          <w:tcPr>
            <w:tcW w:w="2240" w:type="dxa"/>
            <w:vAlign w:val="bottom"/>
          </w:tcPr>
          <w:p>
            <w:pPr>
              <w:ind w:left="100"/>
              <w:spacing w:after="0"/>
              <w:rPr>
                <w:sz w:val="20"/>
                <w:szCs w:val="20"/>
                <w:color w:val="auto"/>
              </w:rPr>
            </w:pPr>
            <w:r>
              <w:rPr>
                <w:rFonts w:ascii="Arial" w:cs="Arial" w:eastAsia="Arial" w:hAnsi="Arial"/>
                <w:sz w:val="16"/>
                <w:szCs w:val="16"/>
                <w:color w:val="auto"/>
              </w:rPr>
              <w:t>Auto Parts &amp; Equip.</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$ 10,168</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860" w:type="dxa"/>
            <w:vAlign w:val="bottom"/>
            <w:gridSpan w:val="2"/>
          </w:tcPr>
          <w:p>
            <w:pPr>
              <w:jc w:val="right"/>
              <w:ind w:right="21"/>
              <w:spacing w:after="0"/>
              <w:rPr>
                <w:sz w:val="20"/>
                <w:szCs w:val="20"/>
                <w:color w:val="auto"/>
              </w:rPr>
            </w:pPr>
            <w:r>
              <w:rPr>
                <w:rFonts w:ascii="Arial" w:cs="Arial" w:eastAsia="Arial" w:hAnsi="Arial"/>
                <w:sz w:val="16"/>
                <w:szCs w:val="16"/>
                <w:color w:val="auto"/>
              </w:rPr>
              <w:t>$ 10,325</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$ 8,958</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29,000</w:t>
            </w:r>
          </w:p>
        </w:tc>
      </w:tr>
      <w:tr>
        <w:trPr>
          <w:trHeight w:val="101"/>
        </w:trPr>
        <w:tc>
          <w:tcPr>
            <w:tcW w:w="2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2620" w:type="dxa"/>
            <w:vAlign w:val="bottom"/>
            <w:shd w:val="clear" w:color="auto" w:fill="EDEDED"/>
          </w:tcPr>
          <w:p>
            <w:pPr>
              <w:ind w:left="60"/>
              <w:spacing w:after="0"/>
              <w:rPr>
                <w:sz w:val="20"/>
                <w:szCs w:val="20"/>
                <w:color w:val="auto"/>
              </w:rPr>
            </w:pPr>
            <w:r>
              <w:rPr>
                <w:rFonts w:ascii="Arial" w:cs="Arial" w:eastAsia="Arial" w:hAnsi="Arial"/>
                <w:sz w:val="16"/>
                <w:szCs w:val="16"/>
                <w:color w:val="auto"/>
              </w:rPr>
              <w:t>Cooper-Standard Holdings Inc.</w:t>
            </w:r>
          </w:p>
        </w:tc>
        <w:tc>
          <w:tcPr>
            <w:tcW w:w="880" w:type="dxa"/>
            <w:vAlign w:val="bottom"/>
            <w:shd w:val="clear" w:color="auto" w:fill="EDEDED"/>
          </w:tcPr>
          <w:p>
            <w:pPr>
              <w:ind w:left="180"/>
              <w:spacing w:after="0"/>
              <w:rPr>
                <w:sz w:val="20"/>
                <w:szCs w:val="20"/>
                <w:color w:val="auto"/>
              </w:rPr>
            </w:pPr>
            <w:r>
              <w:rPr>
                <w:rFonts w:ascii="Arial" w:cs="Arial" w:eastAsia="Arial" w:hAnsi="Arial"/>
                <w:sz w:val="16"/>
                <w:szCs w:val="16"/>
                <w:color w:val="auto"/>
              </w:rPr>
              <w:t>NYSE</w:t>
            </w:r>
          </w:p>
        </w:tc>
        <w:tc>
          <w:tcPr>
            <w:tcW w:w="900" w:type="dxa"/>
            <w:vAlign w:val="bottom"/>
            <w:shd w:val="clear" w:color="auto" w:fill="EDEDED"/>
          </w:tcPr>
          <w:p>
            <w:pPr>
              <w:ind w:left="220"/>
              <w:spacing w:after="0"/>
              <w:rPr>
                <w:sz w:val="20"/>
                <w:szCs w:val="20"/>
                <w:color w:val="auto"/>
              </w:rPr>
            </w:pPr>
            <w:r>
              <w:rPr>
                <w:rFonts w:ascii="Arial" w:cs="Arial" w:eastAsia="Arial" w:hAnsi="Arial"/>
                <w:sz w:val="16"/>
                <w:szCs w:val="16"/>
                <w:color w:val="auto"/>
              </w:rPr>
              <w:t>US</w:t>
            </w:r>
          </w:p>
        </w:tc>
        <w:tc>
          <w:tcPr>
            <w:tcW w:w="22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Auto Parts &amp; Equip.</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3,108</w:t>
            </w:r>
          </w:p>
        </w:tc>
        <w:tc>
          <w:tcPr>
            <w:tcW w:w="8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6%</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1,149</w:t>
            </w:r>
          </w:p>
        </w:tc>
        <w:tc>
          <w:tcPr>
            <w:tcW w:w="7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  558</w:t>
            </w:r>
          </w:p>
        </w:tc>
        <w:tc>
          <w:tcPr>
            <w:tcW w:w="9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32,000</w:t>
            </w:r>
          </w:p>
        </w:tc>
      </w:tr>
      <w:tr>
        <w:trPr>
          <w:trHeight w:val="100"/>
        </w:trPr>
        <w:tc>
          <w:tcPr>
            <w:tcW w:w="2620" w:type="dxa"/>
            <w:vAlign w:val="bottom"/>
            <w:shd w:val="clear" w:color="auto" w:fill="EDEDED"/>
          </w:tcPr>
          <w:p>
            <w:pPr>
              <w:spacing w:after="0"/>
              <w:rPr>
                <w:sz w:val="8"/>
                <w:szCs w:val="8"/>
                <w:color w:val="auto"/>
              </w:rPr>
            </w:pPr>
          </w:p>
        </w:tc>
        <w:tc>
          <w:tcPr>
            <w:tcW w:w="88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c>
          <w:tcPr>
            <w:tcW w:w="2240" w:type="dxa"/>
            <w:vAlign w:val="bottom"/>
            <w:shd w:val="clear" w:color="auto" w:fill="EDEDED"/>
          </w:tcPr>
          <w:p>
            <w:pPr>
              <w:spacing w:after="0"/>
              <w:rPr>
                <w:sz w:val="8"/>
                <w:szCs w:val="8"/>
                <w:color w:val="auto"/>
              </w:rPr>
            </w:pPr>
          </w:p>
        </w:tc>
        <w:tc>
          <w:tcPr>
            <w:tcW w:w="380" w:type="dxa"/>
            <w:vAlign w:val="bottom"/>
            <w:shd w:val="clear" w:color="auto" w:fill="EDEDED"/>
          </w:tcPr>
          <w:p>
            <w:pPr>
              <w:spacing w:after="0"/>
              <w:rPr>
                <w:sz w:val="8"/>
                <w:szCs w:val="8"/>
                <w:color w:val="auto"/>
              </w:rPr>
            </w:pPr>
          </w:p>
        </w:tc>
        <w:tc>
          <w:tcPr>
            <w:tcW w:w="62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76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23"/>
        </w:trPr>
        <w:tc>
          <w:tcPr>
            <w:tcW w:w="2620" w:type="dxa"/>
            <w:vAlign w:val="bottom"/>
          </w:tcPr>
          <w:p>
            <w:pPr>
              <w:ind w:left="60"/>
              <w:spacing w:after="0"/>
              <w:rPr>
                <w:sz w:val="20"/>
                <w:szCs w:val="20"/>
                <w:color w:val="auto"/>
              </w:rPr>
            </w:pPr>
            <w:r>
              <w:rPr>
                <w:rFonts w:ascii="Arial" w:cs="Arial" w:eastAsia="Arial" w:hAnsi="Arial"/>
                <w:sz w:val="16"/>
                <w:szCs w:val="16"/>
                <w:color w:val="auto"/>
              </w:rPr>
              <w:t>Dana Incorporated</w:t>
            </w:r>
          </w:p>
        </w:tc>
        <w:tc>
          <w:tcPr>
            <w:tcW w:w="880" w:type="dxa"/>
            <w:vAlign w:val="bottom"/>
          </w:tcPr>
          <w:p>
            <w:pPr>
              <w:ind w:left="180"/>
              <w:spacing w:after="0"/>
              <w:rPr>
                <w:sz w:val="20"/>
                <w:szCs w:val="20"/>
                <w:color w:val="auto"/>
              </w:rPr>
            </w:pPr>
            <w:r>
              <w:rPr>
                <w:rFonts w:ascii="Arial" w:cs="Arial" w:eastAsia="Arial" w:hAnsi="Arial"/>
                <w:sz w:val="16"/>
                <w:szCs w:val="16"/>
                <w:color w:val="auto"/>
              </w:rPr>
              <w:t>NYSE</w:t>
            </w:r>
          </w:p>
        </w:tc>
        <w:tc>
          <w:tcPr>
            <w:tcW w:w="900" w:type="dxa"/>
            <w:vAlign w:val="bottom"/>
          </w:tcPr>
          <w:p>
            <w:pPr>
              <w:ind w:left="220"/>
              <w:spacing w:after="0"/>
              <w:rPr>
                <w:sz w:val="20"/>
                <w:szCs w:val="20"/>
                <w:color w:val="auto"/>
              </w:rPr>
            </w:pPr>
            <w:r>
              <w:rPr>
                <w:rFonts w:ascii="Arial" w:cs="Arial" w:eastAsia="Arial" w:hAnsi="Arial"/>
                <w:sz w:val="16"/>
                <w:szCs w:val="16"/>
                <w:color w:val="auto"/>
              </w:rPr>
              <w:t>US</w:t>
            </w:r>
          </w:p>
        </w:tc>
        <w:tc>
          <w:tcPr>
            <w:tcW w:w="2240" w:type="dxa"/>
            <w:vAlign w:val="bottom"/>
          </w:tcPr>
          <w:p>
            <w:pPr>
              <w:ind w:left="100"/>
              <w:spacing w:after="0"/>
              <w:rPr>
                <w:sz w:val="20"/>
                <w:szCs w:val="20"/>
                <w:color w:val="auto"/>
              </w:rPr>
            </w:pPr>
            <w:r>
              <w:rPr>
                <w:rFonts w:ascii="Arial" w:cs="Arial" w:eastAsia="Arial" w:hAnsi="Arial"/>
                <w:sz w:val="16"/>
                <w:szCs w:val="16"/>
                <w:color w:val="auto"/>
              </w:rPr>
              <w:t>Auto Parts &amp; Equip.</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8,620</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5,150</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$ 2,619</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36,300</w:t>
            </w:r>
          </w:p>
        </w:tc>
      </w:tr>
      <w:tr>
        <w:trPr>
          <w:trHeight w:val="101"/>
        </w:trPr>
        <w:tc>
          <w:tcPr>
            <w:tcW w:w="2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2620" w:type="dxa"/>
            <w:vAlign w:val="bottom"/>
            <w:shd w:val="clear" w:color="auto" w:fill="EDEDED"/>
          </w:tcPr>
          <w:p>
            <w:pPr>
              <w:ind w:left="60"/>
              <w:spacing w:after="0"/>
              <w:rPr>
                <w:sz w:val="20"/>
                <w:szCs w:val="20"/>
                <w:color w:val="auto"/>
              </w:rPr>
            </w:pPr>
            <w:r>
              <w:rPr>
                <w:rFonts w:ascii="Arial" w:cs="Arial" w:eastAsia="Arial" w:hAnsi="Arial"/>
                <w:sz w:val="16"/>
                <w:szCs w:val="16"/>
                <w:color w:val="auto"/>
              </w:rPr>
              <w:t>Delphi Technologies PLC</w:t>
            </w:r>
          </w:p>
        </w:tc>
        <w:tc>
          <w:tcPr>
            <w:tcW w:w="880" w:type="dxa"/>
            <w:vAlign w:val="bottom"/>
            <w:shd w:val="clear" w:color="auto" w:fill="EDEDED"/>
          </w:tcPr>
          <w:p>
            <w:pPr>
              <w:ind w:left="180"/>
              <w:spacing w:after="0"/>
              <w:rPr>
                <w:sz w:val="20"/>
                <w:szCs w:val="20"/>
                <w:color w:val="auto"/>
              </w:rPr>
            </w:pPr>
            <w:r>
              <w:rPr>
                <w:rFonts w:ascii="Arial" w:cs="Arial" w:eastAsia="Arial" w:hAnsi="Arial"/>
                <w:sz w:val="16"/>
                <w:szCs w:val="16"/>
                <w:color w:val="auto"/>
              </w:rPr>
              <w:t>NYSE</w:t>
            </w:r>
          </w:p>
        </w:tc>
        <w:tc>
          <w:tcPr>
            <w:tcW w:w="900" w:type="dxa"/>
            <w:vAlign w:val="bottom"/>
            <w:shd w:val="clear" w:color="auto" w:fill="EDEDED"/>
          </w:tcPr>
          <w:p>
            <w:pPr>
              <w:ind w:left="220"/>
              <w:spacing w:after="0"/>
              <w:rPr>
                <w:sz w:val="20"/>
                <w:szCs w:val="20"/>
                <w:color w:val="auto"/>
              </w:rPr>
            </w:pPr>
            <w:r>
              <w:rPr>
                <w:rFonts w:ascii="Arial" w:cs="Arial" w:eastAsia="Arial" w:hAnsi="Arial"/>
                <w:sz w:val="16"/>
                <w:szCs w:val="16"/>
                <w:color w:val="auto"/>
              </w:rPr>
              <w:t>UK</w:t>
            </w:r>
          </w:p>
        </w:tc>
        <w:tc>
          <w:tcPr>
            <w:tcW w:w="22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Auto Parts &amp; Equip.</w:t>
            </w:r>
          </w:p>
        </w:tc>
        <w:tc>
          <w:tcPr>
            <w:tcW w:w="380" w:type="dxa"/>
            <w:vAlign w:val="bottom"/>
            <w:shd w:val="clear" w:color="auto" w:fill="EDEDED"/>
          </w:tcPr>
          <w:p>
            <w:pPr>
              <w:ind w:left="28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4,361</w:t>
            </w:r>
          </w:p>
        </w:tc>
        <w:tc>
          <w:tcPr>
            <w:tcW w:w="86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auto"/>
              </w:rPr>
              <w:t>10%</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1"/>
              <w:spacing w:after="0"/>
              <w:rPr>
                <w:sz w:val="20"/>
                <w:szCs w:val="20"/>
                <w:color w:val="auto"/>
              </w:rPr>
            </w:pPr>
            <w:r>
              <w:rPr>
                <w:rFonts w:ascii="Arial" w:cs="Arial" w:eastAsia="Arial" w:hAnsi="Arial"/>
                <w:sz w:val="16"/>
                <w:szCs w:val="16"/>
                <w:color w:val="auto"/>
              </w:rPr>
              <w:t>2,754</w:t>
            </w:r>
          </w:p>
        </w:tc>
        <w:tc>
          <w:tcPr>
            <w:tcW w:w="76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7"/>
              </w:rPr>
              <w:t>$ 1,104</w:t>
            </w:r>
          </w:p>
        </w:tc>
        <w:tc>
          <w:tcPr>
            <w:tcW w:w="9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21,000</w:t>
            </w:r>
          </w:p>
        </w:tc>
      </w:tr>
      <w:tr>
        <w:trPr>
          <w:trHeight w:val="100"/>
        </w:trPr>
        <w:tc>
          <w:tcPr>
            <w:tcW w:w="2620" w:type="dxa"/>
            <w:vAlign w:val="bottom"/>
            <w:shd w:val="clear" w:color="auto" w:fill="EDEDED"/>
          </w:tcPr>
          <w:p>
            <w:pPr>
              <w:spacing w:after="0"/>
              <w:rPr>
                <w:sz w:val="8"/>
                <w:szCs w:val="8"/>
                <w:color w:val="auto"/>
              </w:rPr>
            </w:pPr>
          </w:p>
        </w:tc>
        <w:tc>
          <w:tcPr>
            <w:tcW w:w="88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c>
          <w:tcPr>
            <w:tcW w:w="2240" w:type="dxa"/>
            <w:vAlign w:val="bottom"/>
            <w:shd w:val="clear" w:color="auto" w:fill="EDEDED"/>
          </w:tcPr>
          <w:p>
            <w:pPr>
              <w:spacing w:after="0"/>
              <w:rPr>
                <w:sz w:val="8"/>
                <w:szCs w:val="8"/>
                <w:color w:val="auto"/>
              </w:rPr>
            </w:pPr>
          </w:p>
        </w:tc>
        <w:tc>
          <w:tcPr>
            <w:tcW w:w="380" w:type="dxa"/>
            <w:vAlign w:val="bottom"/>
            <w:shd w:val="clear" w:color="auto" w:fill="EDEDED"/>
          </w:tcPr>
          <w:p>
            <w:pPr>
              <w:spacing w:after="0"/>
              <w:rPr>
                <w:sz w:val="8"/>
                <w:szCs w:val="8"/>
                <w:color w:val="auto"/>
              </w:rPr>
            </w:pPr>
          </w:p>
        </w:tc>
        <w:tc>
          <w:tcPr>
            <w:tcW w:w="62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76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18"/>
        </w:trPr>
        <w:tc>
          <w:tcPr>
            <w:tcW w:w="2620" w:type="dxa"/>
            <w:vAlign w:val="bottom"/>
          </w:tcPr>
          <w:p>
            <w:pPr>
              <w:ind w:left="60"/>
              <w:spacing w:after="0"/>
              <w:rPr>
                <w:sz w:val="20"/>
                <w:szCs w:val="20"/>
                <w:color w:val="auto"/>
              </w:rPr>
            </w:pPr>
            <w:r>
              <w:rPr>
                <w:rFonts w:ascii="Arial" w:cs="Arial" w:eastAsia="Arial" w:hAnsi="Arial"/>
                <w:sz w:val="16"/>
                <w:szCs w:val="16"/>
                <w:color w:val="auto"/>
              </w:rPr>
              <w:t>Meritor, Inc.</w:t>
            </w:r>
          </w:p>
        </w:tc>
        <w:tc>
          <w:tcPr>
            <w:tcW w:w="880" w:type="dxa"/>
            <w:vAlign w:val="bottom"/>
          </w:tcPr>
          <w:p>
            <w:pPr>
              <w:ind w:left="180"/>
              <w:spacing w:after="0"/>
              <w:rPr>
                <w:sz w:val="20"/>
                <w:szCs w:val="20"/>
                <w:color w:val="auto"/>
              </w:rPr>
            </w:pPr>
            <w:r>
              <w:rPr>
                <w:rFonts w:ascii="Arial" w:cs="Arial" w:eastAsia="Arial" w:hAnsi="Arial"/>
                <w:sz w:val="16"/>
                <w:szCs w:val="16"/>
                <w:color w:val="auto"/>
              </w:rPr>
              <w:t>NYSE</w:t>
            </w:r>
          </w:p>
        </w:tc>
        <w:tc>
          <w:tcPr>
            <w:tcW w:w="900" w:type="dxa"/>
            <w:vAlign w:val="bottom"/>
          </w:tcPr>
          <w:p>
            <w:pPr>
              <w:ind w:left="220"/>
              <w:spacing w:after="0"/>
              <w:rPr>
                <w:sz w:val="20"/>
                <w:szCs w:val="20"/>
                <w:color w:val="auto"/>
              </w:rPr>
            </w:pPr>
            <w:r>
              <w:rPr>
                <w:rFonts w:ascii="Arial" w:cs="Arial" w:eastAsia="Arial" w:hAnsi="Arial"/>
                <w:sz w:val="16"/>
                <w:szCs w:val="16"/>
                <w:color w:val="auto"/>
              </w:rPr>
              <w:t>US</w:t>
            </w:r>
          </w:p>
        </w:tc>
        <w:tc>
          <w:tcPr>
            <w:tcW w:w="2240" w:type="dxa"/>
            <w:vAlign w:val="bottom"/>
          </w:tcPr>
          <w:p>
            <w:pPr>
              <w:ind w:left="100"/>
              <w:spacing w:after="0"/>
              <w:rPr>
                <w:sz w:val="20"/>
                <w:szCs w:val="20"/>
                <w:color w:val="auto"/>
              </w:rPr>
            </w:pPr>
            <w:r>
              <w:rPr>
                <w:rFonts w:ascii="Arial" w:cs="Arial" w:eastAsia="Arial" w:hAnsi="Arial"/>
                <w:sz w:val="16"/>
                <w:szCs w:val="16"/>
                <w:color w:val="auto"/>
              </w:rPr>
              <w:t>Construction Machinery &amp;</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4,251</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2,911</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$ 2,046</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9,100</w:t>
            </w:r>
          </w:p>
        </w:tc>
      </w:tr>
      <w:tr>
        <w:trPr>
          <w:trHeight w:val="195"/>
        </w:trPr>
        <w:tc>
          <w:tcPr>
            <w:tcW w:w="2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40" w:type="dxa"/>
            <w:vAlign w:val="bottom"/>
          </w:tcPr>
          <w:p>
            <w:pPr>
              <w:ind w:left="100"/>
              <w:spacing w:after="0"/>
              <w:rPr>
                <w:sz w:val="20"/>
                <w:szCs w:val="20"/>
                <w:color w:val="auto"/>
              </w:rPr>
            </w:pPr>
            <w:r>
              <w:rPr>
                <w:rFonts w:ascii="Arial" w:cs="Arial" w:eastAsia="Arial" w:hAnsi="Arial"/>
                <w:sz w:val="16"/>
                <w:szCs w:val="16"/>
                <w:color w:val="auto"/>
              </w:rPr>
              <w:t>Heavy Trucks</w:t>
            </w: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312420</wp:posOffset>
            </wp:positionV>
            <wp:extent cx="6995160" cy="625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Enterprise</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rPr>
              <w:t>Market</w:t>
            </w:r>
          </w:p>
        </w:tc>
        <w:tc>
          <w:tcPr>
            <w:tcW w:w="90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color w:val="auto"/>
              </w:rPr>
              <w:t>Country of</w:t>
            </w:r>
          </w:p>
        </w:tc>
        <w:tc>
          <w:tcPr>
            <w:tcW w:w="2140" w:type="dxa"/>
            <w:vAlign w:val="bottom"/>
          </w:tcPr>
          <w:p>
            <w:pPr>
              <w:ind w:left="640"/>
              <w:spacing w:after="0"/>
              <w:rPr>
                <w:sz w:val="20"/>
                <w:szCs w:val="20"/>
                <w:color w:val="auto"/>
              </w:rPr>
            </w:pPr>
            <w:r>
              <w:rPr>
                <w:rFonts w:ascii="Arial" w:cs="Arial" w:eastAsia="Arial" w:hAnsi="Arial"/>
                <w:sz w:val="14"/>
                <w:szCs w:val="14"/>
                <w:color w:val="auto"/>
              </w:rPr>
              <w:t>Primary Industry</w:t>
            </w: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Revenue</w:t>
            </w:r>
          </w:p>
        </w:tc>
        <w:tc>
          <w:tcPr>
            <w:tcW w:w="860" w:type="dxa"/>
            <w:vAlign w:val="bottom"/>
          </w:tcPr>
          <w:p>
            <w:pPr>
              <w:jc w:val="right"/>
              <w:ind w:right="160"/>
              <w:spacing w:after="0"/>
              <w:rPr>
                <w:sz w:val="20"/>
                <w:szCs w:val="20"/>
                <w:color w:val="auto"/>
              </w:rPr>
            </w:pPr>
            <w:r>
              <w:rPr>
                <w:rFonts w:ascii="Arial" w:cs="Arial" w:eastAsia="Arial" w:hAnsi="Arial"/>
                <w:sz w:val="14"/>
                <w:szCs w:val="14"/>
                <w:color w:val="auto"/>
              </w:rPr>
              <w:t>EBITDA</w:t>
            </w:r>
          </w:p>
        </w:tc>
        <w:tc>
          <w:tcPr>
            <w:tcW w:w="20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540" w:type="dxa"/>
            <w:vAlign w:val="bottom"/>
          </w:tcPr>
          <w:p>
            <w:pPr>
              <w:jc w:val="center"/>
              <w:ind w:right="160"/>
              <w:spacing w:after="0"/>
              <w:rPr>
                <w:sz w:val="20"/>
                <w:szCs w:val="20"/>
                <w:color w:val="auto"/>
              </w:rPr>
            </w:pPr>
            <w:r>
              <w:rPr>
                <w:rFonts w:ascii="Arial" w:cs="Arial" w:eastAsia="Arial" w:hAnsi="Arial"/>
                <w:sz w:val="14"/>
                <w:szCs w:val="14"/>
                <w:color w:val="auto"/>
              </w:rPr>
              <w:t>Cap</w:t>
            </w:r>
          </w:p>
        </w:tc>
        <w:tc>
          <w:tcPr>
            <w:tcW w:w="900" w:type="dxa"/>
            <w:vAlign w:val="bottom"/>
          </w:tcPr>
          <w:p>
            <w:pPr>
              <w:jc w:val="right"/>
              <w:ind w:right="60"/>
              <w:spacing w:after="0"/>
              <w:rPr>
                <w:sz w:val="20"/>
                <w:szCs w:val="20"/>
                <w:color w:val="auto"/>
              </w:rPr>
            </w:pPr>
            <w:r>
              <w:rPr>
                <w:rFonts w:ascii="Arial" w:cs="Arial" w:eastAsia="Arial" w:hAnsi="Arial"/>
                <w:sz w:val="14"/>
                <w:szCs w:val="14"/>
                <w:color w:val="auto"/>
              </w:rPr>
              <w:t>Employee</w:t>
            </w:r>
          </w:p>
        </w:tc>
      </w:tr>
      <w:tr>
        <w:trPr>
          <w:trHeight w:val="172"/>
        </w:trPr>
        <w:tc>
          <w:tcPr>
            <w:tcW w:w="2420" w:type="dxa"/>
            <w:vAlign w:val="bottom"/>
          </w:tcPr>
          <w:p>
            <w:pPr>
              <w:ind w:left="60"/>
              <w:spacing w:after="0"/>
              <w:rPr>
                <w:sz w:val="20"/>
                <w:szCs w:val="20"/>
                <w:color w:val="auto"/>
              </w:rPr>
            </w:pPr>
            <w:r>
              <w:rPr>
                <w:rFonts w:ascii="Arial" w:cs="Arial" w:eastAsia="Arial" w:hAnsi="Arial"/>
                <w:sz w:val="14"/>
                <w:szCs w:val="14"/>
                <w:color w:val="auto"/>
              </w:rPr>
              <w:t>Company</w:t>
            </w:r>
          </w:p>
        </w:tc>
        <w:tc>
          <w:tcPr>
            <w:tcW w:w="1100" w:type="dxa"/>
            <w:vAlign w:val="bottom"/>
          </w:tcPr>
          <w:p>
            <w:pPr>
              <w:ind w:left="220"/>
              <w:spacing w:after="0"/>
              <w:rPr>
                <w:sz w:val="20"/>
                <w:szCs w:val="20"/>
                <w:color w:val="auto"/>
              </w:rPr>
            </w:pPr>
            <w:r>
              <w:rPr>
                <w:rFonts w:ascii="Arial" w:cs="Arial" w:eastAsia="Arial" w:hAnsi="Arial"/>
                <w:sz w:val="14"/>
                <w:szCs w:val="14"/>
                <w:color w:val="auto"/>
              </w:rPr>
              <w:t>Exchange</w:t>
            </w:r>
          </w:p>
        </w:tc>
        <w:tc>
          <w:tcPr>
            <w:tcW w:w="1100" w:type="dxa"/>
            <w:vAlign w:val="bottom"/>
          </w:tcPr>
          <w:p>
            <w:pPr>
              <w:ind w:left="440"/>
              <w:spacing w:after="0"/>
              <w:rPr>
                <w:sz w:val="20"/>
                <w:szCs w:val="20"/>
                <w:color w:val="auto"/>
              </w:rPr>
            </w:pPr>
            <w:r>
              <w:rPr>
                <w:rFonts w:ascii="Arial" w:cs="Arial" w:eastAsia="Arial" w:hAnsi="Arial"/>
                <w:sz w:val="14"/>
                <w:szCs w:val="14"/>
                <w:color w:val="auto"/>
              </w:rPr>
              <w:t>HQ</w:t>
            </w:r>
          </w:p>
        </w:tc>
        <w:tc>
          <w:tcPr>
            <w:tcW w:w="2140" w:type="dxa"/>
            <w:vAlign w:val="bottom"/>
          </w:tcPr>
          <w:p>
            <w:pPr>
              <w:ind w:left="740"/>
              <w:spacing w:after="0"/>
              <w:rPr>
                <w:sz w:val="20"/>
                <w:szCs w:val="20"/>
                <w:color w:val="auto"/>
              </w:rPr>
            </w:pPr>
            <w:r>
              <w:rPr>
                <w:rFonts w:ascii="Arial" w:cs="Arial" w:eastAsia="Arial" w:hAnsi="Arial"/>
                <w:sz w:val="14"/>
                <w:szCs w:val="14"/>
                <w:color w:val="auto"/>
              </w:rPr>
              <w:t>Classification</w:t>
            </w:r>
          </w:p>
        </w:tc>
        <w:tc>
          <w:tcPr>
            <w:tcW w:w="280" w:type="dxa"/>
            <w:vAlign w:val="bottom"/>
          </w:tcPr>
          <w:p>
            <w:pPr>
              <w:spacing w:after="0"/>
              <w:rPr>
                <w:sz w:val="14"/>
                <w:szCs w:val="14"/>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color w:val="auto"/>
              </w:rPr>
              <w:t>($Mil)</w:t>
            </w:r>
          </w:p>
        </w:tc>
        <w:tc>
          <w:tcPr>
            <w:tcW w:w="860" w:type="dxa"/>
            <w:vAlign w:val="bottom"/>
          </w:tcPr>
          <w:p>
            <w:pPr>
              <w:jc w:val="right"/>
              <w:ind w:right="200"/>
              <w:spacing w:after="0"/>
              <w:rPr>
                <w:sz w:val="20"/>
                <w:szCs w:val="20"/>
                <w:color w:val="auto"/>
              </w:rPr>
            </w:pPr>
            <w:r>
              <w:rPr>
                <w:rFonts w:ascii="Arial" w:cs="Arial" w:eastAsia="Arial" w:hAnsi="Arial"/>
                <w:sz w:val="14"/>
                <w:szCs w:val="14"/>
                <w:color w:val="auto"/>
              </w:rPr>
              <w:t>Margin</w:t>
            </w:r>
          </w:p>
        </w:tc>
        <w:tc>
          <w:tcPr>
            <w:tcW w:w="200" w:type="dxa"/>
            <w:vAlign w:val="bottom"/>
          </w:tcPr>
          <w:p>
            <w:pPr>
              <w:spacing w:after="0"/>
              <w:rPr>
                <w:sz w:val="14"/>
                <w:szCs w:val="14"/>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color w:val="auto"/>
              </w:rPr>
              <w:t>($Mil)</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rPr>
              <w:t>($Mil)</w:t>
            </w:r>
          </w:p>
        </w:tc>
        <w:tc>
          <w:tcPr>
            <w:tcW w:w="900" w:type="dxa"/>
            <w:vAlign w:val="bottom"/>
          </w:tcPr>
          <w:p>
            <w:pPr>
              <w:jc w:val="right"/>
              <w:ind w:right="180"/>
              <w:spacing w:after="0"/>
              <w:rPr>
                <w:sz w:val="20"/>
                <w:szCs w:val="20"/>
                <w:color w:val="auto"/>
              </w:rPr>
            </w:pPr>
            <w:r>
              <w:rPr>
                <w:rFonts w:ascii="Arial" w:cs="Arial" w:eastAsia="Arial" w:hAnsi="Arial"/>
                <w:sz w:val="14"/>
                <w:szCs w:val="14"/>
                <w:color w:val="auto"/>
              </w:rPr>
              <w:t>Count</w:t>
            </w:r>
          </w:p>
        </w:tc>
      </w:tr>
      <w:tr>
        <w:trPr>
          <w:trHeight w:val="100"/>
        </w:trPr>
        <w:tc>
          <w:tcPr>
            <w:tcW w:w="24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10"/>
        </w:trPr>
        <w:tc>
          <w:tcPr>
            <w:tcW w:w="2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Modine Manufacturing Company</w:t>
            </w:r>
          </w:p>
        </w:tc>
        <w:tc>
          <w:tcPr>
            <w:tcW w:w="1100" w:type="dxa"/>
            <w:vAlign w:val="bottom"/>
            <w:shd w:val="clear" w:color="auto" w:fill="EDEDED"/>
          </w:tcPr>
          <w:p>
            <w:pPr>
              <w:ind w:left="160"/>
              <w:spacing w:after="0"/>
              <w:rPr>
                <w:sz w:val="20"/>
                <w:szCs w:val="20"/>
                <w:color w:val="auto"/>
              </w:rPr>
            </w:pPr>
            <w:r>
              <w:rPr>
                <w:rFonts w:ascii="Arial" w:cs="Arial" w:eastAsia="Arial" w:hAnsi="Arial"/>
                <w:sz w:val="16"/>
                <w:szCs w:val="16"/>
                <w:color w:val="auto"/>
              </w:rPr>
              <w:t>NYSE</w:t>
            </w:r>
          </w:p>
        </w:tc>
        <w:tc>
          <w:tcPr>
            <w:tcW w:w="1100" w:type="dxa"/>
            <w:vAlign w:val="bottom"/>
            <w:shd w:val="clear" w:color="auto" w:fill="EDEDED"/>
          </w:tcPr>
          <w:p>
            <w:pPr>
              <w:ind w:left="140"/>
              <w:spacing w:after="0"/>
              <w:rPr>
                <w:sz w:val="20"/>
                <w:szCs w:val="20"/>
                <w:color w:val="auto"/>
              </w:rPr>
            </w:pPr>
            <w:r>
              <w:rPr>
                <w:rFonts w:ascii="Arial" w:cs="Arial" w:eastAsia="Arial" w:hAnsi="Arial"/>
                <w:sz w:val="16"/>
                <w:szCs w:val="16"/>
                <w:color w:val="auto"/>
              </w:rPr>
              <w:t>US</w:t>
            </w: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shd w:val="clear" w:color="auto" w:fill="EDEDED"/>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2,059</w:t>
            </w: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893</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391</w:t>
            </w:r>
          </w:p>
        </w:tc>
        <w:tc>
          <w:tcPr>
            <w:tcW w:w="9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12,200</w:t>
            </w:r>
          </w:p>
        </w:tc>
      </w:tr>
      <w:tr>
        <w:trPr>
          <w:trHeight w:val="100"/>
        </w:trPr>
        <w:tc>
          <w:tcPr>
            <w:tcW w:w="242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2140" w:type="dxa"/>
            <w:vAlign w:val="bottom"/>
            <w:shd w:val="clear" w:color="auto" w:fill="EDEDED"/>
          </w:tcPr>
          <w:p>
            <w:pPr>
              <w:spacing w:after="0"/>
              <w:rPr>
                <w:sz w:val="8"/>
                <w:szCs w:val="8"/>
                <w:color w:val="auto"/>
              </w:rPr>
            </w:pPr>
          </w:p>
        </w:tc>
        <w:tc>
          <w:tcPr>
            <w:tcW w:w="880" w:type="dxa"/>
            <w:vAlign w:val="bottom"/>
            <w:gridSpan w:val="2"/>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760" w:type="dxa"/>
            <w:vAlign w:val="bottom"/>
            <w:gridSpan w:val="2"/>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23"/>
        </w:trPr>
        <w:tc>
          <w:tcPr>
            <w:tcW w:w="2420" w:type="dxa"/>
            <w:vAlign w:val="bottom"/>
          </w:tcPr>
          <w:p>
            <w:pPr>
              <w:ind w:left="60"/>
              <w:spacing w:after="0"/>
              <w:rPr>
                <w:sz w:val="20"/>
                <w:szCs w:val="20"/>
                <w:color w:val="auto"/>
              </w:rPr>
            </w:pPr>
            <w:r>
              <w:rPr>
                <w:rFonts w:ascii="Arial" w:cs="Arial" w:eastAsia="Arial" w:hAnsi="Arial"/>
                <w:sz w:val="16"/>
                <w:szCs w:val="16"/>
                <w:color w:val="auto"/>
              </w:rPr>
              <w:t>Tenneco Inc.</w:t>
            </w:r>
          </w:p>
        </w:tc>
        <w:tc>
          <w:tcPr>
            <w:tcW w:w="1100" w:type="dxa"/>
            <w:vAlign w:val="bottom"/>
          </w:tcPr>
          <w:p>
            <w:pPr>
              <w:ind w:left="160"/>
              <w:spacing w:after="0"/>
              <w:rPr>
                <w:sz w:val="20"/>
                <w:szCs w:val="20"/>
                <w:color w:val="auto"/>
              </w:rPr>
            </w:pPr>
            <w:r>
              <w:rPr>
                <w:rFonts w:ascii="Arial" w:cs="Arial" w:eastAsia="Arial" w:hAnsi="Arial"/>
                <w:sz w:val="16"/>
                <w:szCs w:val="16"/>
                <w:color w:val="auto"/>
              </w:rPr>
              <w:t>NYSE</w:t>
            </w:r>
          </w:p>
        </w:tc>
        <w:tc>
          <w:tcPr>
            <w:tcW w:w="1100" w:type="dxa"/>
            <w:vAlign w:val="bottom"/>
          </w:tcPr>
          <w:p>
            <w:pPr>
              <w:ind w:left="140"/>
              <w:spacing w:after="0"/>
              <w:rPr>
                <w:sz w:val="20"/>
                <w:szCs w:val="20"/>
                <w:color w:val="auto"/>
              </w:rPr>
            </w:pPr>
            <w:r>
              <w:rPr>
                <w:rFonts w:ascii="Arial" w:cs="Arial" w:eastAsia="Arial" w:hAnsi="Arial"/>
                <w:sz w:val="16"/>
                <w:szCs w:val="16"/>
                <w:color w:val="auto"/>
              </w:rPr>
              <w:t>US</w:t>
            </w:r>
          </w:p>
        </w:tc>
        <w:tc>
          <w:tcPr>
            <w:tcW w:w="2140" w:type="dxa"/>
            <w:vAlign w:val="bottom"/>
          </w:tcPr>
          <w:p>
            <w:pPr>
              <w:ind w:left="120"/>
              <w:spacing w:after="0"/>
              <w:rPr>
                <w:sz w:val="20"/>
                <w:szCs w:val="20"/>
                <w:color w:val="auto"/>
              </w:rPr>
            </w:pPr>
            <w:r>
              <w:rPr>
                <w:rFonts w:ascii="Arial" w:cs="Arial" w:eastAsia="Arial" w:hAnsi="Arial"/>
                <w:sz w:val="16"/>
                <w:szCs w:val="16"/>
                <w:color w:val="auto"/>
              </w:rPr>
              <w:t>Auto Parts &amp; Equip.</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$17,450</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6,914</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$ 1,060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78,000</w:t>
            </w:r>
          </w:p>
        </w:tc>
      </w:tr>
      <w:tr>
        <w:trPr>
          <w:trHeight w:val="101"/>
        </w:trPr>
        <w:tc>
          <w:tcPr>
            <w:tcW w:w="2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2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The Timken Company</w:t>
            </w:r>
          </w:p>
        </w:tc>
        <w:tc>
          <w:tcPr>
            <w:tcW w:w="1100" w:type="dxa"/>
            <w:vAlign w:val="bottom"/>
            <w:shd w:val="clear" w:color="auto" w:fill="EDEDED"/>
          </w:tcPr>
          <w:p>
            <w:pPr>
              <w:ind w:left="160"/>
              <w:spacing w:after="0"/>
              <w:rPr>
                <w:sz w:val="20"/>
                <w:szCs w:val="20"/>
                <w:color w:val="auto"/>
              </w:rPr>
            </w:pPr>
            <w:r>
              <w:rPr>
                <w:rFonts w:ascii="Arial" w:cs="Arial" w:eastAsia="Arial" w:hAnsi="Arial"/>
                <w:sz w:val="16"/>
                <w:szCs w:val="16"/>
                <w:color w:val="auto"/>
              </w:rPr>
              <w:t>NYSE</w:t>
            </w:r>
          </w:p>
        </w:tc>
        <w:tc>
          <w:tcPr>
            <w:tcW w:w="1100" w:type="dxa"/>
            <w:vAlign w:val="bottom"/>
            <w:shd w:val="clear" w:color="auto" w:fill="EDEDED"/>
          </w:tcPr>
          <w:p>
            <w:pPr>
              <w:ind w:left="140"/>
              <w:spacing w:after="0"/>
              <w:rPr>
                <w:sz w:val="20"/>
                <w:szCs w:val="20"/>
                <w:color w:val="auto"/>
              </w:rPr>
            </w:pPr>
            <w:r>
              <w:rPr>
                <w:rFonts w:ascii="Arial" w:cs="Arial" w:eastAsia="Arial" w:hAnsi="Arial"/>
                <w:sz w:val="16"/>
                <w:szCs w:val="16"/>
                <w:color w:val="auto"/>
              </w:rPr>
              <w:t>US</w:t>
            </w: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Industrial Machinery</w:t>
            </w:r>
          </w:p>
        </w:tc>
        <w:tc>
          <w:tcPr>
            <w:tcW w:w="280" w:type="dxa"/>
            <w:vAlign w:val="bottom"/>
            <w:shd w:val="clear" w:color="auto" w:fill="EDEDED"/>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3,790</w:t>
            </w: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5,883</w:t>
            </w:r>
          </w:p>
        </w:tc>
        <w:tc>
          <w:tcPr>
            <w:tcW w:w="760" w:type="dxa"/>
            <w:vAlign w:val="bottom"/>
            <w:gridSpan w:val="2"/>
            <w:shd w:val="clear" w:color="auto" w:fill="EDEDED"/>
          </w:tcPr>
          <w:p>
            <w:pPr>
              <w:jc w:val="right"/>
              <w:ind w:right="40"/>
              <w:spacing w:after="0"/>
              <w:rPr>
                <w:sz w:val="20"/>
                <w:szCs w:val="20"/>
                <w:color w:val="auto"/>
              </w:rPr>
            </w:pPr>
            <w:r>
              <w:rPr>
                <w:rFonts w:ascii="Arial" w:cs="Arial" w:eastAsia="Arial" w:hAnsi="Arial"/>
                <w:sz w:val="16"/>
                <w:szCs w:val="16"/>
                <w:color w:val="auto"/>
              </w:rPr>
              <w:t>$ 4,242</w:t>
            </w:r>
          </w:p>
        </w:tc>
        <w:tc>
          <w:tcPr>
            <w:tcW w:w="9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18,800</w:t>
            </w:r>
          </w:p>
        </w:tc>
      </w:tr>
      <w:tr>
        <w:trPr>
          <w:trHeight w:val="100"/>
        </w:trPr>
        <w:tc>
          <w:tcPr>
            <w:tcW w:w="242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2140" w:type="dxa"/>
            <w:vAlign w:val="bottom"/>
            <w:shd w:val="clear" w:color="auto" w:fill="EDEDED"/>
          </w:tcPr>
          <w:p>
            <w:pPr>
              <w:spacing w:after="0"/>
              <w:rPr>
                <w:sz w:val="8"/>
                <w:szCs w:val="8"/>
                <w:color w:val="auto"/>
              </w:rPr>
            </w:pPr>
          </w:p>
        </w:tc>
        <w:tc>
          <w:tcPr>
            <w:tcW w:w="280" w:type="dxa"/>
            <w:vAlign w:val="bottom"/>
            <w:shd w:val="clear" w:color="auto" w:fill="EDEDED"/>
          </w:tcPr>
          <w:p>
            <w:pPr>
              <w:spacing w:after="0"/>
              <w:rPr>
                <w:sz w:val="8"/>
                <w:szCs w:val="8"/>
                <w:color w:val="auto"/>
              </w:rPr>
            </w:pPr>
          </w:p>
        </w:tc>
        <w:tc>
          <w:tcPr>
            <w:tcW w:w="60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220" w:type="dxa"/>
            <w:vAlign w:val="bottom"/>
            <w:shd w:val="clear" w:color="auto" w:fill="EDEDED"/>
          </w:tcPr>
          <w:p>
            <w:pPr>
              <w:spacing w:after="0"/>
              <w:rPr>
                <w:sz w:val="8"/>
                <w:szCs w:val="8"/>
                <w:color w:val="auto"/>
              </w:rPr>
            </w:pPr>
          </w:p>
        </w:tc>
        <w:tc>
          <w:tcPr>
            <w:tcW w:w="54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324"/>
        </w:trPr>
        <w:tc>
          <w:tcPr>
            <w:tcW w:w="2420" w:type="dxa"/>
            <w:vAlign w:val="bottom"/>
          </w:tcPr>
          <w:p>
            <w:pPr>
              <w:ind w:left="60"/>
              <w:spacing w:after="0"/>
              <w:rPr>
                <w:sz w:val="20"/>
                <w:szCs w:val="20"/>
                <w:color w:val="auto"/>
              </w:rPr>
            </w:pPr>
            <w:r>
              <w:rPr>
                <w:rFonts w:ascii="Arial" w:cs="Arial" w:eastAsia="Arial" w:hAnsi="Arial"/>
                <w:sz w:val="16"/>
                <w:szCs w:val="16"/>
                <w:color w:val="auto"/>
              </w:rPr>
              <w:t>Tower International, Inc.</w:t>
            </w:r>
            <w:r>
              <w:rPr>
                <w:rFonts w:ascii="Arial" w:cs="Arial" w:eastAsia="Arial" w:hAnsi="Arial"/>
                <w:sz w:val="27"/>
                <w:szCs w:val="27"/>
                <w:color w:val="auto"/>
                <w:vertAlign w:val="superscript"/>
              </w:rPr>
              <w:t>(1)</w:t>
            </w:r>
          </w:p>
        </w:tc>
        <w:tc>
          <w:tcPr>
            <w:tcW w:w="1100" w:type="dxa"/>
            <w:vAlign w:val="bottom"/>
          </w:tcPr>
          <w:p>
            <w:pPr>
              <w:ind w:left="160"/>
              <w:spacing w:after="0"/>
              <w:rPr>
                <w:sz w:val="20"/>
                <w:szCs w:val="20"/>
                <w:color w:val="auto"/>
              </w:rPr>
            </w:pPr>
            <w:r>
              <w:rPr>
                <w:rFonts w:ascii="Arial" w:cs="Arial" w:eastAsia="Arial" w:hAnsi="Arial"/>
                <w:sz w:val="16"/>
                <w:szCs w:val="16"/>
                <w:color w:val="auto"/>
              </w:rPr>
              <w:t>NYSE</w:t>
            </w:r>
          </w:p>
        </w:tc>
        <w:tc>
          <w:tcPr>
            <w:tcW w:w="1100" w:type="dxa"/>
            <w:vAlign w:val="bottom"/>
          </w:tcPr>
          <w:p>
            <w:pPr>
              <w:ind w:left="140"/>
              <w:spacing w:after="0"/>
              <w:rPr>
                <w:sz w:val="20"/>
                <w:szCs w:val="20"/>
                <w:color w:val="auto"/>
              </w:rPr>
            </w:pPr>
            <w:r>
              <w:rPr>
                <w:rFonts w:ascii="Arial" w:cs="Arial" w:eastAsia="Arial" w:hAnsi="Arial"/>
                <w:sz w:val="16"/>
                <w:szCs w:val="16"/>
                <w:color w:val="auto"/>
              </w:rPr>
              <w:t>US</w:t>
            </w:r>
          </w:p>
        </w:tc>
        <w:tc>
          <w:tcPr>
            <w:tcW w:w="2140" w:type="dxa"/>
            <w:vAlign w:val="bottom"/>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1,493</w:t>
            </w: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4"/>
                <w:szCs w:val="24"/>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4"/>
                <w:szCs w:val="24"/>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N/A</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5,700</w:t>
            </w:r>
          </w:p>
        </w:tc>
      </w:tr>
      <w:tr>
        <w:trPr>
          <w:trHeight w:val="224"/>
        </w:trPr>
        <w:tc>
          <w:tcPr>
            <w:tcW w:w="2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Veoneer, Inc.</w:t>
            </w:r>
          </w:p>
        </w:tc>
        <w:tc>
          <w:tcPr>
            <w:tcW w:w="1100" w:type="dxa"/>
            <w:vAlign w:val="bottom"/>
            <w:shd w:val="clear" w:color="auto" w:fill="EDEDED"/>
          </w:tcPr>
          <w:p>
            <w:pPr>
              <w:ind w:left="160"/>
              <w:spacing w:after="0"/>
              <w:rPr>
                <w:sz w:val="20"/>
                <w:szCs w:val="20"/>
                <w:color w:val="auto"/>
              </w:rPr>
            </w:pPr>
            <w:r>
              <w:rPr>
                <w:rFonts w:ascii="Arial" w:cs="Arial" w:eastAsia="Arial" w:hAnsi="Arial"/>
                <w:sz w:val="16"/>
                <w:szCs w:val="16"/>
                <w:color w:val="auto"/>
              </w:rPr>
              <w:t>NYSE</w:t>
            </w:r>
          </w:p>
        </w:tc>
        <w:tc>
          <w:tcPr>
            <w:tcW w:w="1100" w:type="dxa"/>
            <w:vAlign w:val="bottom"/>
            <w:shd w:val="clear" w:color="auto" w:fill="EDEDED"/>
          </w:tcPr>
          <w:p>
            <w:pPr>
              <w:ind w:left="140"/>
              <w:spacing w:after="0"/>
              <w:rPr>
                <w:sz w:val="20"/>
                <w:szCs w:val="20"/>
                <w:color w:val="auto"/>
              </w:rPr>
            </w:pPr>
            <w:r>
              <w:rPr>
                <w:rFonts w:ascii="Arial" w:cs="Arial" w:eastAsia="Arial" w:hAnsi="Arial"/>
                <w:sz w:val="16"/>
                <w:szCs w:val="16"/>
                <w:color w:val="auto"/>
              </w:rPr>
              <w:t>Sweden</w:t>
            </w: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shd w:val="clear" w:color="auto" w:fill="EDEDED"/>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1,902</w:t>
            </w: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1,093</w:t>
            </w:r>
          </w:p>
        </w:tc>
        <w:tc>
          <w:tcPr>
            <w:tcW w:w="760" w:type="dxa"/>
            <w:vAlign w:val="bottom"/>
            <w:gridSpan w:val="2"/>
            <w:shd w:val="clear" w:color="auto" w:fill="EDEDED"/>
          </w:tcPr>
          <w:p>
            <w:pPr>
              <w:jc w:val="right"/>
              <w:ind w:right="40"/>
              <w:spacing w:after="0"/>
              <w:rPr>
                <w:sz w:val="20"/>
                <w:szCs w:val="20"/>
                <w:color w:val="auto"/>
              </w:rPr>
            </w:pPr>
            <w:r>
              <w:rPr>
                <w:rFonts w:ascii="Arial" w:cs="Arial" w:eastAsia="Arial" w:hAnsi="Arial"/>
                <w:sz w:val="16"/>
                <w:szCs w:val="16"/>
                <w:color w:val="auto"/>
              </w:rPr>
              <w:t>$ 1,740</w:t>
            </w:r>
          </w:p>
        </w:tc>
        <w:tc>
          <w:tcPr>
            <w:tcW w:w="9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8,900</w:t>
            </w:r>
          </w:p>
        </w:tc>
      </w:tr>
      <w:tr>
        <w:trPr>
          <w:trHeight w:val="100"/>
        </w:trPr>
        <w:tc>
          <w:tcPr>
            <w:tcW w:w="242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2140" w:type="dxa"/>
            <w:vAlign w:val="bottom"/>
            <w:shd w:val="clear" w:color="auto" w:fill="EDEDED"/>
          </w:tcPr>
          <w:p>
            <w:pPr>
              <w:spacing w:after="0"/>
              <w:rPr>
                <w:sz w:val="8"/>
                <w:szCs w:val="8"/>
                <w:color w:val="auto"/>
              </w:rPr>
            </w:pPr>
          </w:p>
        </w:tc>
        <w:tc>
          <w:tcPr>
            <w:tcW w:w="280" w:type="dxa"/>
            <w:vAlign w:val="bottom"/>
            <w:shd w:val="clear" w:color="auto" w:fill="EDEDED"/>
          </w:tcPr>
          <w:p>
            <w:pPr>
              <w:spacing w:after="0"/>
              <w:rPr>
                <w:sz w:val="8"/>
                <w:szCs w:val="8"/>
                <w:color w:val="auto"/>
              </w:rPr>
            </w:pPr>
          </w:p>
        </w:tc>
        <w:tc>
          <w:tcPr>
            <w:tcW w:w="60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760" w:type="dxa"/>
            <w:vAlign w:val="bottom"/>
            <w:gridSpan w:val="2"/>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24"/>
        </w:trPr>
        <w:tc>
          <w:tcPr>
            <w:tcW w:w="2420" w:type="dxa"/>
            <w:vAlign w:val="bottom"/>
          </w:tcPr>
          <w:p>
            <w:pPr>
              <w:ind w:left="60"/>
              <w:spacing w:after="0"/>
              <w:rPr>
                <w:sz w:val="20"/>
                <w:szCs w:val="20"/>
                <w:color w:val="auto"/>
              </w:rPr>
            </w:pPr>
            <w:r>
              <w:rPr>
                <w:rFonts w:ascii="Arial" w:cs="Arial" w:eastAsia="Arial" w:hAnsi="Arial"/>
                <w:sz w:val="16"/>
                <w:szCs w:val="16"/>
                <w:color w:val="auto"/>
              </w:rPr>
              <w:t>Visteon Corporation</w:t>
            </w:r>
          </w:p>
        </w:tc>
        <w:tc>
          <w:tcPr>
            <w:tcW w:w="1100" w:type="dxa"/>
            <w:vAlign w:val="bottom"/>
          </w:tcPr>
          <w:p>
            <w:pPr>
              <w:ind w:left="160"/>
              <w:spacing w:after="0"/>
              <w:rPr>
                <w:sz w:val="20"/>
                <w:szCs w:val="20"/>
                <w:color w:val="auto"/>
              </w:rPr>
            </w:pPr>
            <w:r>
              <w:rPr>
                <w:rFonts w:ascii="Arial" w:cs="Arial" w:eastAsia="Arial" w:hAnsi="Arial"/>
                <w:sz w:val="16"/>
                <w:szCs w:val="16"/>
                <w:color w:val="auto"/>
              </w:rPr>
              <w:t>NasdaqGS</w:t>
            </w:r>
          </w:p>
        </w:tc>
        <w:tc>
          <w:tcPr>
            <w:tcW w:w="1100" w:type="dxa"/>
            <w:vAlign w:val="bottom"/>
          </w:tcPr>
          <w:p>
            <w:pPr>
              <w:ind w:left="140"/>
              <w:spacing w:after="0"/>
              <w:rPr>
                <w:sz w:val="20"/>
                <w:szCs w:val="20"/>
                <w:color w:val="auto"/>
              </w:rPr>
            </w:pPr>
            <w:r>
              <w:rPr>
                <w:rFonts w:ascii="Arial" w:cs="Arial" w:eastAsia="Arial" w:hAnsi="Arial"/>
                <w:sz w:val="16"/>
                <w:szCs w:val="16"/>
                <w:color w:val="auto"/>
              </w:rPr>
              <w:t>US</w:t>
            </w:r>
          </w:p>
        </w:tc>
        <w:tc>
          <w:tcPr>
            <w:tcW w:w="2140" w:type="dxa"/>
            <w:vAlign w:val="bottom"/>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2,945</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2,644</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$ 2,422</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11,000</w:t>
            </w:r>
          </w:p>
        </w:tc>
      </w:tr>
      <w:tr>
        <w:trPr>
          <w:trHeight w:val="100"/>
        </w:trPr>
        <w:tc>
          <w:tcPr>
            <w:tcW w:w="2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900" w:type="dxa"/>
            <w:vAlign w:val="bottom"/>
          </w:tcPr>
          <w:p>
            <w:pPr>
              <w:spacing w:after="0"/>
              <w:rPr>
                <w:sz w:val="8"/>
                <w:szCs w:val="8"/>
                <w:color w:val="auto"/>
              </w:rPr>
            </w:pPr>
          </w:p>
        </w:tc>
      </w:tr>
      <w:tr>
        <w:trPr>
          <w:trHeight w:val="218"/>
        </w:trPr>
        <w:tc>
          <w:tcPr>
            <w:tcW w:w="2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WABCO Holdings Inc.</w:t>
            </w:r>
          </w:p>
        </w:tc>
        <w:tc>
          <w:tcPr>
            <w:tcW w:w="1100" w:type="dxa"/>
            <w:vAlign w:val="bottom"/>
            <w:shd w:val="clear" w:color="auto" w:fill="EDEDED"/>
          </w:tcPr>
          <w:p>
            <w:pPr>
              <w:ind w:left="160"/>
              <w:spacing w:after="0"/>
              <w:rPr>
                <w:sz w:val="20"/>
                <w:szCs w:val="20"/>
                <w:color w:val="auto"/>
              </w:rPr>
            </w:pPr>
            <w:r>
              <w:rPr>
                <w:rFonts w:ascii="Arial" w:cs="Arial" w:eastAsia="Arial" w:hAnsi="Arial"/>
                <w:sz w:val="16"/>
                <w:szCs w:val="16"/>
                <w:color w:val="auto"/>
              </w:rPr>
              <w:t>NYSE</w:t>
            </w:r>
          </w:p>
        </w:tc>
        <w:tc>
          <w:tcPr>
            <w:tcW w:w="1100" w:type="dxa"/>
            <w:vAlign w:val="bottom"/>
            <w:shd w:val="clear" w:color="auto" w:fill="EDEDED"/>
          </w:tcPr>
          <w:p>
            <w:pPr>
              <w:ind w:left="140"/>
              <w:spacing w:after="0"/>
              <w:rPr>
                <w:sz w:val="20"/>
                <w:szCs w:val="20"/>
                <w:color w:val="auto"/>
              </w:rPr>
            </w:pPr>
            <w:r>
              <w:rPr>
                <w:rFonts w:ascii="Arial" w:cs="Arial" w:eastAsia="Arial" w:hAnsi="Arial"/>
                <w:sz w:val="16"/>
                <w:szCs w:val="16"/>
                <w:color w:val="auto"/>
              </w:rPr>
              <w:t>Belgium</w:t>
            </w: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Construction Machinery &amp;</w:t>
            </w:r>
          </w:p>
        </w:tc>
        <w:tc>
          <w:tcPr>
            <w:tcW w:w="280" w:type="dxa"/>
            <w:vAlign w:val="bottom"/>
            <w:shd w:val="clear" w:color="auto" w:fill="EDEDED"/>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3,421</w:t>
            </w: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7,096</w:t>
            </w:r>
          </w:p>
        </w:tc>
        <w:tc>
          <w:tcPr>
            <w:tcW w:w="760" w:type="dxa"/>
            <w:vAlign w:val="bottom"/>
            <w:gridSpan w:val="2"/>
            <w:shd w:val="clear" w:color="auto" w:fill="EDEDED"/>
          </w:tcPr>
          <w:p>
            <w:pPr>
              <w:jc w:val="right"/>
              <w:ind w:right="40"/>
              <w:spacing w:after="0"/>
              <w:rPr>
                <w:sz w:val="20"/>
                <w:szCs w:val="20"/>
                <w:color w:val="auto"/>
              </w:rPr>
            </w:pPr>
            <w:r>
              <w:rPr>
                <w:rFonts w:ascii="Arial" w:cs="Arial" w:eastAsia="Arial" w:hAnsi="Arial"/>
                <w:sz w:val="16"/>
                <w:szCs w:val="16"/>
                <w:color w:val="auto"/>
              </w:rPr>
              <w:t>$ 6,945</w:t>
            </w:r>
          </w:p>
        </w:tc>
        <w:tc>
          <w:tcPr>
            <w:tcW w:w="9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16,135</w:t>
            </w:r>
          </w:p>
        </w:tc>
      </w:tr>
      <w:tr>
        <w:trPr>
          <w:trHeight w:val="195"/>
        </w:trPr>
        <w:tc>
          <w:tcPr>
            <w:tcW w:w="242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Heavy Trucks</w:t>
            </w:r>
          </w:p>
        </w:tc>
        <w:tc>
          <w:tcPr>
            <w:tcW w:w="280" w:type="dxa"/>
            <w:vAlign w:val="bottom"/>
            <w:shd w:val="clear" w:color="auto" w:fill="EDEDED"/>
          </w:tcPr>
          <w:p>
            <w:pPr>
              <w:spacing w:after="0"/>
              <w:rPr>
                <w:sz w:val="16"/>
                <w:szCs w:val="16"/>
                <w:color w:val="auto"/>
              </w:rPr>
            </w:pPr>
          </w:p>
        </w:tc>
        <w:tc>
          <w:tcPr>
            <w:tcW w:w="60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200" w:type="dxa"/>
            <w:vAlign w:val="bottom"/>
            <w:shd w:val="clear" w:color="auto" w:fill="EDEDED"/>
          </w:tcPr>
          <w:p>
            <w:pPr>
              <w:spacing w:after="0"/>
              <w:rPr>
                <w:sz w:val="16"/>
                <w:szCs w:val="16"/>
                <w:color w:val="auto"/>
              </w:rPr>
            </w:pPr>
          </w:p>
        </w:tc>
        <w:tc>
          <w:tcPr>
            <w:tcW w:w="66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540" w:type="dxa"/>
            <w:vAlign w:val="bottom"/>
            <w:shd w:val="clear" w:color="auto" w:fill="EDEDED"/>
          </w:tcPr>
          <w:p>
            <w:pPr>
              <w:spacing w:after="0"/>
              <w:rPr>
                <w:sz w:val="16"/>
                <w:szCs w:val="16"/>
                <w:color w:val="auto"/>
              </w:rPr>
            </w:pPr>
          </w:p>
        </w:tc>
        <w:tc>
          <w:tcPr>
            <w:tcW w:w="900" w:type="dxa"/>
            <w:vAlign w:val="bottom"/>
            <w:shd w:val="clear" w:color="auto" w:fill="EDEDED"/>
          </w:tcPr>
          <w:p>
            <w:pPr>
              <w:spacing w:after="0"/>
              <w:rPr>
                <w:sz w:val="16"/>
                <w:szCs w:val="16"/>
                <w:color w:val="auto"/>
              </w:rPr>
            </w:pPr>
          </w:p>
        </w:tc>
      </w:tr>
      <w:tr>
        <w:trPr>
          <w:trHeight w:val="100"/>
        </w:trPr>
        <w:tc>
          <w:tcPr>
            <w:tcW w:w="242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2140" w:type="dxa"/>
            <w:vAlign w:val="bottom"/>
            <w:shd w:val="clear" w:color="auto" w:fill="EDEDED"/>
          </w:tcPr>
          <w:p>
            <w:pPr>
              <w:spacing w:after="0"/>
              <w:rPr>
                <w:sz w:val="8"/>
                <w:szCs w:val="8"/>
                <w:color w:val="auto"/>
              </w:rPr>
            </w:pPr>
          </w:p>
        </w:tc>
        <w:tc>
          <w:tcPr>
            <w:tcW w:w="280" w:type="dxa"/>
            <w:vAlign w:val="bottom"/>
            <w:shd w:val="clear" w:color="auto" w:fill="EDEDED"/>
          </w:tcPr>
          <w:p>
            <w:pPr>
              <w:spacing w:after="0"/>
              <w:rPr>
                <w:sz w:val="8"/>
                <w:szCs w:val="8"/>
                <w:color w:val="auto"/>
              </w:rPr>
            </w:pPr>
          </w:p>
        </w:tc>
        <w:tc>
          <w:tcPr>
            <w:tcW w:w="60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220" w:type="dxa"/>
            <w:vAlign w:val="bottom"/>
            <w:shd w:val="clear" w:color="auto" w:fill="EDEDED"/>
          </w:tcPr>
          <w:p>
            <w:pPr>
              <w:spacing w:after="0"/>
              <w:rPr>
                <w:sz w:val="8"/>
                <w:szCs w:val="8"/>
                <w:color w:val="auto"/>
              </w:rPr>
            </w:pPr>
          </w:p>
        </w:tc>
        <w:tc>
          <w:tcPr>
            <w:tcW w:w="54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197"/>
        </w:trPr>
        <w:tc>
          <w:tcPr>
            <w:tcW w:w="2420" w:type="dxa"/>
            <w:vAlign w:val="bottom"/>
          </w:tcPr>
          <w:p>
            <w:pPr>
              <w:ind w:left="60"/>
              <w:spacing w:after="0"/>
              <w:rPr>
                <w:sz w:val="20"/>
                <w:szCs w:val="20"/>
                <w:color w:val="auto"/>
              </w:rPr>
            </w:pPr>
            <w:r>
              <w:rPr>
                <w:rFonts w:ascii="Arial" w:cs="Arial" w:eastAsia="Arial" w:hAnsi="Arial"/>
                <w:sz w:val="16"/>
                <w:szCs w:val="16"/>
                <w:color w:val="auto"/>
              </w:rPr>
              <w:t>Non-US-Listed</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
        </w:trPr>
        <w:tc>
          <w:tcPr>
            <w:tcW w:w="2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24"/>
        </w:trPr>
        <w:tc>
          <w:tcPr>
            <w:tcW w:w="2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Autoneum Holding AG</w:t>
            </w:r>
          </w:p>
        </w:tc>
        <w:tc>
          <w:tcPr>
            <w:tcW w:w="1100" w:type="dxa"/>
            <w:vAlign w:val="bottom"/>
            <w:shd w:val="clear" w:color="auto" w:fill="EDEDED"/>
          </w:tcPr>
          <w:p>
            <w:pPr>
              <w:ind w:left="160"/>
              <w:spacing w:after="0"/>
              <w:rPr>
                <w:sz w:val="20"/>
                <w:szCs w:val="20"/>
                <w:color w:val="auto"/>
              </w:rPr>
            </w:pPr>
            <w:r>
              <w:rPr>
                <w:rFonts w:ascii="Arial" w:cs="Arial" w:eastAsia="Arial" w:hAnsi="Arial"/>
                <w:sz w:val="16"/>
                <w:szCs w:val="16"/>
                <w:color w:val="auto"/>
              </w:rPr>
              <w:t>SWX</w:t>
            </w:r>
          </w:p>
        </w:tc>
        <w:tc>
          <w:tcPr>
            <w:tcW w:w="1100" w:type="dxa"/>
            <w:vAlign w:val="bottom"/>
            <w:shd w:val="clear" w:color="auto" w:fill="EDEDED"/>
          </w:tcPr>
          <w:p>
            <w:pPr>
              <w:ind w:left="140"/>
              <w:spacing w:after="0"/>
              <w:rPr>
                <w:sz w:val="20"/>
                <w:szCs w:val="20"/>
                <w:color w:val="auto"/>
              </w:rPr>
            </w:pPr>
            <w:r>
              <w:rPr>
                <w:rFonts w:ascii="Arial" w:cs="Arial" w:eastAsia="Arial" w:hAnsi="Arial"/>
                <w:sz w:val="16"/>
                <w:szCs w:val="16"/>
                <w:color w:val="auto"/>
              </w:rPr>
              <w:t>Switzerland</w:t>
            </w: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shd w:val="clear" w:color="auto" w:fill="EDEDED"/>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2,372</w:t>
            </w: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1,378</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558</w:t>
            </w:r>
          </w:p>
        </w:tc>
        <w:tc>
          <w:tcPr>
            <w:tcW w:w="9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12,133</w:t>
            </w:r>
          </w:p>
        </w:tc>
      </w:tr>
      <w:tr>
        <w:trPr>
          <w:trHeight w:val="100"/>
        </w:trPr>
        <w:tc>
          <w:tcPr>
            <w:tcW w:w="242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2140" w:type="dxa"/>
            <w:vAlign w:val="bottom"/>
            <w:shd w:val="clear" w:color="auto" w:fill="EDEDED"/>
          </w:tcPr>
          <w:p>
            <w:pPr>
              <w:spacing w:after="0"/>
              <w:rPr>
                <w:sz w:val="8"/>
                <w:szCs w:val="8"/>
                <w:color w:val="auto"/>
              </w:rPr>
            </w:pPr>
          </w:p>
        </w:tc>
        <w:tc>
          <w:tcPr>
            <w:tcW w:w="280" w:type="dxa"/>
            <w:vAlign w:val="bottom"/>
            <w:shd w:val="clear" w:color="auto" w:fill="EDEDED"/>
          </w:tcPr>
          <w:p>
            <w:pPr>
              <w:spacing w:after="0"/>
              <w:rPr>
                <w:sz w:val="8"/>
                <w:szCs w:val="8"/>
                <w:color w:val="auto"/>
              </w:rPr>
            </w:pPr>
          </w:p>
        </w:tc>
        <w:tc>
          <w:tcPr>
            <w:tcW w:w="60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220" w:type="dxa"/>
            <w:vAlign w:val="bottom"/>
            <w:shd w:val="clear" w:color="auto" w:fill="EDEDED"/>
          </w:tcPr>
          <w:p>
            <w:pPr>
              <w:spacing w:after="0"/>
              <w:rPr>
                <w:sz w:val="8"/>
                <w:szCs w:val="8"/>
                <w:color w:val="auto"/>
              </w:rPr>
            </w:pPr>
          </w:p>
        </w:tc>
        <w:tc>
          <w:tcPr>
            <w:tcW w:w="54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23"/>
        </w:trPr>
        <w:tc>
          <w:tcPr>
            <w:tcW w:w="2420" w:type="dxa"/>
            <w:vAlign w:val="bottom"/>
          </w:tcPr>
          <w:p>
            <w:pPr>
              <w:ind w:left="60"/>
              <w:spacing w:after="0"/>
              <w:rPr>
                <w:sz w:val="20"/>
                <w:szCs w:val="20"/>
                <w:color w:val="auto"/>
              </w:rPr>
            </w:pPr>
            <w:r>
              <w:rPr>
                <w:rFonts w:ascii="Arial" w:cs="Arial" w:eastAsia="Arial" w:hAnsi="Arial"/>
                <w:sz w:val="16"/>
                <w:szCs w:val="16"/>
                <w:color w:val="auto"/>
              </w:rPr>
              <w:t>ElringKlinger AG</w:t>
            </w:r>
          </w:p>
        </w:tc>
        <w:tc>
          <w:tcPr>
            <w:tcW w:w="1100" w:type="dxa"/>
            <w:vAlign w:val="bottom"/>
          </w:tcPr>
          <w:p>
            <w:pPr>
              <w:ind w:left="160"/>
              <w:spacing w:after="0"/>
              <w:rPr>
                <w:sz w:val="20"/>
                <w:szCs w:val="20"/>
                <w:color w:val="auto"/>
              </w:rPr>
            </w:pPr>
            <w:r>
              <w:rPr>
                <w:rFonts w:ascii="Arial" w:cs="Arial" w:eastAsia="Arial" w:hAnsi="Arial"/>
                <w:sz w:val="16"/>
                <w:szCs w:val="16"/>
                <w:color w:val="auto"/>
              </w:rPr>
              <w:t>DB</w:t>
            </w:r>
          </w:p>
        </w:tc>
        <w:tc>
          <w:tcPr>
            <w:tcW w:w="1100" w:type="dxa"/>
            <w:vAlign w:val="bottom"/>
          </w:tcPr>
          <w:p>
            <w:pPr>
              <w:ind w:left="140"/>
              <w:spacing w:after="0"/>
              <w:rPr>
                <w:sz w:val="20"/>
                <w:szCs w:val="20"/>
                <w:color w:val="auto"/>
              </w:rPr>
            </w:pPr>
            <w:r>
              <w:rPr>
                <w:rFonts w:ascii="Arial" w:cs="Arial" w:eastAsia="Arial" w:hAnsi="Arial"/>
                <w:sz w:val="16"/>
                <w:szCs w:val="16"/>
                <w:color w:val="auto"/>
              </w:rPr>
              <w:t>Germany</w:t>
            </w:r>
          </w:p>
        </w:tc>
        <w:tc>
          <w:tcPr>
            <w:tcW w:w="2140" w:type="dxa"/>
            <w:vAlign w:val="bottom"/>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1,896</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580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9,600</w:t>
            </w:r>
          </w:p>
        </w:tc>
      </w:tr>
      <w:tr>
        <w:trPr>
          <w:trHeight w:val="101"/>
        </w:trPr>
        <w:tc>
          <w:tcPr>
            <w:tcW w:w="2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2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LEONI AG</w:t>
            </w:r>
          </w:p>
        </w:tc>
        <w:tc>
          <w:tcPr>
            <w:tcW w:w="1100" w:type="dxa"/>
            <w:vAlign w:val="bottom"/>
            <w:shd w:val="clear" w:color="auto" w:fill="EDEDED"/>
          </w:tcPr>
          <w:p>
            <w:pPr>
              <w:ind w:left="160"/>
              <w:spacing w:after="0"/>
              <w:rPr>
                <w:sz w:val="20"/>
                <w:szCs w:val="20"/>
                <w:color w:val="auto"/>
              </w:rPr>
            </w:pPr>
            <w:r>
              <w:rPr>
                <w:rFonts w:ascii="Arial" w:cs="Arial" w:eastAsia="Arial" w:hAnsi="Arial"/>
                <w:sz w:val="16"/>
                <w:szCs w:val="16"/>
                <w:color w:val="auto"/>
              </w:rPr>
              <w:t>DB</w:t>
            </w:r>
          </w:p>
        </w:tc>
        <w:tc>
          <w:tcPr>
            <w:tcW w:w="1100" w:type="dxa"/>
            <w:vAlign w:val="bottom"/>
            <w:shd w:val="clear" w:color="auto" w:fill="EDEDED"/>
          </w:tcPr>
          <w:p>
            <w:pPr>
              <w:ind w:left="140"/>
              <w:spacing w:after="0"/>
              <w:rPr>
                <w:sz w:val="20"/>
                <w:szCs w:val="20"/>
                <w:color w:val="auto"/>
              </w:rPr>
            </w:pPr>
            <w:r>
              <w:rPr>
                <w:rFonts w:ascii="Arial" w:cs="Arial" w:eastAsia="Arial" w:hAnsi="Arial"/>
                <w:sz w:val="16"/>
                <w:szCs w:val="16"/>
                <w:color w:val="auto"/>
              </w:rPr>
              <w:t>Germany</w:t>
            </w: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shd w:val="clear" w:color="auto" w:fill="EDEDED"/>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5,350</w:t>
            </w: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1,720</w:t>
            </w:r>
          </w:p>
        </w:tc>
        <w:tc>
          <w:tcPr>
            <w:tcW w:w="2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379</w:t>
            </w:r>
          </w:p>
        </w:tc>
        <w:tc>
          <w:tcPr>
            <w:tcW w:w="9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86,000</w:t>
            </w:r>
          </w:p>
        </w:tc>
      </w:tr>
      <w:tr>
        <w:trPr>
          <w:trHeight w:val="100"/>
        </w:trPr>
        <w:tc>
          <w:tcPr>
            <w:tcW w:w="242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1100" w:type="dxa"/>
            <w:vAlign w:val="bottom"/>
            <w:shd w:val="clear" w:color="auto" w:fill="EDEDED"/>
          </w:tcPr>
          <w:p>
            <w:pPr>
              <w:spacing w:after="0"/>
              <w:rPr>
                <w:sz w:val="8"/>
                <w:szCs w:val="8"/>
                <w:color w:val="auto"/>
              </w:rPr>
            </w:pPr>
          </w:p>
        </w:tc>
        <w:tc>
          <w:tcPr>
            <w:tcW w:w="2140" w:type="dxa"/>
            <w:vAlign w:val="bottom"/>
            <w:shd w:val="clear" w:color="auto" w:fill="EDEDED"/>
          </w:tcPr>
          <w:p>
            <w:pPr>
              <w:spacing w:after="0"/>
              <w:rPr>
                <w:sz w:val="8"/>
                <w:szCs w:val="8"/>
                <w:color w:val="auto"/>
              </w:rPr>
            </w:pPr>
          </w:p>
        </w:tc>
        <w:tc>
          <w:tcPr>
            <w:tcW w:w="280" w:type="dxa"/>
            <w:vAlign w:val="bottom"/>
            <w:shd w:val="clear" w:color="auto" w:fill="EDEDED"/>
          </w:tcPr>
          <w:p>
            <w:pPr>
              <w:spacing w:after="0"/>
              <w:rPr>
                <w:sz w:val="8"/>
                <w:szCs w:val="8"/>
                <w:color w:val="auto"/>
              </w:rPr>
            </w:pPr>
          </w:p>
        </w:tc>
        <w:tc>
          <w:tcPr>
            <w:tcW w:w="600" w:type="dxa"/>
            <w:vAlign w:val="bottom"/>
            <w:shd w:val="clear" w:color="auto" w:fill="EDEDED"/>
          </w:tcPr>
          <w:p>
            <w:pPr>
              <w:spacing w:after="0"/>
              <w:rPr>
                <w:sz w:val="8"/>
                <w:szCs w:val="8"/>
                <w:color w:val="auto"/>
              </w:rPr>
            </w:pPr>
          </w:p>
        </w:tc>
        <w:tc>
          <w:tcPr>
            <w:tcW w:w="86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660" w:type="dxa"/>
            <w:vAlign w:val="bottom"/>
            <w:shd w:val="clear" w:color="auto" w:fill="EDEDED"/>
          </w:tcPr>
          <w:p>
            <w:pPr>
              <w:spacing w:after="0"/>
              <w:rPr>
                <w:sz w:val="8"/>
                <w:szCs w:val="8"/>
                <w:color w:val="auto"/>
              </w:rPr>
            </w:pPr>
          </w:p>
        </w:tc>
        <w:tc>
          <w:tcPr>
            <w:tcW w:w="220" w:type="dxa"/>
            <w:vAlign w:val="bottom"/>
            <w:shd w:val="clear" w:color="auto" w:fill="EDEDED"/>
          </w:tcPr>
          <w:p>
            <w:pPr>
              <w:spacing w:after="0"/>
              <w:rPr>
                <w:sz w:val="8"/>
                <w:szCs w:val="8"/>
                <w:color w:val="auto"/>
              </w:rPr>
            </w:pPr>
          </w:p>
        </w:tc>
        <w:tc>
          <w:tcPr>
            <w:tcW w:w="540" w:type="dxa"/>
            <w:vAlign w:val="bottom"/>
            <w:shd w:val="clear" w:color="auto" w:fill="EDEDED"/>
          </w:tcPr>
          <w:p>
            <w:pPr>
              <w:spacing w:after="0"/>
              <w:rPr>
                <w:sz w:val="8"/>
                <w:szCs w:val="8"/>
                <w:color w:val="auto"/>
              </w:rPr>
            </w:pPr>
          </w:p>
        </w:tc>
        <w:tc>
          <w:tcPr>
            <w:tcW w:w="900" w:type="dxa"/>
            <w:vAlign w:val="bottom"/>
            <w:shd w:val="clear" w:color="auto" w:fill="EDEDED"/>
          </w:tcPr>
          <w:p>
            <w:pPr>
              <w:spacing w:after="0"/>
              <w:rPr>
                <w:sz w:val="8"/>
                <w:szCs w:val="8"/>
                <w:color w:val="auto"/>
              </w:rPr>
            </w:pPr>
          </w:p>
        </w:tc>
      </w:tr>
      <w:tr>
        <w:trPr>
          <w:trHeight w:val="224"/>
        </w:trPr>
        <w:tc>
          <w:tcPr>
            <w:tcW w:w="2420" w:type="dxa"/>
            <w:vAlign w:val="bottom"/>
          </w:tcPr>
          <w:p>
            <w:pPr>
              <w:ind w:left="60"/>
              <w:spacing w:after="0"/>
              <w:rPr>
                <w:sz w:val="20"/>
                <w:szCs w:val="20"/>
                <w:color w:val="auto"/>
              </w:rPr>
            </w:pPr>
            <w:r>
              <w:rPr>
                <w:rFonts w:ascii="Arial" w:cs="Arial" w:eastAsia="Arial" w:hAnsi="Arial"/>
                <w:sz w:val="16"/>
                <w:szCs w:val="16"/>
                <w:color w:val="auto"/>
              </w:rPr>
              <w:t>Martinrea International Inc.</w:t>
            </w:r>
          </w:p>
        </w:tc>
        <w:tc>
          <w:tcPr>
            <w:tcW w:w="1100" w:type="dxa"/>
            <w:vAlign w:val="bottom"/>
          </w:tcPr>
          <w:p>
            <w:pPr>
              <w:ind w:left="160"/>
              <w:spacing w:after="0"/>
              <w:rPr>
                <w:sz w:val="20"/>
                <w:szCs w:val="20"/>
                <w:color w:val="auto"/>
              </w:rPr>
            </w:pPr>
            <w:r>
              <w:rPr>
                <w:rFonts w:ascii="Arial" w:cs="Arial" w:eastAsia="Arial" w:hAnsi="Arial"/>
                <w:sz w:val="16"/>
                <w:szCs w:val="16"/>
                <w:color w:val="auto"/>
              </w:rPr>
              <w:t>TSX</w:t>
            </w:r>
          </w:p>
        </w:tc>
        <w:tc>
          <w:tcPr>
            <w:tcW w:w="1100" w:type="dxa"/>
            <w:vAlign w:val="bottom"/>
          </w:tcPr>
          <w:p>
            <w:pPr>
              <w:ind w:left="140"/>
              <w:spacing w:after="0"/>
              <w:rPr>
                <w:sz w:val="20"/>
                <w:szCs w:val="20"/>
                <w:color w:val="auto"/>
              </w:rPr>
            </w:pPr>
            <w:r>
              <w:rPr>
                <w:rFonts w:ascii="Arial" w:cs="Arial" w:eastAsia="Arial" w:hAnsi="Arial"/>
                <w:sz w:val="16"/>
                <w:szCs w:val="16"/>
                <w:color w:val="auto"/>
              </w:rPr>
              <w:t>Canada</w:t>
            </w:r>
          </w:p>
        </w:tc>
        <w:tc>
          <w:tcPr>
            <w:tcW w:w="2140" w:type="dxa"/>
            <w:vAlign w:val="bottom"/>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2,979</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913</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15,200</w:t>
            </w:r>
          </w:p>
        </w:tc>
      </w:tr>
      <w:tr>
        <w:trPr>
          <w:trHeight w:val="100"/>
        </w:trPr>
        <w:tc>
          <w:tcPr>
            <w:tcW w:w="2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900" w:type="dxa"/>
            <w:vAlign w:val="bottom"/>
          </w:tcPr>
          <w:p>
            <w:pPr>
              <w:spacing w:after="0"/>
              <w:rPr>
                <w:sz w:val="8"/>
                <w:szCs w:val="8"/>
                <w:color w:val="auto"/>
              </w:rPr>
            </w:pPr>
          </w:p>
        </w:tc>
      </w:tr>
      <w:tr>
        <w:trPr>
          <w:trHeight w:val="223"/>
        </w:trPr>
        <w:tc>
          <w:tcPr>
            <w:tcW w:w="2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TI Fluid Systems plc</w:t>
            </w:r>
          </w:p>
        </w:tc>
        <w:tc>
          <w:tcPr>
            <w:tcW w:w="1100" w:type="dxa"/>
            <w:vAlign w:val="bottom"/>
            <w:shd w:val="clear" w:color="auto" w:fill="EDEDED"/>
          </w:tcPr>
          <w:p>
            <w:pPr>
              <w:ind w:left="160"/>
              <w:spacing w:after="0"/>
              <w:rPr>
                <w:sz w:val="20"/>
                <w:szCs w:val="20"/>
                <w:color w:val="auto"/>
              </w:rPr>
            </w:pPr>
            <w:r>
              <w:rPr>
                <w:rFonts w:ascii="Arial" w:cs="Arial" w:eastAsia="Arial" w:hAnsi="Arial"/>
                <w:sz w:val="16"/>
                <w:szCs w:val="16"/>
                <w:color w:val="auto"/>
              </w:rPr>
              <w:t>LSE</w:t>
            </w:r>
          </w:p>
        </w:tc>
        <w:tc>
          <w:tcPr>
            <w:tcW w:w="1100" w:type="dxa"/>
            <w:vAlign w:val="bottom"/>
            <w:shd w:val="clear" w:color="auto" w:fill="EDEDED"/>
          </w:tcPr>
          <w:p>
            <w:pPr>
              <w:ind w:left="140"/>
              <w:spacing w:after="0"/>
              <w:rPr>
                <w:sz w:val="20"/>
                <w:szCs w:val="20"/>
                <w:color w:val="auto"/>
              </w:rPr>
            </w:pPr>
            <w:r>
              <w:rPr>
                <w:rFonts w:ascii="Arial" w:cs="Arial" w:eastAsia="Arial" w:hAnsi="Arial"/>
                <w:sz w:val="16"/>
                <w:szCs w:val="16"/>
                <w:color w:val="auto"/>
              </w:rPr>
              <w:t>UK</w:t>
            </w:r>
          </w:p>
        </w:tc>
        <w:tc>
          <w:tcPr>
            <w:tcW w:w="214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Auto Parts &amp; Equip.</w:t>
            </w:r>
          </w:p>
        </w:tc>
        <w:tc>
          <w:tcPr>
            <w:tcW w:w="280" w:type="dxa"/>
            <w:vAlign w:val="bottom"/>
            <w:shd w:val="clear" w:color="auto" w:fill="EDEDED"/>
          </w:tcPr>
          <w:p>
            <w:pPr>
              <w:ind w:lef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3,884</w:t>
            </w: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3,050</w:t>
            </w:r>
          </w:p>
        </w:tc>
        <w:tc>
          <w:tcPr>
            <w:tcW w:w="760" w:type="dxa"/>
            <w:vAlign w:val="bottom"/>
            <w:gridSpan w:val="2"/>
            <w:shd w:val="clear" w:color="auto" w:fill="EDEDED"/>
          </w:tcPr>
          <w:p>
            <w:pPr>
              <w:jc w:val="right"/>
              <w:ind w:right="40"/>
              <w:spacing w:after="0"/>
              <w:rPr>
                <w:sz w:val="20"/>
                <w:szCs w:val="20"/>
                <w:color w:val="auto"/>
              </w:rPr>
            </w:pPr>
            <w:r>
              <w:rPr>
                <w:rFonts w:ascii="Arial" w:cs="Arial" w:eastAsia="Arial" w:hAnsi="Arial"/>
                <w:sz w:val="16"/>
                <w:szCs w:val="16"/>
                <w:color w:val="auto"/>
              </w:rPr>
              <w:t>$ 1,833</w:t>
            </w:r>
          </w:p>
        </w:tc>
        <w:tc>
          <w:tcPr>
            <w:tcW w:w="900" w:type="dxa"/>
            <w:vAlign w:val="bottom"/>
            <w:shd w:val="clear" w:color="auto" w:fill="EDEDED"/>
          </w:tcPr>
          <w:p>
            <w:pPr>
              <w:jc w:val="right"/>
              <w:ind w:right="40"/>
              <w:spacing w:after="0"/>
              <w:rPr>
                <w:sz w:val="20"/>
                <w:szCs w:val="20"/>
                <w:color w:val="auto"/>
              </w:rPr>
            </w:pPr>
            <w:r>
              <w:rPr>
                <w:rFonts w:ascii="Arial" w:cs="Arial" w:eastAsia="Arial" w:hAnsi="Arial"/>
                <w:sz w:val="16"/>
                <w:szCs w:val="16"/>
                <w:color w:val="auto"/>
              </w:rPr>
              <w:t>28,000</w:t>
            </w:r>
          </w:p>
        </w:tc>
      </w:tr>
      <w:tr>
        <w:trPr>
          <w:trHeight w:val="101"/>
        </w:trPr>
        <w:tc>
          <w:tcPr>
            <w:tcW w:w="2420" w:type="dxa"/>
            <w:vAlign w:val="bottom"/>
            <w:tcBorders>
              <w:bottom w:val="single" w:sz="8" w:color="E52823"/>
            </w:tcBorders>
            <w:shd w:val="clear" w:color="auto" w:fill="EDEDED"/>
          </w:tcPr>
          <w:p>
            <w:pPr>
              <w:spacing w:after="0"/>
              <w:rPr>
                <w:sz w:val="8"/>
                <w:szCs w:val="8"/>
                <w:color w:val="auto"/>
              </w:rPr>
            </w:pPr>
          </w:p>
        </w:tc>
        <w:tc>
          <w:tcPr>
            <w:tcW w:w="1100" w:type="dxa"/>
            <w:vAlign w:val="bottom"/>
            <w:tcBorders>
              <w:bottom w:val="single" w:sz="8" w:color="E52823"/>
            </w:tcBorders>
            <w:shd w:val="clear" w:color="auto" w:fill="EDEDED"/>
          </w:tcPr>
          <w:p>
            <w:pPr>
              <w:spacing w:after="0"/>
              <w:rPr>
                <w:sz w:val="8"/>
                <w:szCs w:val="8"/>
                <w:color w:val="auto"/>
              </w:rPr>
            </w:pPr>
          </w:p>
        </w:tc>
        <w:tc>
          <w:tcPr>
            <w:tcW w:w="1100" w:type="dxa"/>
            <w:vAlign w:val="bottom"/>
            <w:tcBorders>
              <w:bottom w:val="single" w:sz="8" w:color="E52823"/>
            </w:tcBorders>
            <w:shd w:val="clear" w:color="auto" w:fill="EDEDED"/>
          </w:tcPr>
          <w:p>
            <w:pPr>
              <w:spacing w:after="0"/>
              <w:rPr>
                <w:sz w:val="8"/>
                <w:szCs w:val="8"/>
                <w:color w:val="auto"/>
              </w:rPr>
            </w:pPr>
          </w:p>
        </w:tc>
        <w:tc>
          <w:tcPr>
            <w:tcW w:w="2140" w:type="dxa"/>
            <w:vAlign w:val="bottom"/>
            <w:tcBorders>
              <w:bottom w:val="single" w:sz="8" w:color="E52823"/>
            </w:tcBorders>
            <w:shd w:val="clear" w:color="auto" w:fill="EDEDED"/>
          </w:tcPr>
          <w:p>
            <w:pPr>
              <w:spacing w:after="0"/>
              <w:rPr>
                <w:sz w:val="8"/>
                <w:szCs w:val="8"/>
                <w:color w:val="auto"/>
              </w:rPr>
            </w:pPr>
          </w:p>
        </w:tc>
        <w:tc>
          <w:tcPr>
            <w:tcW w:w="280" w:type="dxa"/>
            <w:vAlign w:val="bottom"/>
            <w:tcBorders>
              <w:bottom w:val="single" w:sz="8" w:color="E52823"/>
            </w:tcBorders>
            <w:shd w:val="clear" w:color="auto" w:fill="EDEDED"/>
          </w:tcPr>
          <w:p>
            <w:pPr>
              <w:spacing w:after="0"/>
              <w:rPr>
                <w:sz w:val="8"/>
                <w:szCs w:val="8"/>
                <w:color w:val="auto"/>
              </w:rPr>
            </w:pPr>
          </w:p>
        </w:tc>
        <w:tc>
          <w:tcPr>
            <w:tcW w:w="600" w:type="dxa"/>
            <w:vAlign w:val="bottom"/>
            <w:tcBorders>
              <w:bottom w:val="single" w:sz="8" w:color="E52823"/>
            </w:tcBorders>
            <w:shd w:val="clear" w:color="auto" w:fill="EDEDED"/>
          </w:tcPr>
          <w:p>
            <w:pPr>
              <w:spacing w:after="0"/>
              <w:rPr>
                <w:sz w:val="8"/>
                <w:szCs w:val="8"/>
                <w:color w:val="auto"/>
              </w:rPr>
            </w:pPr>
          </w:p>
        </w:tc>
        <w:tc>
          <w:tcPr>
            <w:tcW w:w="860" w:type="dxa"/>
            <w:vAlign w:val="bottom"/>
            <w:tcBorders>
              <w:bottom w:val="single" w:sz="8" w:color="E52823"/>
            </w:tcBorders>
            <w:shd w:val="clear" w:color="auto" w:fill="EDEDED"/>
          </w:tcPr>
          <w:p>
            <w:pPr>
              <w:spacing w:after="0"/>
              <w:rPr>
                <w:sz w:val="8"/>
                <w:szCs w:val="8"/>
                <w:color w:val="auto"/>
              </w:rPr>
            </w:pPr>
          </w:p>
        </w:tc>
        <w:tc>
          <w:tcPr>
            <w:tcW w:w="200" w:type="dxa"/>
            <w:vAlign w:val="bottom"/>
            <w:tcBorders>
              <w:bottom w:val="single" w:sz="8" w:color="E52823"/>
            </w:tcBorders>
            <w:shd w:val="clear" w:color="auto" w:fill="EDEDED"/>
          </w:tcPr>
          <w:p>
            <w:pPr>
              <w:spacing w:after="0"/>
              <w:rPr>
                <w:sz w:val="8"/>
                <w:szCs w:val="8"/>
                <w:color w:val="auto"/>
              </w:rPr>
            </w:pPr>
          </w:p>
        </w:tc>
        <w:tc>
          <w:tcPr>
            <w:tcW w:w="660" w:type="dxa"/>
            <w:vAlign w:val="bottom"/>
            <w:tcBorders>
              <w:bottom w:val="single" w:sz="8" w:color="E52823"/>
            </w:tcBorders>
            <w:shd w:val="clear" w:color="auto" w:fill="EDEDED"/>
          </w:tcPr>
          <w:p>
            <w:pPr>
              <w:spacing w:after="0"/>
              <w:rPr>
                <w:sz w:val="8"/>
                <w:szCs w:val="8"/>
                <w:color w:val="auto"/>
              </w:rPr>
            </w:pPr>
          </w:p>
        </w:tc>
        <w:tc>
          <w:tcPr>
            <w:tcW w:w="220" w:type="dxa"/>
            <w:vAlign w:val="bottom"/>
            <w:tcBorders>
              <w:bottom w:val="single" w:sz="8" w:color="E52823"/>
            </w:tcBorders>
            <w:shd w:val="clear" w:color="auto" w:fill="EDEDED"/>
          </w:tcPr>
          <w:p>
            <w:pPr>
              <w:spacing w:after="0"/>
              <w:rPr>
                <w:sz w:val="8"/>
                <w:szCs w:val="8"/>
                <w:color w:val="auto"/>
              </w:rPr>
            </w:pPr>
          </w:p>
        </w:tc>
        <w:tc>
          <w:tcPr>
            <w:tcW w:w="540" w:type="dxa"/>
            <w:vAlign w:val="bottom"/>
            <w:tcBorders>
              <w:bottom w:val="single" w:sz="8" w:color="E52823"/>
            </w:tcBorders>
            <w:shd w:val="clear" w:color="auto" w:fill="EDEDED"/>
          </w:tcPr>
          <w:p>
            <w:pPr>
              <w:spacing w:after="0"/>
              <w:rPr>
                <w:sz w:val="8"/>
                <w:szCs w:val="8"/>
                <w:color w:val="auto"/>
              </w:rPr>
            </w:pPr>
          </w:p>
        </w:tc>
        <w:tc>
          <w:tcPr>
            <w:tcW w:w="900" w:type="dxa"/>
            <w:vAlign w:val="bottom"/>
            <w:tcBorders>
              <w:bottom w:val="single" w:sz="8" w:color="E52823"/>
            </w:tcBorders>
            <w:shd w:val="clear" w:color="auto" w:fill="EDEDED"/>
          </w:tcPr>
          <w:p>
            <w:pPr>
              <w:spacing w:after="0"/>
              <w:rPr>
                <w:sz w:val="8"/>
                <w:szCs w:val="8"/>
                <w:color w:val="auto"/>
              </w:rPr>
            </w:pPr>
          </w:p>
        </w:tc>
      </w:tr>
    </w:tbl>
    <w:p>
      <w:pPr>
        <w:spacing w:after="0" w:line="75" w:lineRule="exact"/>
        <w:rPr>
          <w:sz w:val="20"/>
          <w:szCs w:val="20"/>
          <w:color w:val="auto"/>
        </w:rPr>
      </w:pPr>
    </w:p>
    <w:p>
      <w:pPr>
        <w:ind w:left="440" w:hanging="324"/>
        <w:spacing w:after="0"/>
        <w:tabs>
          <w:tab w:leader="none" w:pos="4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Tower International was acquired by Autokiniton in September, 2019. Figures, where available, reflect trailing four quarter data as of 6/30/2019.</w:t>
      </w:r>
    </w:p>
    <w:p>
      <w:pPr>
        <w:spacing w:after="0" w:line="182"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In addition to the 19 companies above, the Compensation Committee identified four additional European-headquartered companies – Aptiv, Autoliv, TE Connectivity, and Valeo – that we will monitor outside of the peer group.</w:t>
      </w:r>
    </w:p>
    <w:p>
      <w:pPr>
        <w:spacing w:after="0" w:line="155"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Compensation Committee intends to continually evaluate the peer group to ensure that it remains an appropriate market reference going forward and continues to suit our business needs.</w:t>
      </w:r>
    </w:p>
    <w:p>
      <w:pPr>
        <w:spacing w:after="0" w:line="155"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In addition to reviewing information regarding the peer group, our Compensation Committee also leverages broader market survey and data sources to guide the establishment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27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Elements of Executive Compensation</w:t>
      </w:r>
    </w:p>
    <w:p>
      <w:pPr>
        <w:spacing w:after="0" w:line="209" w:lineRule="exact"/>
        <w:rPr>
          <w:sz w:val="20"/>
          <w:szCs w:val="20"/>
          <w:color w:val="auto"/>
        </w:rPr>
      </w:pPr>
    </w:p>
    <w:p>
      <w:pPr>
        <w:ind w:left="120" w:right="400"/>
        <w:spacing w:after="0" w:line="251" w:lineRule="auto"/>
        <w:rPr>
          <w:sz w:val="20"/>
          <w:szCs w:val="20"/>
          <w:color w:val="auto"/>
        </w:rPr>
      </w:pPr>
      <w:r>
        <w:rPr>
          <w:rFonts w:ascii="Arial" w:cs="Arial" w:eastAsia="Arial" w:hAnsi="Arial"/>
          <w:sz w:val="16"/>
          <w:szCs w:val="16"/>
          <w:color w:val="auto"/>
        </w:rPr>
        <w:t>The following is a discussion of the primary elements of 2019 compensation for each of our Named Executive Officers. As previously mentioned, our compensation for 2019 was determined by our Compensation Committee. All USD amounts represent compensation paid in Swiss Francs (including salary, spin-off bonuses, and short-term incentive compensation plan payouts) and converted using the average exchange rate for the year-ended December 31, 2019 under GAAP of 1 USD to 0.99396 CHF, unless otherwise noted.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 Salary</w:t>
      </w:r>
    </w:p>
    <w:p>
      <w:pPr>
        <w:ind w:left="120" w:right="380"/>
        <w:spacing w:after="0" w:line="260" w:lineRule="auto"/>
        <w:rPr>
          <w:sz w:val="20"/>
          <w:szCs w:val="20"/>
          <w:color w:val="auto"/>
        </w:rPr>
      </w:pPr>
      <w:r>
        <w:rPr>
          <w:rFonts w:ascii="Arial" w:cs="Arial" w:eastAsia="Arial" w:hAnsi="Arial"/>
          <w:sz w:val="16"/>
          <w:szCs w:val="16"/>
          <w:color w:val="auto"/>
        </w:rPr>
        <w:t>Base salaries are intended to attract and compensate high-performing and experienced leaders and are determined based on performance, scope of responsibility, and years of experience with reference made to relevant competitive market data (but not targeted to a specific competitive position).</w:t>
      </w:r>
    </w:p>
    <w:p>
      <w:pPr>
        <w:spacing w:after="0" w:line="15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In February 2019, the Compensation Committee determined to increase the salaries for Messrs. Rabiller and Gili, effective April 1, 2019, from $875,287 and $533,221 to $905,469 and $551,406, respectively, after taking into consideration industry and market data, to reflect their roles and responsibilities at the Company, and to bring their base salaries closer to those paid at similar positions within our peer group. The base salaries for the remaining Named Executive Officers otherwise remained unchanged for 2019.</w:t>
      </w:r>
    </w:p>
    <w:p>
      <w:pPr>
        <w:spacing w:after="0" w:line="175"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In addition, in September 2019, the Company and Mr. Gili entered into a separation agreement pursuant to which he separated from the Company in February 2020. In connection with entering into the separation agreement, Mr. Gili stepped down as Chief Financial Officer in September 2019. Following this, effective September 6, 2019, Mr. Bracke and Garrett Motion Sàrl, one of our subsidiaries, entered into an amendment to Mr. Bracke’s employment agreement in connection with Mr. Bracke’s appointment as Interim Chief Financial Officer, pursuant to which his annual base salary was increased from $366,172 to $448,302, in order to reflect his new role and responsibilities with our company.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base salaries for each of our Named Executive Officers, including the increases in 2019:</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2660" w:type="dxa"/>
            <w:vAlign w:val="bottom"/>
            <w:gridSpan w:val="2"/>
          </w:tcPr>
          <w:p>
            <w:pPr>
              <w:ind w:left="1320"/>
              <w:spacing w:after="0"/>
              <w:rPr>
                <w:sz w:val="20"/>
                <w:szCs w:val="20"/>
                <w:color w:val="auto"/>
              </w:rPr>
            </w:pPr>
            <w:r>
              <w:rPr>
                <w:rFonts w:ascii="Arial" w:cs="Arial" w:eastAsia="Arial" w:hAnsi="Arial"/>
                <w:sz w:val="14"/>
                <w:szCs w:val="14"/>
                <w:color w:val="auto"/>
              </w:rPr>
              <w:t>Annual Base Salary</w:t>
            </w:r>
          </w:p>
        </w:tc>
        <w:tc>
          <w:tcPr>
            <w:tcW w:w="940" w:type="dxa"/>
            <w:vAlign w:val="bottom"/>
          </w:tcPr>
          <w:p>
            <w:pPr>
              <w:spacing w:after="0"/>
              <w:rPr>
                <w:sz w:val="14"/>
                <w:szCs w:val="14"/>
                <w:color w:val="auto"/>
              </w:rPr>
            </w:pPr>
          </w:p>
        </w:tc>
      </w:tr>
      <w:tr>
        <w:trPr>
          <w:trHeight w:val="53"/>
        </w:trPr>
        <w:tc>
          <w:tcPr>
            <w:tcW w:w="74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74"/>
        </w:trPr>
        <w:tc>
          <w:tcPr>
            <w:tcW w:w="7420" w:type="dxa"/>
            <w:vAlign w:val="bottom"/>
          </w:tcPr>
          <w:p>
            <w:pPr>
              <w:spacing w:after="0"/>
              <w:rPr>
                <w:sz w:val="15"/>
                <w:szCs w:val="15"/>
                <w:color w:val="auto"/>
              </w:rPr>
            </w:pPr>
          </w:p>
        </w:tc>
        <w:tc>
          <w:tcPr>
            <w:tcW w:w="1580" w:type="dxa"/>
            <w:vAlign w:val="bottom"/>
          </w:tcPr>
          <w:p>
            <w:pPr>
              <w:jc w:val="right"/>
              <w:ind w:right="122"/>
              <w:spacing w:after="0"/>
              <w:rPr>
                <w:sz w:val="20"/>
                <w:szCs w:val="20"/>
                <w:color w:val="auto"/>
              </w:rPr>
            </w:pPr>
            <w:r>
              <w:rPr>
                <w:rFonts w:ascii="Arial" w:cs="Arial" w:eastAsia="Arial" w:hAnsi="Arial"/>
                <w:sz w:val="14"/>
                <w:szCs w:val="14"/>
                <w:color w:val="auto"/>
              </w:rPr>
              <w:t>As of January 1,</w:t>
            </w:r>
          </w:p>
        </w:tc>
        <w:tc>
          <w:tcPr>
            <w:tcW w:w="1080" w:type="dxa"/>
            <w:vAlign w:val="bottom"/>
          </w:tcPr>
          <w:p>
            <w:pPr>
              <w:ind w:left="240"/>
              <w:spacing w:after="0"/>
              <w:rPr>
                <w:sz w:val="20"/>
                <w:szCs w:val="20"/>
                <w:color w:val="auto"/>
              </w:rPr>
            </w:pPr>
            <w:r>
              <w:rPr>
                <w:rFonts w:ascii="Arial" w:cs="Arial" w:eastAsia="Arial" w:hAnsi="Arial"/>
                <w:sz w:val="14"/>
                <w:szCs w:val="14"/>
                <w:color w:val="auto"/>
              </w:rPr>
              <w:t>April 1,</w:t>
            </w:r>
          </w:p>
        </w:tc>
        <w:tc>
          <w:tcPr>
            <w:tcW w:w="940" w:type="dxa"/>
            <w:vAlign w:val="bottom"/>
          </w:tcPr>
          <w:p>
            <w:pPr>
              <w:jc w:val="right"/>
              <w:spacing w:after="0"/>
              <w:rPr>
                <w:sz w:val="20"/>
                <w:szCs w:val="20"/>
                <w:color w:val="auto"/>
              </w:rPr>
            </w:pPr>
            <w:r>
              <w:rPr>
                <w:rFonts w:ascii="Arial" w:cs="Arial" w:eastAsia="Arial" w:hAnsi="Arial"/>
                <w:sz w:val="14"/>
                <w:szCs w:val="14"/>
                <w:color w:val="auto"/>
              </w:rPr>
              <w:t>September 6,</w:t>
            </w:r>
          </w:p>
        </w:tc>
      </w:tr>
      <w:tr>
        <w:trPr>
          <w:trHeight w:val="172"/>
        </w:trPr>
        <w:tc>
          <w:tcPr>
            <w:tcW w:w="7420" w:type="dxa"/>
            <w:vAlign w:val="bottom"/>
          </w:tcPr>
          <w:p>
            <w:pPr>
              <w:ind w:left="60"/>
              <w:spacing w:after="0"/>
              <w:rPr>
                <w:sz w:val="20"/>
                <w:szCs w:val="20"/>
                <w:color w:val="auto"/>
              </w:rPr>
            </w:pPr>
            <w:r>
              <w:rPr>
                <w:rFonts w:ascii="Arial" w:cs="Arial" w:eastAsia="Arial" w:hAnsi="Arial"/>
                <w:sz w:val="14"/>
                <w:szCs w:val="14"/>
                <w:color w:val="auto"/>
              </w:rPr>
              <w:t>Named Executive Officer</w:t>
            </w:r>
          </w:p>
        </w:tc>
        <w:tc>
          <w:tcPr>
            <w:tcW w:w="1580" w:type="dxa"/>
            <w:vAlign w:val="bottom"/>
          </w:tcPr>
          <w:p>
            <w:pPr>
              <w:jc w:val="right"/>
              <w:ind w:right="382"/>
              <w:spacing w:after="0"/>
              <w:rPr>
                <w:sz w:val="20"/>
                <w:szCs w:val="20"/>
                <w:color w:val="auto"/>
              </w:rPr>
            </w:pPr>
            <w:r>
              <w:rPr>
                <w:rFonts w:ascii="Arial" w:cs="Arial" w:eastAsia="Arial" w:hAnsi="Arial"/>
                <w:sz w:val="14"/>
                <w:szCs w:val="14"/>
                <w:color w:val="auto"/>
              </w:rPr>
              <w:t>2019 ($)</w:t>
            </w:r>
          </w:p>
        </w:tc>
        <w:tc>
          <w:tcPr>
            <w:tcW w:w="1080" w:type="dxa"/>
            <w:vAlign w:val="bottom"/>
          </w:tcPr>
          <w:p>
            <w:pPr>
              <w:ind w:left="200"/>
              <w:spacing w:after="0"/>
              <w:rPr>
                <w:sz w:val="20"/>
                <w:szCs w:val="20"/>
                <w:color w:val="auto"/>
              </w:rPr>
            </w:pPr>
            <w:r>
              <w:rPr>
                <w:rFonts w:ascii="Arial" w:cs="Arial" w:eastAsia="Arial" w:hAnsi="Arial"/>
                <w:sz w:val="14"/>
                <w:szCs w:val="14"/>
                <w:color w:val="auto"/>
              </w:rPr>
              <w:t>2019 ($)</w:t>
            </w:r>
          </w:p>
        </w:tc>
        <w:tc>
          <w:tcPr>
            <w:tcW w:w="940" w:type="dxa"/>
            <w:vAlign w:val="bottom"/>
          </w:tcPr>
          <w:p>
            <w:pPr>
              <w:jc w:val="right"/>
              <w:ind w:right="101"/>
              <w:spacing w:after="0"/>
              <w:rPr>
                <w:sz w:val="20"/>
                <w:szCs w:val="20"/>
                <w:color w:val="auto"/>
              </w:rPr>
            </w:pPr>
            <w:r>
              <w:rPr>
                <w:rFonts w:ascii="Arial" w:cs="Arial" w:eastAsia="Arial" w:hAnsi="Arial"/>
                <w:sz w:val="14"/>
                <w:szCs w:val="14"/>
                <w:color w:val="auto"/>
              </w:rPr>
              <w:t>2019 ($)</w:t>
            </w:r>
          </w:p>
        </w:tc>
      </w:tr>
      <w:tr>
        <w:trPr>
          <w:trHeight w:val="100"/>
        </w:trPr>
        <w:tc>
          <w:tcPr>
            <w:tcW w:w="74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10"/>
        </w:trPr>
        <w:tc>
          <w:tcPr>
            <w:tcW w:w="7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Olivier Rabiller</w:t>
            </w:r>
          </w:p>
        </w:tc>
        <w:tc>
          <w:tcPr>
            <w:tcW w:w="1580" w:type="dxa"/>
            <w:vAlign w:val="bottom"/>
            <w:shd w:val="clear" w:color="auto" w:fill="EDEDED"/>
          </w:tcPr>
          <w:p>
            <w:pPr>
              <w:jc w:val="right"/>
              <w:ind w:right="202"/>
              <w:spacing w:after="0"/>
              <w:rPr>
                <w:sz w:val="20"/>
                <w:szCs w:val="20"/>
                <w:color w:val="auto"/>
              </w:rPr>
            </w:pPr>
            <w:r>
              <w:rPr>
                <w:rFonts w:ascii="Arial" w:cs="Arial" w:eastAsia="Arial" w:hAnsi="Arial"/>
                <w:sz w:val="16"/>
                <w:szCs w:val="16"/>
                <w:color w:val="auto"/>
              </w:rPr>
              <w:t>875,287</w:t>
            </w:r>
          </w:p>
        </w:tc>
        <w:tc>
          <w:tcPr>
            <w:tcW w:w="1080" w:type="dxa"/>
            <w:vAlign w:val="bottom"/>
            <w:shd w:val="clear" w:color="auto" w:fill="EDEDED"/>
          </w:tcPr>
          <w:p>
            <w:pPr>
              <w:ind w:left="240"/>
              <w:spacing w:after="0"/>
              <w:rPr>
                <w:sz w:val="20"/>
                <w:szCs w:val="20"/>
                <w:color w:val="auto"/>
              </w:rPr>
            </w:pPr>
            <w:r>
              <w:rPr>
                <w:rFonts w:ascii="Arial" w:cs="Arial" w:eastAsia="Arial" w:hAnsi="Arial"/>
                <w:sz w:val="16"/>
                <w:szCs w:val="16"/>
                <w:color w:val="auto"/>
              </w:rPr>
              <w:t>905,469</w:t>
            </w: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905,469</w:t>
            </w:r>
          </w:p>
        </w:tc>
      </w:tr>
      <w:tr>
        <w:trPr>
          <w:trHeight w:val="100"/>
        </w:trPr>
        <w:tc>
          <w:tcPr>
            <w:tcW w:w="7420" w:type="dxa"/>
            <w:vAlign w:val="bottom"/>
            <w:shd w:val="clear" w:color="auto" w:fill="EDEDED"/>
          </w:tcPr>
          <w:p>
            <w:pPr>
              <w:spacing w:after="0"/>
              <w:rPr>
                <w:sz w:val="8"/>
                <w:szCs w:val="8"/>
                <w:color w:val="auto"/>
              </w:rPr>
            </w:pPr>
          </w:p>
        </w:tc>
        <w:tc>
          <w:tcPr>
            <w:tcW w:w="1580" w:type="dxa"/>
            <w:vAlign w:val="bottom"/>
            <w:shd w:val="clear" w:color="auto" w:fill="EDEDED"/>
          </w:tcPr>
          <w:p>
            <w:pPr>
              <w:spacing w:after="0"/>
              <w:rPr>
                <w:sz w:val="8"/>
                <w:szCs w:val="8"/>
                <w:color w:val="auto"/>
              </w:rPr>
            </w:pPr>
          </w:p>
        </w:tc>
        <w:tc>
          <w:tcPr>
            <w:tcW w:w="1080" w:type="dxa"/>
            <w:vAlign w:val="bottom"/>
            <w:shd w:val="clear" w:color="auto" w:fill="EDEDED"/>
          </w:tcPr>
          <w:p>
            <w:pPr>
              <w:spacing w:after="0"/>
              <w:rPr>
                <w:sz w:val="8"/>
                <w:szCs w:val="8"/>
                <w:color w:val="auto"/>
              </w:rPr>
            </w:pPr>
          </w:p>
        </w:tc>
        <w:tc>
          <w:tcPr>
            <w:tcW w:w="940" w:type="dxa"/>
            <w:vAlign w:val="bottom"/>
            <w:shd w:val="clear" w:color="auto" w:fill="EDEDED"/>
          </w:tcPr>
          <w:p>
            <w:pPr>
              <w:spacing w:after="0"/>
              <w:rPr>
                <w:sz w:val="8"/>
                <w:szCs w:val="8"/>
                <w:color w:val="auto"/>
              </w:rPr>
            </w:pPr>
          </w:p>
        </w:tc>
      </w:tr>
      <w:tr>
        <w:trPr>
          <w:trHeight w:val="223"/>
        </w:trPr>
        <w:tc>
          <w:tcPr>
            <w:tcW w:w="7420" w:type="dxa"/>
            <w:vAlign w:val="bottom"/>
          </w:tcPr>
          <w:p>
            <w:pPr>
              <w:ind w:left="60"/>
              <w:spacing w:after="0"/>
              <w:rPr>
                <w:sz w:val="20"/>
                <w:szCs w:val="20"/>
                <w:color w:val="auto"/>
              </w:rPr>
            </w:pPr>
            <w:r>
              <w:rPr>
                <w:rFonts w:ascii="Arial" w:cs="Arial" w:eastAsia="Arial" w:hAnsi="Arial"/>
                <w:sz w:val="16"/>
                <w:szCs w:val="16"/>
                <w:color w:val="auto"/>
              </w:rPr>
              <w:t>Alessandro Gili</w:t>
            </w:r>
          </w:p>
        </w:tc>
        <w:tc>
          <w:tcPr>
            <w:tcW w:w="1580" w:type="dxa"/>
            <w:vAlign w:val="bottom"/>
          </w:tcPr>
          <w:p>
            <w:pPr>
              <w:jc w:val="right"/>
              <w:ind w:right="202"/>
              <w:spacing w:after="0"/>
              <w:rPr>
                <w:sz w:val="20"/>
                <w:szCs w:val="20"/>
                <w:color w:val="auto"/>
              </w:rPr>
            </w:pPr>
            <w:r>
              <w:rPr>
                <w:rFonts w:ascii="Arial" w:cs="Arial" w:eastAsia="Arial" w:hAnsi="Arial"/>
                <w:sz w:val="16"/>
                <w:szCs w:val="16"/>
                <w:color w:val="auto"/>
              </w:rPr>
              <w:t>533,221</w:t>
            </w:r>
          </w:p>
        </w:tc>
        <w:tc>
          <w:tcPr>
            <w:tcW w:w="1080" w:type="dxa"/>
            <w:vAlign w:val="bottom"/>
          </w:tcPr>
          <w:p>
            <w:pPr>
              <w:ind w:left="240"/>
              <w:spacing w:after="0"/>
              <w:rPr>
                <w:sz w:val="20"/>
                <w:szCs w:val="20"/>
                <w:color w:val="auto"/>
              </w:rPr>
            </w:pPr>
            <w:r>
              <w:rPr>
                <w:rFonts w:ascii="Arial" w:cs="Arial" w:eastAsia="Arial" w:hAnsi="Arial"/>
                <w:sz w:val="16"/>
                <w:szCs w:val="16"/>
                <w:color w:val="auto"/>
              </w:rPr>
              <w:t>551,406</w:t>
            </w:r>
          </w:p>
        </w:tc>
        <w:tc>
          <w:tcPr>
            <w:tcW w:w="940" w:type="dxa"/>
            <w:vAlign w:val="bottom"/>
          </w:tcPr>
          <w:p>
            <w:pPr>
              <w:jc w:val="right"/>
              <w:spacing w:after="0"/>
              <w:rPr>
                <w:sz w:val="20"/>
                <w:szCs w:val="20"/>
                <w:color w:val="auto"/>
              </w:rPr>
            </w:pPr>
            <w:r>
              <w:rPr>
                <w:rFonts w:ascii="Arial" w:cs="Arial" w:eastAsia="Arial" w:hAnsi="Arial"/>
                <w:sz w:val="16"/>
                <w:szCs w:val="16"/>
                <w:color w:val="auto"/>
              </w:rPr>
              <w:t>551,406</w:t>
            </w:r>
          </w:p>
        </w:tc>
      </w:tr>
      <w:tr>
        <w:trPr>
          <w:trHeight w:val="108"/>
        </w:trPr>
        <w:tc>
          <w:tcPr>
            <w:tcW w:w="7420" w:type="dxa"/>
            <w:vAlign w:val="bottom"/>
            <w:tcBorders>
              <w:bottom w:val="single" w:sz="8" w:color="EDEDED"/>
            </w:tcBorders>
          </w:tcPr>
          <w:p>
            <w:pPr>
              <w:spacing w:after="0"/>
              <w:rPr>
                <w:sz w:val="9"/>
                <w:szCs w:val="9"/>
                <w:color w:val="auto"/>
              </w:rPr>
            </w:pPr>
          </w:p>
        </w:tc>
        <w:tc>
          <w:tcPr>
            <w:tcW w:w="1580" w:type="dxa"/>
            <w:vAlign w:val="bottom"/>
            <w:tcBorders>
              <w:bottom w:val="single" w:sz="8" w:color="EDEDED"/>
            </w:tcBorders>
          </w:tcPr>
          <w:p>
            <w:pPr>
              <w:spacing w:after="0"/>
              <w:rPr>
                <w:sz w:val="9"/>
                <w:szCs w:val="9"/>
                <w:color w:val="auto"/>
              </w:rPr>
            </w:pPr>
          </w:p>
        </w:tc>
        <w:tc>
          <w:tcPr>
            <w:tcW w:w="1080" w:type="dxa"/>
            <w:vAlign w:val="bottom"/>
            <w:tcBorders>
              <w:bottom w:val="single" w:sz="8" w:color="EDEDED"/>
            </w:tcBorders>
          </w:tcPr>
          <w:p>
            <w:pPr>
              <w:spacing w:after="0"/>
              <w:rPr>
                <w:sz w:val="9"/>
                <w:szCs w:val="9"/>
                <w:color w:val="auto"/>
              </w:rPr>
            </w:pPr>
          </w:p>
        </w:tc>
        <w:tc>
          <w:tcPr>
            <w:tcW w:w="940" w:type="dxa"/>
            <w:vAlign w:val="bottom"/>
            <w:tcBorders>
              <w:bottom w:val="single" w:sz="8" w:color="EDEDED"/>
            </w:tcBorders>
          </w:tcPr>
          <w:p>
            <w:pPr>
              <w:spacing w:after="0"/>
              <w:rPr>
                <w:sz w:val="9"/>
                <w:szCs w:val="9"/>
                <w:color w:val="auto"/>
              </w:rPr>
            </w:pPr>
          </w:p>
        </w:tc>
      </w:tr>
      <w:tr>
        <w:trPr>
          <w:trHeight w:val="196"/>
        </w:trPr>
        <w:tc>
          <w:tcPr>
            <w:tcW w:w="7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Peter Bracke</w:t>
            </w:r>
          </w:p>
        </w:tc>
        <w:tc>
          <w:tcPr>
            <w:tcW w:w="1580" w:type="dxa"/>
            <w:vAlign w:val="bottom"/>
            <w:shd w:val="clear" w:color="auto" w:fill="EDEDED"/>
          </w:tcPr>
          <w:p>
            <w:pPr>
              <w:jc w:val="right"/>
              <w:ind w:right="202"/>
              <w:spacing w:after="0"/>
              <w:rPr>
                <w:sz w:val="20"/>
                <w:szCs w:val="20"/>
                <w:color w:val="auto"/>
              </w:rPr>
            </w:pPr>
            <w:r>
              <w:rPr>
                <w:rFonts w:ascii="Arial" w:cs="Arial" w:eastAsia="Arial" w:hAnsi="Arial"/>
                <w:sz w:val="16"/>
                <w:szCs w:val="16"/>
                <w:color w:val="auto"/>
              </w:rPr>
              <w:t>362,188</w:t>
            </w:r>
          </w:p>
        </w:tc>
        <w:tc>
          <w:tcPr>
            <w:tcW w:w="1080" w:type="dxa"/>
            <w:vAlign w:val="bottom"/>
            <w:shd w:val="clear" w:color="auto" w:fill="EDEDED"/>
          </w:tcPr>
          <w:p>
            <w:pPr>
              <w:ind w:left="240"/>
              <w:spacing w:after="0"/>
              <w:rPr>
                <w:sz w:val="20"/>
                <w:szCs w:val="20"/>
                <w:color w:val="auto"/>
              </w:rPr>
            </w:pPr>
            <w:r>
              <w:rPr>
                <w:rFonts w:ascii="Arial" w:cs="Arial" w:eastAsia="Arial" w:hAnsi="Arial"/>
                <w:sz w:val="16"/>
                <w:szCs w:val="16"/>
                <w:color w:val="auto"/>
              </w:rPr>
              <w:t>366,172</w:t>
            </w: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448,302</w:t>
            </w:r>
          </w:p>
        </w:tc>
      </w:tr>
      <w:tr>
        <w:trPr>
          <w:trHeight w:val="100"/>
        </w:trPr>
        <w:tc>
          <w:tcPr>
            <w:tcW w:w="7420" w:type="dxa"/>
            <w:vAlign w:val="bottom"/>
            <w:shd w:val="clear" w:color="auto" w:fill="EDEDED"/>
          </w:tcPr>
          <w:p>
            <w:pPr>
              <w:spacing w:after="0"/>
              <w:rPr>
                <w:sz w:val="8"/>
                <w:szCs w:val="8"/>
                <w:color w:val="auto"/>
              </w:rPr>
            </w:pPr>
          </w:p>
        </w:tc>
        <w:tc>
          <w:tcPr>
            <w:tcW w:w="1580" w:type="dxa"/>
            <w:vAlign w:val="bottom"/>
            <w:shd w:val="clear" w:color="auto" w:fill="EDEDED"/>
          </w:tcPr>
          <w:p>
            <w:pPr>
              <w:spacing w:after="0"/>
              <w:rPr>
                <w:sz w:val="8"/>
                <w:szCs w:val="8"/>
                <w:color w:val="auto"/>
              </w:rPr>
            </w:pPr>
          </w:p>
        </w:tc>
        <w:tc>
          <w:tcPr>
            <w:tcW w:w="1080" w:type="dxa"/>
            <w:vAlign w:val="bottom"/>
            <w:shd w:val="clear" w:color="auto" w:fill="EDEDED"/>
          </w:tcPr>
          <w:p>
            <w:pPr>
              <w:spacing w:after="0"/>
              <w:rPr>
                <w:sz w:val="8"/>
                <w:szCs w:val="8"/>
                <w:color w:val="auto"/>
              </w:rPr>
            </w:pPr>
          </w:p>
        </w:tc>
        <w:tc>
          <w:tcPr>
            <w:tcW w:w="940" w:type="dxa"/>
            <w:vAlign w:val="bottom"/>
            <w:shd w:val="clear" w:color="auto" w:fill="EDEDED"/>
          </w:tcPr>
          <w:p>
            <w:pPr>
              <w:spacing w:after="0"/>
              <w:rPr>
                <w:sz w:val="8"/>
                <w:szCs w:val="8"/>
                <w:color w:val="auto"/>
              </w:rPr>
            </w:pPr>
          </w:p>
        </w:tc>
      </w:tr>
      <w:tr>
        <w:trPr>
          <w:trHeight w:val="223"/>
        </w:trPr>
        <w:tc>
          <w:tcPr>
            <w:tcW w:w="7420" w:type="dxa"/>
            <w:vAlign w:val="bottom"/>
          </w:tcPr>
          <w:p>
            <w:pPr>
              <w:ind w:left="60"/>
              <w:spacing w:after="0"/>
              <w:rPr>
                <w:sz w:val="20"/>
                <w:szCs w:val="20"/>
                <w:color w:val="auto"/>
              </w:rPr>
            </w:pPr>
            <w:r>
              <w:rPr>
                <w:rFonts w:ascii="Arial" w:cs="Arial" w:eastAsia="Arial" w:hAnsi="Arial"/>
                <w:sz w:val="16"/>
                <w:szCs w:val="16"/>
                <w:color w:val="auto"/>
              </w:rPr>
              <w:t>Craig Balis</w:t>
            </w:r>
          </w:p>
        </w:tc>
        <w:tc>
          <w:tcPr>
            <w:tcW w:w="1580" w:type="dxa"/>
            <w:vAlign w:val="bottom"/>
          </w:tcPr>
          <w:p>
            <w:pPr>
              <w:jc w:val="right"/>
              <w:ind w:right="202"/>
              <w:spacing w:after="0"/>
              <w:rPr>
                <w:sz w:val="20"/>
                <w:szCs w:val="20"/>
                <w:color w:val="auto"/>
              </w:rPr>
            </w:pPr>
            <w:r>
              <w:rPr>
                <w:rFonts w:ascii="Arial" w:cs="Arial" w:eastAsia="Arial" w:hAnsi="Arial"/>
                <w:sz w:val="16"/>
                <w:szCs w:val="16"/>
                <w:color w:val="auto"/>
              </w:rPr>
              <w:t>402,431</w:t>
            </w:r>
          </w:p>
        </w:tc>
        <w:tc>
          <w:tcPr>
            <w:tcW w:w="1080" w:type="dxa"/>
            <w:vAlign w:val="bottom"/>
          </w:tcPr>
          <w:p>
            <w:pPr>
              <w:ind w:left="240"/>
              <w:spacing w:after="0"/>
              <w:rPr>
                <w:sz w:val="20"/>
                <w:szCs w:val="20"/>
                <w:color w:val="auto"/>
              </w:rPr>
            </w:pPr>
            <w:r>
              <w:rPr>
                <w:rFonts w:ascii="Arial" w:cs="Arial" w:eastAsia="Arial" w:hAnsi="Arial"/>
                <w:sz w:val="16"/>
                <w:szCs w:val="16"/>
                <w:color w:val="auto"/>
              </w:rPr>
              <w:t>402,431</w:t>
            </w:r>
          </w:p>
        </w:tc>
        <w:tc>
          <w:tcPr>
            <w:tcW w:w="940" w:type="dxa"/>
            <w:vAlign w:val="bottom"/>
          </w:tcPr>
          <w:p>
            <w:pPr>
              <w:jc w:val="right"/>
              <w:spacing w:after="0"/>
              <w:rPr>
                <w:sz w:val="20"/>
                <w:szCs w:val="20"/>
                <w:color w:val="auto"/>
              </w:rPr>
            </w:pPr>
            <w:r>
              <w:rPr>
                <w:rFonts w:ascii="Arial" w:cs="Arial" w:eastAsia="Arial" w:hAnsi="Arial"/>
                <w:sz w:val="16"/>
                <w:szCs w:val="16"/>
                <w:color w:val="auto"/>
              </w:rPr>
              <w:t>402,431</w:t>
            </w:r>
          </w:p>
        </w:tc>
      </w:tr>
      <w:tr>
        <w:trPr>
          <w:trHeight w:val="108"/>
        </w:trPr>
        <w:tc>
          <w:tcPr>
            <w:tcW w:w="7420" w:type="dxa"/>
            <w:vAlign w:val="bottom"/>
            <w:tcBorders>
              <w:bottom w:val="single" w:sz="8" w:color="EDEDED"/>
            </w:tcBorders>
          </w:tcPr>
          <w:p>
            <w:pPr>
              <w:spacing w:after="0"/>
              <w:rPr>
                <w:sz w:val="9"/>
                <w:szCs w:val="9"/>
                <w:color w:val="auto"/>
              </w:rPr>
            </w:pPr>
          </w:p>
        </w:tc>
        <w:tc>
          <w:tcPr>
            <w:tcW w:w="1580" w:type="dxa"/>
            <w:vAlign w:val="bottom"/>
            <w:tcBorders>
              <w:bottom w:val="single" w:sz="8" w:color="EDEDED"/>
            </w:tcBorders>
          </w:tcPr>
          <w:p>
            <w:pPr>
              <w:spacing w:after="0"/>
              <w:rPr>
                <w:sz w:val="9"/>
                <w:szCs w:val="9"/>
                <w:color w:val="auto"/>
              </w:rPr>
            </w:pPr>
          </w:p>
        </w:tc>
        <w:tc>
          <w:tcPr>
            <w:tcW w:w="1080" w:type="dxa"/>
            <w:vAlign w:val="bottom"/>
            <w:tcBorders>
              <w:bottom w:val="single" w:sz="8" w:color="EDEDED"/>
            </w:tcBorders>
          </w:tcPr>
          <w:p>
            <w:pPr>
              <w:spacing w:after="0"/>
              <w:rPr>
                <w:sz w:val="9"/>
                <w:szCs w:val="9"/>
                <w:color w:val="auto"/>
              </w:rPr>
            </w:pPr>
          </w:p>
        </w:tc>
        <w:tc>
          <w:tcPr>
            <w:tcW w:w="940" w:type="dxa"/>
            <w:vAlign w:val="bottom"/>
            <w:tcBorders>
              <w:bottom w:val="single" w:sz="8" w:color="EDEDED"/>
            </w:tcBorders>
          </w:tcPr>
          <w:p>
            <w:pPr>
              <w:spacing w:after="0"/>
              <w:rPr>
                <w:sz w:val="9"/>
                <w:szCs w:val="9"/>
                <w:color w:val="auto"/>
              </w:rPr>
            </w:pPr>
          </w:p>
        </w:tc>
      </w:tr>
      <w:tr>
        <w:trPr>
          <w:trHeight w:val="196"/>
        </w:trPr>
        <w:tc>
          <w:tcPr>
            <w:tcW w:w="7420" w:type="dxa"/>
            <w:vAlign w:val="bottom"/>
            <w:shd w:val="clear" w:color="auto" w:fill="EDEDED"/>
          </w:tcPr>
          <w:p>
            <w:pPr>
              <w:ind w:left="60"/>
              <w:spacing w:after="0"/>
              <w:rPr>
                <w:sz w:val="20"/>
                <w:szCs w:val="20"/>
                <w:color w:val="auto"/>
              </w:rPr>
            </w:pPr>
            <w:r>
              <w:rPr>
                <w:rFonts w:ascii="Arial" w:cs="Arial" w:eastAsia="Arial" w:hAnsi="Arial"/>
                <w:sz w:val="16"/>
                <w:szCs w:val="16"/>
                <w:color w:val="auto"/>
              </w:rPr>
              <w:t>Jérôme Maironi</w:t>
            </w:r>
          </w:p>
        </w:tc>
        <w:tc>
          <w:tcPr>
            <w:tcW w:w="1580" w:type="dxa"/>
            <w:vAlign w:val="bottom"/>
            <w:shd w:val="clear" w:color="auto" w:fill="EDEDED"/>
          </w:tcPr>
          <w:p>
            <w:pPr>
              <w:jc w:val="right"/>
              <w:ind w:right="202"/>
              <w:spacing w:after="0"/>
              <w:rPr>
                <w:sz w:val="20"/>
                <w:szCs w:val="20"/>
                <w:color w:val="auto"/>
              </w:rPr>
            </w:pPr>
            <w:r>
              <w:rPr>
                <w:rFonts w:ascii="Arial" w:cs="Arial" w:eastAsia="Arial" w:hAnsi="Arial"/>
                <w:sz w:val="16"/>
                <w:szCs w:val="16"/>
                <w:color w:val="auto"/>
              </w:rPr>
              <w:t>452,734</w:t>
            </w:r>
          </w:p>
        </w:tc>
        <w:tc>
          <w:tcPr>
            <w:tcW w:w="1080" w:type="dxa"/>
            <w:vAlign w:val="bottom"/>
            <w:shd w:val="clear" w:color="auto" w:fill="EDEDED"/>
          </w:tcPr>
          <w:p>
            <w:pPr>
              <w:ind w:left="240"/>
              <w:spacing w:after="0"/>
              <w:rPr>
                <w:sz w:val="20"/>
                <w:szCs w:val="20"/>
                <w:color w:val="auto"/>
              </w:rPr>
            </w:pPr>
            <w:r>
              <w:rPr>
                <w:rFonts w:ascii="Arial" w:cs="Arial" w:eastAsia="Arial" w:hAnsi="Arial"/>
                <w:sz w:val="16"/>
                <w:szCs w:val="16"/>
                <w:color w:val="auto"/>
              </w:rPr>
              <w:t>452,734</w:t>
            </w: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auto"/>
              </w:rPr>
              <w:t>452,734</w:t>
            </w:r>
          </w:p>
        </w:tc>
      </w:tr>
      <w:tr>
        <w:trPr>
          <w:trHeight w:val="100"/>
        </w:trPr>
        <w:tc>
          <w:tcPr>
            <w:tcW w:w="7420" w:type="dxa"/>
            <w:vAlign w:val="bottom"/>
            <w:shd w:val="clear" w:color="auto" w:fill="EDEDED"/>
          </w:tcPr>
          <w:p>
            <w:pPr>
              <w:spacing w:after="0"/>
              <w:rPr>
                <w:sz w:val="8"/>
                <w:szCs w:val="8"/>
                <w:color w:val="auto"/>
              </w:rPr>
            </w:pPr>
          </w:p>
        </w:tc>
        <w:tc>
          <w:tcPr>
            <w:tcW w:w="1580" w:type="dxa"/>
            <w:vAlign w:val="bottom"/>
            <w:shd w:val="clear" w:color="auto" w:fill="EDEDED"/>
          </w:tcPr>
          <w:p>
            <w:pPr>
              <w:spacing w:after="0"/>
              <w:rPr>
                <w:sz w:val="8"/>
                <w:szCs w:val="8"/>
                <w:color w:val="auto"/>
              </w:rPr>
            </w:pPr>
          </w:p>
        </w:tc>
        <w:tc>
          <w:tcPr>
            <w:tcW w:w="1080" w:type="dxa"/>
            <w:vAlign w:val="bottom"/>
            <w:shd w:val="clear" w:color="auto" w:fill="EDEDED"/>
          </w:tcPr>
          <w:p>
            <w:pPr>
              <w:spacing w:after="0"/>
              <w:rPr>
                <w:sz w:val="8"/>
                <w:szCs w:val="8"/>
                <w:color w:val="auto"/>
              </w:rPr>
            </w:pPr>
          </w:p>
        </w:tc>
        <w:tc>
          <w:tcPr>
            <w:tcW w:w="940" w:type="dxa"/>
            <w:vAlign w:val="bottom"/>
            <w:shd w:val="clear" w:color="auto" w:fill="EDEDED"/>
          </w:tcPr>
          <w:p>
            <w:pPr>
              <w:spacing w:after="0"/>
              <w:rPr>
                <w:sz w:val="8"/>
                <w:szCs w:val="8"/>
                <w:color w:val="auto"/>
              </w:rPr>
            </w:pPr>
          </w:p>
        </w:tc>
      </w:tr>
      <w:tr>
        <w:trPr>
          <w:trHeight w:val="223"/>
        </w:trPr>
        <w:tc>
          <w:tcPr>
            <w:tcW w:w="7420" w:type="dxa"/>
            <w:vAlign w:val="bottom"/>
          </w:tcPr>
          <w:p>
            <w:pPr>
              <w:ind w:left="60"/>
              <w:spacing w:after="0"/>
              <w:rPr>
                <w:sz w:val="20"/>
                <w:szCs w:val="20"/>
                <w:color w:val="auto"/>
              </w:rPr>
            </w:pPr>
            <w:r>
              <w:rPr>
                <w:rFonts w:ascii="Arial" w:cs="Arial" w:eastAsia="Arial" w:hAnsi="Arial"/>
                <w:sz w:val="16"/>
                <w:szCs w:val="16"/>
                <w:color w:val="auto"/>
              </w:rPr>
              <w:t>Thierry Mabru</w:t>
            </w:r>
          </w:p>
        </w:tc>
        <w:tc>
          <w:tcPr>
            <w:tcW w:w="1580" w:type="dxa"/>
            <w:vAlign w:val="bottom"/>
          </w:tcPr>
          <w:p>
            <w:pPr>
              <w:jc w:val="right"/>
              <w:ind w:right="202"/>
              <w:spacing w:after="0"/>
              <w:rPr>
                <w:sz w:val="20"/>
                <w:szCs w:val="20"/>
                <w:color w:val="auto"/>
              </w:rPr>
            </w:pPr>
            <w:r>
              <w:rPr>
                <w:rFonts w:ascii="Arial" w:cs="Arial" w:eastAsia="Arial" w:hAnsi="Arial"/>
                <w:sz w:val="16"/>
                <w:szCs w:val="16"/>
                <w:color w:val="auto"/>
              </w:rPr>
              <w:t>407,461</w:t>
            </w:r>
          </w:p>
        </w:tc>
        <w:tc>
          <w:tcPr>
            <w:tcW w:w="1080" w:type="dxa"/>
            <w:vAlign w:val="bottom"/>
          </w:tcPr>
          <w:p>
            <w:pPr>
              <w:ind w:left="240"/>
              <w:spacing w:after="0"/>
              <w:rPr>
                <w:sz w:val="20"/>
                <w:szCs w:val="20"/>
                <w:color w:val="auto"/>
              </w:rPr>
            </w:pPr>
            <w:r>
              <w:rPr>
                <w:rFonts w:ascii="Arial" w:cs="Arial" w:eastAsia="Arial" w:hAnsi="Arial"/>
                <w:sz w:val="16"/>
                <w:szCs w:val="16"/>
                <w:color w:val="auto"/>
              </w:rPr>
              <w:t>407,461</w:t>
            </w:r>
          </w:p>
        </w:tc>
        <w:tc>
          <w:tcPr>
            <w:tcW w:w="940" w:type="dxa"/>
            <w:vAlign w:val="bottom"/>
          </w:tcPr>
          <w:p>
            <w:pPr>
              <w:jc w:val="right"/>
              <w:spacing w:after="0"/>
              <w:rPr>
                <w:sz w:val="20"/>
                <w:szCs w:val="20"/>
                <w:color w:val="auto"/>
              </w:rPr>
            </w:pPr>
            <w:r>
              <w:rPr>
                <w:rFonts w:ascii="Arial" w:cs="Arial" w:eastAsia="Arial" w:hAnsi="Arial"/>
                <w:sz w:val="16"/>
                <w:szCs w:val="16"/>
                <w:color w:val="auto"/>
              </w:rPr>
              <w:t>407,461</w:t>
            </w:r>
          </w:p>
        </w:tc>
      </w:tr>
      <w:tr>
        <w:trPr>
          <w:trHeight w:val="101"/>
        </w:trPr>
        <w:tc>
          <w:tcPr>
            <w:tcW w:w="7420" w:type="dxa"/>
            <w:vAlign w:val="bottom"/>
            <w:tcBorders>
              <w:bottom w:val="single" w:sz="8" w:color="E52823"/>
            </w:tcBorders>
          </w:tcPr>
          <w:p>
            <w:pPr>
              <w:spacing w:after="0"/>
              <w:rPr>
                <w:sz w:val="8"/>
                <w:szCs w:val="8"/>
                <w:color w:val="auto"/>
              </w:rPr>
            </w:pPr>
          </w:p>
        </w:tc>
        <w:tc>
          <w:tcPr>
            <w:tcW w:w="1580" w:type="dxa"/>
            <w:vAlign w:val="bottom"/>
            <w:tcBorders>
              <w:bottom w:val="single" w:sz="8" w:color="E52823"/>
            </w:tcBorders>
          </w:tcPr>
          <w:p>
            <w:pPr>
              <w:spacing w:after="0"/>
              <w:rPr>
                <w:sz w:val="8"/>
                <w:szCs w:val="8"/>
                <w:color w:val="auto"/>
              </w:rPr>
            </w:pPr>
          </w:p>
        </w:tc>
        <w:tc>
          <w:tcPr>
            <w:tcW w:w="1080" w:type="dxa"/>
            <w:vAlign w:val="bottom"/>
            <w:tcBorders>
              <w:bottom w:val="single" w:sz="8" w:color="E52823"/>
            </w:tcBorders>
          </w:tcPr>
          <w:p>
            <w:pPr>
              <w:spacing w:after="0"/>
              <w:rPr>
                <w:sz w:val="8"/>
                <w:szCs w:val="8"/>
                <w:color w:val="auto"/>
              </w:rPr>
            </w:pPr>
          </w:p>
        </w:tc>
        <w:tc>
          <w:tcPr>
            <w:tcW w:w="940" w:type="dxa"/>
            <w:vAlign w:val="bottom"/>
            <w:tcBorders>
              <w:bottom w:val="single" w:sz="8" w:color="E52823"/>
            </w:tcBorders>
          </w:tcPr>
          <w:p>
            <w:pPr>
              <w:spacing w:after="0"/>
              <w:rPr>
                <w:sz w:val="8"/>
                <w:szCs w:val="8"/>
                <w:color w:val="auto"/>
              </w:rPr>
            </w:pPr>
          </w:p>
        </w:tc>
      </w:tr>
    </w:tbl>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Short-Term Incentive Compensation Plan (“ICP”) Awards</w:t>
      </w:r>
    </w:p>
    <w:p>
      <w:pPr>
        <w:spacing w:after="0" w:line="194"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ICP awards are intended to motivate and reward executives to achieve annual corporate, strategic business group and functional goals in key areas of financial and operational performance. Each Named Executive Officer’s target ICP opportunity is based upon a percentage of base salary.</w:t>
      </w:r>
    </w:p>
    <w:p>
      <w:pPr>
        <w:spacing w:after="0" w:line="15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In February 2019, the Compensation Committee, after taking into consideration industry and market data, mix of target compensation for the Named Executive Officers, and other elements of their compensation, determined to increase the 2019 ICP target annual incentive percentages for Mr. Rabiller to 125% from 100% and Mr. Gili to 80% from 75%. In addition, in September 2019, Mr. Bracke’s ICP target annual incentive percentage was increased from 40% to 60% in connection with his appointment as Interim Chief Financial Officer. The ICP target annual incentive percentages for the remaining Named Executive Officers remained unchanged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target percentages for each Named Executive Officer, as a percentage of base salary, are set forth below:</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3120" w:type="dxa"/>
            <w:vAlign w:val="bottom"/>
          </w:tcPr>
          <w:p>
            <w:pPr>
              <w:jc w:val="center"/>
              <w:ind w:left="1562"/>
              <w:spacing w:after="0"/>
              <w:rPr>
                <w:sz w:val="20"/>
                <w:szCs w:val="20"/>
                <w:color w:val="auto"/>
              </w:rPr>
            </w:pPr>
            <w:r>
              <w:rPr>
                <w:rFonts w:ascii="Arial" w:cs="Arial" w:eastAsia="Arial" w:hAnsi="Arial"/>
                <w:sz w:val="14"/>
                <w:szCs w:val="14"/>
                <w:color w:val="auto"/>
              </w:rPr>
              <w:t>2019</w:t>
            </w:r>
          </w:p>
        </w:tc>
      </w:tr>
      <w:tr>
        <w:trPr>
          <w:trHeight w:val="162"/>
        </w:trPr>
        <w:tc>
          <w:tcPr>
            <w:tcW w:w="7900" w:type="dxa"/>
            <w:vAlign w:val="bottom"/>
          </w:tcPr>
          <w:p>
            <w:pPr>
              <w:spacing w:after="0"/>
              <w:rPr>
                <w:sz w:val="14"/>
                <w:szCs w:val="14"/>
                <w:color w:val="auto"/>
              </w:rPr>
            </w:pPr>
          </w:p>
        </w:tc>
        <w:tc>
          <w:tcPr>
            <w:tcW w:w="3120" w:type="dxa"/>
            <w:vAlign w:val="bottom"/>
          </w:tcPr>
          <w:p>
            <w:pPr>
              <w:jc w:val="center"/>
              <w:ind w:left="1542"/>
              <w:spacing w:after="0"/>
              <w:rPr>
                <w:sz w:val="20"/>
                <w:szCs w:val="20"/>
                <w:color w:val="auto"/>
              </w:rPr>
            </w:pPr>
            <w:r>
              <w:rPr>
                <w:rFonts w:ascii="Arial" w:cs="Arial" w:eastAsia="Arial" w:hAnsi="Arial"/>
                <w:sz w:val="14"/>
                <w:szCs w:val="14"/>
                <w:color w:val="auto"/>
              </w:rPr>
              <w:t>Target ICP Opportunity</w:t>
            </w:r>
          </w:p>
        </w:tc>
      </w:tr>
      <w:tr>
        <w:trPr>
          <w:trHeight w:val="186"/>
        </w:trPr>
        <w:tc>
          <w:tcPr>
            <w:tcW w:w="7900" w:type="dxa"/>
            <w:vAlign w:val="bottom"/>
          </w:tcPr>
          <w:p>
            <w:pPr>
              <w:ind w:left="60"/>
              <w:spacing w:after="0"/>
              <w:rPr>
                <w:sz w:val="20"/>
                <w:szCs w:val="20"/>
                <w:color w:val="auto"/>
              </w:rPr>
            </w:pPr>
            <w:r>
              <w:rPr>
                <w:rFonts w:ascii="Arial" w:cs="Arial" w:eastAsia="Arial" w:hAnsi="Arial"/>
                <w:sz w:val="14"/>
                <w:szCs w:val="14"/>
                <w:color w:val="auto"/>
              </w:rPr>
              <w:t>Named Executive Officer</w:t>
            </w:r>
          </w:p>
        </w:tc>
        <w:tc>
          <w:tcPr>
            <w:tcW w:w="3120" w:type="dxa"/>
            <w:vAlign w:val="bottom"/>
          </w:tcPr>
          <w:p>
            <w:pPr>
              <w:jc w:val="center"/>
              <w:ind w:left="1562"/>
              <w:spacing w:after="0"/>
              <w:rPr>
                <w:sz w:val="20"/>
                <w:szCs w:val="20"/>
                <w:color w:val="auto"/>
              </w:rPr>
            </w:pPr>
            <w:r>
              <w:rPr>
                <w:rFonts w:ascii="Arial" w:cs="Arial" w:eastAsia="Arial" w:hAnsi="Arial"/>
                <w:sz w:val="14"/>
                <w:szCs w:val="14"/>
                <w:color w:val="auto"/>
              </w:rPr>
              <w:t>(% of Base Salary)</w:t>
            </w:r>
          </w:p>
        </w:tc>
      </w:tr>
      <w:tr>
        <w:trPr>
          <w:trHeight w:val="100"/>
        </w:trPr>
        <w:tc>
          <w:tcPr>
            <w:tcW w:w="790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r>
      <w:tr>
        <w:trPr>
          <w:trHeight w:val="210"/>
        </w:trPr>
        <w:tc>
          <w:tcPr>
            <w:tcW w:w="7900" w:type="dxa"/>
            <w:vAlign w:val="bottom"/>
            <w:shd w:val="clear" w:color="auto" w:fill="EDEDED"/>
          </w:tcPr>
          <w:p>
            <w:pPr>
              <w:ind w:left="60"/>
              <w:spacing w:after="0"/>
              <w:rPr>
                <w:sz w:val="20"/>
                <w:szCs w:val="20"/>
                <w:color w:val="auto"/>
              </w:rPr>
            </w:pPr>
            <w:r>
              <w:rPr>
                <w:rFonts w:ascii="Arial" w:cs="Arial" w:eastAsia="Arial" w:hAnsi="Arial"/>
                <w:sz w:val="16"/>
                <w:szCs w:val="16"/>
                <w:color w:val="auto"/>
              </w:rPr>
              <w:t>Olivier Rabiller</w:t>
            </w:r>
          </w:p>
        </w:tc>
        <w:tc>
          <w:tcPr>
            <w:tcW w:w="3120" w:type="dxa"/>
            <w:vAlign w:val="bottom"/>
            <w:shd w:val="clear" w:color="auto" w:fill="EDEDED"/>
          </w:tcPr>
          <w:p>
            <w:pPr>
              <w:jc w:val="right"/>
              <w:ind w:right="262"/>
              <w:spacing w:after="0"/>
              <w:rPr>
                <w:sz w:val="20"/>
                <w:szCs w:val="20"/>
                <w:color w:val="auto"/>
              </w:rPr>
            </w:pPr>
            <w:r>
              <w:rPr>
                <w:rFonts w:ascii="Arial" w:cs="Arial" w:eastAsia="Arial" w:hAnsi="Arial"/>
                <w:sz w:val="16"/>
                <w:szCs w:val="16"/>
                <w:color w:val="auto"/>
              </w:rPr>
              <w:t>125%</w:t>
            </w:r>
          </w:p>
        </w:tc>
      </w:tr>
      <w:tr>
        <w:trPr>
          <w:trHeight w:val="100"/>
        </w:trPr>
        <w:tc>
          <w:tcPr>
            <w:tcW w:w="7900" w:type="dxa"/>
            <w:vAlign w:val="bottom"/>
            <w:shd w:val="clear" w:color="auto" w:fill="EDEDED"/>
          </w:tcPr>
          <w:p>
            <w:pPr>
              <w:spacing w:after="0"/>
              <w:rPr>
                <w:sz w:val="8"/>
                <w:szCs w:val="8"/>
                <w:color w:val="auto"/>
              </w:rPr>
            </w:pPr>
          </w:p>
        </w:tc>
        <w:tc>
          <w:tcPr>
            <w:tcW w:w="3120" w:type="dxa"/>
            <w:vAlign w:val="bottom"/>
            <w:shd w:val="clear" w:color="auto" w:fill="EDEDED"/>
          </w:tcPr>
          <w:p>
            <w:pPr>
              <w:spacing w:after="0"/>
              <w:rPr>
                <w:sz w:val="8"/>
                <w:szCs w:val="8"/>
                <w:color w:val="auto"/>
              </w:rPr>
            </w:pPr>
          </w:p>
        </w:tc>
      </w:tr>
      <w:tr>
        <w:trPr>
          <w:trHeight w:val="224"/>
        </w:trPr>
        <w:tc>
          <w:tcPr>
            <w:tcW w:w="7900" w:type="dxa"/>
            <w:vAlign w:val="bottom"/>
          </w:tcPr>
          <w:p>
            <w:pPr>
              <w:ind w:left="60"/>
              <w:spacing w:after="0"/>
              <w:rPr>
                <w:sz w:val="20"/>
                <w:szCs w:val="20"/>
                <w:color w:val="auto"/>
              </w:rPr>
            </w:pPr>
            <w:r>
              <w:rPr>
                <w:rFonts w:ascii="Arial" w:cs="Arial" w:eastAsia="Arial" w:hAnsi="Arial"/>
                <w:sz w:val="16"/>
                <w:szCs w:val="16"/>
                <w:color w:val="auto"/>
              </w:rPr>
              <w:t>Alessandro Gili</w:t>
            </w:r>
          </w:p>
        </w:tc>
        <w:tc>
          <w:tcPr>
            <w:tcW w:w="3120" w:type="dxa"/>
            <w:vAlign w:val="bottom"/>
          </w:tcPr>
          <w:p>
            <w:pPr>
              <w:jc w:val="right"/>
              <w:ind w:right="262"/>
              <w:spacing w:after="0"/>
              <w:rPr>
                <w:sz w:val="20"/>
                <w:szCs w:val="20"/>
                <w:color w:val="auto"/>
              </w:rPr>
            </w:pPr>
            <w:r>
              <w:rPr>
                <w:rFonts w:ascii="Arial" w:cs="Arial" w:eastAsia="Arial" w:hAnsi="Arial"/>
                <w:sz w:val="16"/>
                <w:szCs w:val="16"/>
                <w:color w:val="auto"/>
              </w:rPr>
              <w:t>80%</w:t>
            </w:r>
          </w:p>
        </w:tc>
      </w:tr>
      <w:tr>
        <w:trPr>
          <w:trHeight w:val="100"/>
        </w:trPr>
        <w:tc>
          <w:tcPr>
            <w:tcW w:w="7900" w:type="dxa"/>
            <w:vAlign w:val="bottom"/>
          </w:tcPr>
          <w:p>
            <w:pPr>
              <w:spacing w:after="0"/>
              <w:rPr>
                <w:sz w:val="8"/>
                <w:szCs w:val="8"/>
                <w:color w:val="auto"/>
              </w:rPr>
            </w:pPr>
          </w:p>
        </w:tc>
        <w:tc>
          <w:tcPr>
            <w:tcW w:w="3120" w:type="dxa"/>
            <w:vAlign w:val="bottom"/>
          </w:tcPr>
          <w:p>
            <w:pPr>
              <w:spacing w:after="0"/>
              <w:rPr>
                <w:sz w:val="8"/>
                <w:szCs w:val="8"/>
                <w:color w:val="auto"/>
              </w:rPr>
            </w:pPr>
          </w:p>
        </w:tc>
      </w:tr>
      <w:tr>
        <w:trPr>
          <w:trHeight w:val="223"/>
        </w:trPr>
        <w:tc>
          <w:tcPr>
            <w:tcW w:w="7900" w:type="dxa"/>
            <w:vAlign w:val="bottom"/>
            <w:shd w:val="clear" w:color="auto" w:fill="EDEDED"/>
          </w:tcPr>
          <w:p>
            <w:pPr>
              <w:ind w:left="60"/>
              <w:spacing w:after="0"/>
              <w:rPr>
                <w:sz w:val="20"/>
                <w:szCs w:val="20"/>
                <w:color w:val="auto"/>
              </w:rPr>
            </w:pPr>
            <w:r>
              <w:rPr>
                <w:rFonts w:ascii="Arial" w:cs="Arial" w:eastAsia="Arial" w:hAnsi="Arial"/>
                <w:sz w:val="16"/>
                <w:szCs w:val="16"/>
                <w:color w:val="auto"/>
              </w:rPr>
              <w:t>Peter Bracke</w:t>
            </w:r>
          </w:p>
        </w:tc>
        <w:tc>
          <w:tcPr>
            <w:tcW w:w="3120" w:type="dxa"/>
            <w:vAlign w:val="bottom"/>
            <w:shd w:val="clear" w:color="auto" w:fill="EDEDED"/>
          </w:tcPr>
          <w:p>
            <w:pPr>
              <w:jc w:val="right"/>
              <w:ind w:right="262"/>
              <w:spacing w:after="0"/>
              <w:rPr>
                <w:sz w:val="20"/>
                <w:szCs w:val="20"/>
                <w:color w:val="auto"/>
              </w:rPr>
            </w:pPr>
            <w:r>
              <w:rPr>
                <w:rFonts w:ascii="Arial" w:cs="Arial" w:eastAsia="Arial" w:hAnsi="Arial"/>
                <w:sz w:val="16"/>
                <w:szCs w:val="16"/>
                <w:color w:val="auto"/>
              </w:rPr>
              <w:t>60%</w:t>
            </w:r>
          </w:p>
        </w:tc>
      </w:tr>
      <w:tr>
        <w:trPr>
          <w:trHeight w:val="101"/>
        </w:trPr>
        <w:tc>
          <w:tcPr>
            <w:tcW w:w="7900" w:type="dxa"/>
            <w:vAlign w:val="bottom"/>
            <w:shd w:val="clear" w:color="auto" w:fill="EDEDED"/>
          </w:tcPr>
          <w:p>
            <w:pPr>
              <w:spacing w:after="0"/>
              <w:rPr>
                <w:sz w:val="8"/>
                <w:szCs w:val="8"/>
                <w:color w:val="auto"/>
              </w:rPr>
            </w:pPr>
          </w:p>
        </w:tc>
        <w:tc>
          <w:tcPr>
            <w:tcW w:w="3120" w:type="dxa"/>
            <w:vAlign w:val="bottom"/>
            <w:shd w:val="clear" w:color="auto" w:fill="EDEDED"/>
          </w:tcPr>
          <w:p>
            <w:pPr>
              <w:spacing w:after="0"/>
              <w:rPr>
                <w:sz w:val="8"/>
                <w:szCs w:val="8"/>
                <w:color w:val="auto"/>
              </w:rPr>
            </w:pPr>
          </w:p>
        </w:tc>
      </w:tr>
      <w:tr>
        <w:trPr>
          <w:trHeight w:val="223"/>
        </w:trPr>
        <w:tc>
          <w:tcPr>
            <w:tcW w:w="7900" w:type="dxa"/>
            <w:vAlign w:val="bottom"/>
          </w:tcPr>
          <w:p>
            <w:pPr>
              <w:ind w:left="60"/>
              <w:spacing w:after="0"/>
              <w:rPr>
                <w:sz w:val="20"/>
                <w:szCs w:val="20"/>
                <w:color w:val="auto"/>
              </w:rPr>
            </w:pPr>
            <w:r>
              <w:rPr>
                <w:rFonts w:ascii="Arial" w:cs="Arial" w:eastAsia="Arial" w:hAnsi="Arial"/>
                <w:sz w:val="16"/>
                <w:szCs w:val="16"/>
                <w:color w:val="auto"/>
              </w:rPr>
              <w:t>Craig Balis</w:t>
            </w:r>
          </w:p>
        </w:tc>
        <w:tc>
          <w:tcPr>
            <w:tcW w:w="3120" w:type="dxa"/>
            <w:vAlign w:val="bottom"/>
          </w:tcPr>
          <w:p>
            <w:pPr>
              <w:jc w:val="right"/>
              <w:ind w:right="262"/>
              <w:spacing w:after="0"/>
              <w:rPr>
                <w:sz w:val="20"/>
                <w:szCs w:val="20"/>
                <w:color w:val="auto"/>
              </w:rPr>
            </w:pPr>
            <w:r>
              <w:rPr>
                <w:rFonts w:ascii="Arial" w:cs="Arial" w:eastAsia="Arial" w:hAnsi="Arial"/>
                <w:sz w:val="16"/>
                <w:szCs w:val="16"/>
                <w:color w:val="auto"/>
              </w:rPr>
              <w:t>55%</w:t>
            </w:r>
          </w:p>
        </w:tc>
      </w:tr>
      <w:tr>
        <w:trPr>
          <w:trHeight w:val="100"/>
        </w:trPr>
        <w:tc>
          <w:tcPr>
            <w:tcW w:w="7900" w:type="dxa"/>
            <w:vAlign w:val="bottom"/>
          </w:tcPr>
          <w:p>
            <w:pPr>
              <w:spacing w:after="0"/>
              <w:rPr>
                <w:sz w:val="8"/>
                <w:szCs w:val="8"/>
                <w:color w:val="auto"/>
              </w:rPr>
            </w:pPr>
          </w:p>
        </w:tc>
        <w:tc>
          <w:tcPr>
            <w:tcW w:w="3120" w:type="dxa"/>
            <w:vAlign w:val="bottom"/>
          </w:tcPr>
          <w:p>
            <w:pPr>
              <w:spacing w:after="0"/>
              <w:rPr>
                <w:sz w:val="8"/>
                <w:szCs w:val="8"/>
                <w:color w:val="auto"/>
              </w:rPr>
            </w:pPr>
          </w:p>
        </w:tc>
      </w:tr>
      <w:tr>
        <w:trPr>
          <w:trHeight w:val="224"/>
        </w:trPr>
        <w:tc>
          <w:tcPr>
            <w:tcW w:w="7900" w:type="dxa"/>
            <w:vAlign w:val="bottom"/>
            <w:shd w:val="clear" w:color="auto" w:fill="EDEDED"/>
          </w:tcPr>
          <w:p>
            <w:pPr>
              <w:ind w:left="60"/>
              <w:spacing w:after="0"/>
              <w:rPr>
                <w:sz w:val="20"/>
                <w:szCs w:val="20"/>
                <w:color w:val="auto"/>
              </w:rPr>
            </w:pPr>
            <w:r>
              <w:rPr>
                <w:rFonts w:ascii="Arial" w:cs="Arial" w:eastAsia="Arial" w:hAnsi="Arial"/>
                <w:sz w:val="16"/>
                <w:szCs w:val="16"/>
                <w:color w:val="auto"/>
              </w:rPr>
              <w:t>Jérôme Maironi</w:t>
            </w:r>
          </w:p>
        </w:tc>
        <w:tc>
          <w:tcPr>
            <w:tcW w:w="3120" w:type="dxa"/>
            <w:vAlign w:val="bottom"/>
            <w:shd w:val="clear" w:color="auto" w:fill="EDEDED"/>
          </w:tcPr>
          <w:p>
            <w:pPr>
              <w:jc w:val="right"/>
              <w:ind w:right="262"/>
              <w:spacing w:after="0"/>
              <w:rPr>
                <w:sz w:val="20"/>
                <w:szCs w:val="20"/>
                <w:color w:val="auto"/>
              </w:rPr>
            </w:pPr>
            <w:r>
              <w:rPr>
                <w:rFonts w:ascii="Arial" w:cs="Arial" w:eastAsia="Arial" w:hAnsi="Arial"/>
                <w:sz w:val="16"/>
                <w:szCs w:val="16"/>
                <w:color w:val="auto"/>
              </w:rPr>
              <w:t>60%</w:t>
            </w:r>
          </w:p>
        </w:tc>
      </w:tr>
      <w:tr>
        <w:trPr>
          <w:trHeight w:val="100"/>
        </w:trPr>
        <w:tc>
          <w:tcPr>
            <w:tcW w:w="7900" w:type="dxa"/>
            <w:vAlign w:val="bottom"/>
            <w:shd w:val="clear" w:color="auto" w:fill="EDEDED"/>
          </w:tcPr>
          <w:p>
            <w:pPr>
              <w:spacing w:after="0"/>
              <w:rPr>
                <w:sz w:val="8"/>
                <w:szCs w:val="8"/>
                <w:color w:val="auto"/>
              </w:rPr>
            </w:pPr>
          </w:p>
        </w:tc>
        <w:tc>
          <w:tcPr>
            <w:tcW w:w="3120" w:type="dxa"/>
            <w:vAlign w:val="bottom"/>
            <w:shd w:val="clear" w:color="auto" w:fill="EDEDED"/>
          </w:tcPr>
          <w:p>
            <w:pPr>
              <w:spacing w:after="0"/>
              <w:rPr>
                <w:sz w:val="8"/>
                <w:szCs w:val="8"/>
                <w:color w:val="auto"/>
              </w:rPr>
            </w:pPr>
          </w:p>
        </w:tc>
      </w:tr>
      <w:tr>
        <w:trPr>
          <w:trHeight w:val="224"/>
        </w:trPr>
        <w:tc>
          <w:tcPr>
            <w:tcW w:w="7900" w:type="dxa"/>
            <w:vAlign w:val="bottom"/>
          </w:tcPr>
          <w:p>
            <w:pPr>
              <w:ind w:left="60"/>
              <w:spacing w:after="0"/>
              <w:rPr>
                <w:sz w:val="20"/>
                <w:szCs w:val="20"/>
                <w:color w:val="auto"/>
              </w:rPr>
            </w:pPr>
            <w:r>
              <w:rPr>
                <w:rFonts w:ascii="Arial" w:cs="Arial" w:eastAsia="Arial" w:hAnsi="Arial"/>
                <w:sz w:val="16"/>
                <w:szCs w:val="16"/>
                <w:color w:val="auto"/>
              </w:rPr>
              <w:t>Thierry Mabru</w:t>
            </w:r>
          </w:p>
        </w:tc>
        <w:tc>
          <w:tcPr>
            <w:tcW w:w="3120" w:type="dxa"/>
            <w:vAlign w:val="bottom"/>
          </w:tcPr>
          <w:p>
            <w:pPr>
              <w:jc w:val="right"/>
              <w:ind w:right="262"/>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8"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i w:val="1"/>
          <w:iCs w:val="1"/>
          <w:color w:val="auto"/>
        </w:rPr>
        <w:t xml:space="preserve">Corporate Performance. </w:t>
      </w:r>
      <w:r>
        <w:rPr>
          <w:rFonts w:ascii="Arial" w:cs="Arial" w:eastAsia="Arial" w:hAnsi="Arial"/>
          <w:sz w:val="16"/>
          <w:szCs w:val="16"/>
          <w:color w:val="auto"/>
        </w:rPr>
        <w:t>For 2019, payout under the ICP was based in part on the achievement of objective Company performance criteria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Performance Portion”), which represented 75% of each award opportunity, and in part on the achievement of individual performance objectives (the “Individual Performance Portion”), which represented the remaining 25% of each award opportunity. Award opportunities under the Company Performance Portion of the 2019 ICP were based on the achievement of three financial performance criteria: Organic Revenue Growth, Adjusted EBITDA Growth and Adjusted Free Cash Flow Conversion goals, weighted 20%, 40%, and 40%, respectively. We chose these performance metrics after the Spin-Off to reflect our ambition to grow, maintain high profitability and generate solid cash flow. Award opportunities for each metric were established at threshold, target and maximum levels with intermediate inflections between threshold and target as well as between target and maximum. Achievement at or above maximum for each metric was capped at 200% of target, and achievement below threshold would result in no payout. Straight-line interpolation is used to calculate the 2019 ICP payout associated with actual results falling between goals. The goals were set at levels that were expected to be challenging but achievable at the outset of the year. Due to the slowdown of the automotive industry in the second half of 2019, the goals proved to be more challenging to achieve given the macro-environment, resulting in an aggregate weighted payout of 10% of the target ICP for the Company Performance Portion. The following table sets forth the applicable goals for each measure,</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3"/>
          </w:tcPr>
          <w:p>
            <w:pPr>
              <w:jc w:val="center"/>
              <w:ind w:right="39"/>
              <w:spacing w:after="0"/>
              <w:rPr>
                <w:sz w:val="20"/>
                <w:szCs w:val="20"/>
                <w:color w:val="auto"/>
              </w:rPr>
            </w:pPr>
            <w:r>
              <w:rPr>
                <w:rFonts w:ascii="Arial" w:cs="Arial" w:eastAsia="Arial" w:hAnsi="Arial"/>
                <w:sz w:val="14"/>
                <w:szCs w:val="14"/>
                <w:color w:val="auto"/>
              </w:rPr>
              <w:t>Payout</w:t>
            </w:r>
          </w:p>
        </w:tc>
        <w:tc>
          <w:tcPr>
            <w:tcW w:w="800" w:type="dxa"/>
            <w:vAlign w:val="bottom"/>
          </w:tcPr>
          <w:p>
            <w:pPr>
              <w:ind w:left="16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62"/>
        </w:trPr>
        <w:tc>
          <w:tcPr>
            <w:tcW w:w="2760" w:type="dxa"/>
            <w:vAlign w:val="bottom"/>
          </w:tcPr>
          <w:p>
            <w:pPr>
              <w:ind w:left="60"/>
              <w:spacing w:after="0"/>
              <w:rPr>
                <w:sz w:val="20"/>
                <w:szCs w:val="20"/>
                <w:color w:val="auto"/>
              </w:rPr>
            </w:pPr>
            <w:r>
              <w:rPr>
                <w:rFonts w:ascii="Arial" w:cs="Arial" w:eastAsia="Arial" w:hAnsi="Arial"/>
                <w:sz w:val="14"/>
                <w:szCs w:val="14"/>
                <w:color w:val="auto"/>
              </w:rPr>
              <w:t>Performance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3"/>
          </w:tcPr>
          <w:p>
            <w:pPr>
              <w:jc w:val="right"/>
              <w:ind w:right="79"/>
              <w:spacing w:after="0"/>
              <w:rPr>
                <w:sz w:val="20"/>
                <w:szCs w:val="20"/>
                <w:color w:val="auto"/>
              </w:rPr>
            </w:pPr>
            <w:r>
              <w:rPr>
                <w:rFonts w:ascii="Arial" w:cs="Arial" w:eastAsia="Arial" w:hAnsi="Arial"/>
                <w:sz w:val="14"/>
                <w:szCs w:val="14"/>
                <w:color w:val="auto"/>
                <w:w w:val="99"/>
              </w:rPr>
              <w:t>Threshold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159"/>
              <w:spacing w:after="0"/>
              <w:rPr>
                <w:sz w:val="20"/>
                <w:szCs w:val="20"/>
                <w:color w:val="auto"/>
              </w:rPr>
            </w:pPr>
            <w:r>
              <w:rPr>
                <w:rFonts w:ascii="Arial" w:cs="Arial" w:eastAsia="Arial" w:hAnsi="Arial"/>
                <w:sz w:val="14"/>
                <w:szCs w:val="14"/>
                <w:color w:val="auto"/>
                <w:w w:val="98"/>
              </w:rPr>
              <w:t>Target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gridSpan w:val="3"/>
          </w:tcPr>
          <w:p>
            <w:pPr>
              <w:jc w:val="right"/>
              <w:ind w:right="99"/>
              <w:spacing w:after="0"/>
              <w:rPr>
                <w:sz w:val="20"/>
                <w:szCs w:val="20"/>
                <w:color w:val="auto"/>
              </w:rPr>
            </w:pPr>
            <w:r>
              <w:rPr>
                <w:rFonts w:ascii="Arial" w:cs="Arial" w:eastAsia="Arial" w:hAnsi="Arial"/>
                <w:sz w:val="14"/>
                <w:szCs w:val="14"/>
                <w:color w:val="auto"/>
              </w:rPr>
              <w:t>Maximum</w:t>
            </w:r>
          </w:p>
        </w:tc>
        <w:tc>
          <w:tcPr>
            <w:tcW w:w="680" w:type="dxa"/>
            <w:vAlign w:val="bottom"/>
            <w:gridSpan w:val="3"/>
          </w:tcPr>
          <w:p>
            <w:pPr>
              <w:jc w:val="right"/>
              <w:ind w:right="159"/>
              <w:spacing w:after="0"/>
              <w:rPr>
                <w:sz w:val="20"/>
                <w:szCs w:val="20"/>
                <w:color w:val="auto"/>
              </w:rPr>
            </w:pPr>
            <w:r>
              <w:rPr>
                <w:rFonts w:ascii="Arial" w:cs="Arial" w:eastAsia="Arial" w:hAnsi="Arial"/>
                <w:sz w:val="14"/>
                <w:szCs w:val="14"/>
                <w:color w:val="auto"/>
              </w:rPr>
              <w:t>Actual</w:t>
            </w:r>
          </w:p>
        </w:tc>
        <w:tc>
          <w:tcPr>
            <w:tcW w:w="40" w:type="dxa"/>
            <w:vAlign w:val="bottom"/>
          </w:tcPr>
          <w:p>
            <w:pPr>
              <w:spacing w:after="0"/>
              <w:rPr>
                <w:sz w:val="14"/>
                <w:szCs w:val="14"/>
                <w:color w:val="auto"/>
              </w:rPr>
            </w:pPr>
          </w:p>
        </w:tc>
        <w:tc>
          <w:tcPr>
            <w:tcW w:w="560" w:type="dxa"/>
            <w:vAlign w:val="bottom"/>
            <w:gridSpan w:val="2"/>
          </w:tcPr>
          <w:p>
            <w:pPr>
              <w:jc w:val="center"/>
              <w:ind w:right="79"/>
              <w:spacing w:after="0"/>
              <w:rPr>
                <w:sz w:val="20"/>
                <w:szCs w:val="20"/>
                <w:color w:val="auto"/>
              </w:rPr>
            </w:pPr>
            <w:r>
              <w:rPr>
                <w:rFonts w:ascii="Arial" w:cs="Arial" w:eastAsia="Arial" w:hAnsi="Arial"/>
                <w:sz w:val="14"/>
                <w:szCs w:val="14"/>
                <w:color w:val="auto"/>
                <w:w w:val="99"/>
              </w:rPr>
              <w:t>% of</w:t>
            </w:r>
          </w:p>
        </w:tc>
        <w:tc>
          <w:tcPr>
            <w:tcW w:w="800" w:type="dxa"/>
            <w:vAlign w:val="bottom"/>
          </w:tcPr>
          <w:p>
            <w:pPr>
              <w:ind w:left="160"/>
              <w:spacing w:after="0"/>
              <w:rPr>
                <w:sz w:val="20"/>
                <w:szCs w:val="20"/>
                <w:color w:val="auto"/>
              </w:rPr>
            </w:pPr>
            <w:r>
              <w:rPr>
                <w:rFonts w:ascii="Arial" w:cs="Arial" w:eastAsia="Arial" w:hAnsi="Arial"/>
                <w:sz w:val="14"/>
                <w:szCs w:val="14"/>
                <w:color w:val="auto"/>
              </w:rPr>
              <w:t>Payout %</w:t>
            </w:r>
          </w:p>
        </w:tc>
        <w:tc>
          <w:tcPr>
            <w:tcW w:w="0" w:type="dxa"/>
            <w:vAlign w:val="bottom"/>
          </w:tcPr>
          <w:p>
            <w:pPr>
              <w:spacing w:after="0"/>
              <w:rPr>
                <w:sz w:val="1"/>
                <w:szCs w:val="1"/>
                <w:color w:val="auto"/>
              </w:rPr>
            </w:pPr>
          </w:p>
        </w:tc>
      </w:tr>
      <w:tr>
        <w:trPr>
          <w:trHeight w:val="172"/>
        </w:trPr>
        <w:tc>
          <w:tcPr>
            <w:tcW w:w="2760" w:type="dxa"/>
            <w:vAlign w:val="bottom"/>
          </w:tcPr>
          <w:p>
            <w:pPr>
              <w:spacing w:after="0"/>
              <w:rPr>
                <w:sz w:val="20"/>
                <w:szCs w:val="20"/>
                <w:color w:val="auto"/>
              </w:rPr>
            </w:pPr>
            <w:r>
              <w:rPr>
                <w:rFonts w:ascii="Arial" w:cs="Arial" w:eastAsia="Arial" w:hAnsi="Arial"/>
                <w:sz w:val="14"/>
                <w:szCs w:val="14"/>
                <w:color w:val="auto"/>
              </w:rPr>
              <w:t>Criteria</w:t>
            </w:r>
          </w:p>
        </w:tc>
        <w:tc>
          <w:tcPr>
            <w:tcW w:w="160" w:type="dxa"/>
            <w:vAlign w:val="bottom"/>
          </w:tcPr>
          <w:p>
            <w:pPr>
              <w:spacing w:after="0"/>
              <w:rPr>
                <w:sz w:val="14"/>
                <w:szCs w:val="14"/>
                <w:color w:val="auto"/>
              </w:rPr>
            </w:pPr>
          </w:p>
        </w:tc>
        <w:tc>
          <w:tcPr>
            <w:tcW w:w="820" w:type="dxa"/>
            <w:vAlign w:val="bottom"/>
            <w:gridSpan w:val="3"/>
          </w:tcPr>
          <w:p>
            <w:pPr>
              <w:jc w:val="right"/>
              <w:ind w:right="99"/>
              <w:spacing w:after="0"/>
              <w:rPr>
                <w:sz w:val="20"/>
                <w:szCs w:val="20"/>
                <w:color w:val="auto"/>
              </w:rPr>
            </w:pPr>
            <w:r>
              <w:rPr>
                <w:rFonts w:ascii="Arial" w:cs="Arial" w:eastAsia="Arial" w:hAnsi="Arial"/>
                <w:sz w:val="14"/>
                <w:szCs w:val="14"/>
                <w:color w:val="auto"/>
                <w:w w:val="99"/>
              </w:rPr>
              <w:t>Weighting</w:t>
            </w:r>
          </w:p>
        </w:tc>
        <w:tc>
          <w:tcPr>
            <w:tcW w:w="800" w:type="dxa"/>
            <w:vAlign w:val="bottom"/>
            <w:gridSpan w:val="3"/>
          </w:tcPr>
          <w:p>
            <w:pPr>
              <w:jc w:val="right"/>
              <w:ind w:right="199"/>
              <w:spacing w:after="0"/>
              <w:rPr>
                <w:sz w:val="20"/>
                <w:szCs w:val="20"/>
                <w:color w:val="auto"/>
              </w:rPr>
            </w:pPr>
            <w:r>
              <w:rPr>
                <w:rFonts w:ascii="Arial" w:cs="Arial" w:eastAsia="Arial" w:hAnsi="Arial"/>
                <w:sz w:val="14"/>
                <w:szCs w:val="14"/>
                <w:color w:val="auto"/>
              </w:rPr>
              <w:t>(25%)</w:t>
            </w:r>
          </w:p>
        </w:tc>
        <w:tc>
          <w:tcPr>
            <w:tcW w:w="700" w:type="dxa"/>
            <w:vAlign w:val="bottom"/>
            <w:gridSpan w:val="3"/>
          </w:tcPr>
          <w:p>
            <w:pPr>
              <w:jc w:val="right"/>
              <w:ind w:right="159"/>
              <w:spacing w:after="0"/>
              <w:rPr>
                <w:sz w:val="20"/>
                <w:szCs w:val="20"/>
                <w:color w:val="auto"/>
              </w:rPr>
            </w:pPr>
            <w:r>
              <w:rPr>
                <w:rFonts w:ascii="Arial" w:cs="Arial" w:eastAsia="Arial" w:hAnsi="Arial"/>
                <w:sz w:val="14"/>
                <w:szCs w:val="14"/>
                <w:color w:val="auto"/>
              </w:rPr>
              <w:t>(50%)</w:t>
            </w:r>
          </w:p>
        </w:tc>
        <w:tc>
          <w:tcPr>
            <w:tcW w:w="700" w:type="dxa"/>
            <w:vAlign w:val="bottom"/>
            <w:gridSpan w:val="3"/>
          </w:tcPr>
          <w:p>
            <w:pPr>
              <w:jc w:val="right"/>
              <w:ind w:right="199"/>
              <w:spacing w:after="0"/>
              <w:rPr>
                <w:sz w:val="20"/>
                <w:szCs w:val="20"/>
                <w:color w:val="auto"/>
              </w:rPr>
            </w:pPr>
            <w:r>
              <w:rPr>
                <w:rFonts w:ascii="Arial" w:cs="Arial" w:eastAsia="Arial" w:hAnsi="Arial"/>
                <w:sz w:val="14"/>
                <w:szCs w:val="14"/>
                <w:color w:val="auto"/>
              </w:rPr>
              <w:t>75%</w:t>
            </w:r>
          </w:p>
        </w:tc>
        <w:tc>
          <w:tcPr>
            <w:tcW w:w="720" w:type="dxa"/>
            <w:vAlign w:val="bottom"/>
            <w:gridSpan w:val="3"/>
          </w:tcPr>
          <w:p>
            <w:pPr>
              <w:jc w:val="right"/>
              <w:ind w:right="119"/>
              <w:spacing w:after="0"/>
              <w:rPr>
                <w:sz w:val="20"/>
                <w:szCs w:val="20"/>
                <w:color w:val="auto"/>
              </w:rPr>
            </w:pPr>
            <w:r>
              <w:rPr>
                <w:rFonts w:ascii="Arial" w:cs="Arial" w:eastAsia="Arial" w:hAnsi="Arial"/>
                <w:sz w:val="14"/>
                <w:szCs w:val="14"/>
                <w:color w:val="auto"/>
              </w:rPr>
              <w:t>(100%)</w:t>
            </w:r>
          </w:p>
        </w:tc>
        <w:tc>
          <w:tcPr>
            <w:tcW w:w="700" w:type="dxa"/>
            <w:vAlign w:val="bottom"/>
            <w:gridSpan w:val="3"/>
          </w:tcPr>
          <w:p>
            <w:pPr>
              <w:jc w:val="right"/>
              <w:ind w:right="179"/>
              <w:spacing w:after="0"/>
              <w:rPr>
                <w:sz w:val="20"/>
                <w:szCs w:val="20"/>
                <w:color w:val="auto"/>
              </w:rPr>
            </w:pPr>
            <w:r>
              <w:rPr>
                <w:rFonts w:ascii="Arial" w:cs="Arial" w:eastAsia="Arial" w:hAnsi="Arial"/>
                <w:sz w:val="14"/>
                <w:szCs w:val="14"/>
                <w:color w:val="auto"/>
              </w:rPr>
              <w:t>125%</w:t>
            </w:r>
          </w:p>
        </w:tc>
        <w:tc>
          <w:tcPr>
            <w:tcW w:w="780" w:type="dxa"/>
            <w:vAlign w:val="bottom"/>
            <w:gridSpan w:val="3"/>
          </w:tcPr>
          <w:p>
            <w:pPr>
              <w:jc w:val="right"/>
              <w:ind w:right="199"/>
              <w:spacing w:after="0"/>
              <w:rPr>
                <w:sz w:val="20"/>
                <w:szCs w:val="20"/>
                <w:color w:val="auto"/>
              </w:rPr>
            </w:pPr>
            <w:r>
              <w:rPr>
                <w:rFonts w:ascii="Arial" w:cs="Arial" w:eastAsia="Arial" w:hAnsi="Arial"/>
                <w:sz w:val="14"/>
                <w:szCs w:val="14"/>
                <w:color w:val="auto"/>
              </w:rPr>
              <w:t>150%</w:t>
            </w:r>
          </w:p>
        </w:tc>
        <w:tc>
          <w:tcPr>
            <w:tcW w:w="820" w:type="dxa"/>
            <w:vAlign w:val="bottom"/>
            <w:gridSpan w:val="3"/>
          </w:tcPr>
          <w:p>
            <w:pPr>
              <w:jc w:val="right"/>
              <w:ind w:right="179"/>
              <w:spacing w:after="0"/>
              <w:rPr>
                <w:sz w:val="20"/>
                <w:szCs w:val="20"/>
                <w:color w:val="auto"/>
              </w:rPr>
            </w:pPr>
            <w:r>
              <w:rPr>
                <w:rFonts w:ascii="Arial" w:cs="Arial" w:eastAsia="Arial" w:hAnsi="Arial"/>
                <w:sz w:val="14"/>
                <w:szCs w:val="14"/>
                <w:color w:val="auto"/>
              </w:rPr>
              <w:t>(200%)</w:t>
            </w:r>
          </w:p>
        </w:tc>
        <w:tc>
          <w:tcPr>
            <w:tcW w:w="680" w:type="dxa"/>
            <w:vAlign w:val="bottom"/>
            <w:gridSpan w:val="3"/>
          </w:tcPr>
          <w:p>
            <w:pPr>
              <w:jc w:val="right"/>
              <w:ind w:right="119"/>
              <w:spacing w:after="0"/>
              <w:rPr>
                <w:sz w:val="20"/>
                <w:szCs w:val="20"/>
                <w:color w:val="auto"/>
              </w:rPr>
            </w:pPr>
            <w:r>
              <w:rPr>
                <w:rFonts w:ascii="Arial" w:cs="Arial" w:eastAsia="Arial" w:hAnsi="Arial"/>
                <w:sz w:val="14"/>
                <w:szCs w:val="14"/>
                <w:color w:val="auto"/>
                <w:w w:val="98"/>
              </w:rPr>
              <w:t>Results</w:t>
            </w:r>
          </w:p>
        </w:tc>
        <w:tc>
          <w:tcPr>
            <w:tcW w:w="600" w:type="dxa"/>
            <w:vAlign w:val="bottom"/>
            <w:gridSpan w:val="3"/>
          </w:tcPr>
          <w:p>
            <w:pPr>
              <w:jc w:val="center"/>
              <w:ind w:right="39"/>
              <w:spacing w:after="0"/>
              <w:rPr>
                <w:sz w:val="20"/>
                <w:szCs w:val="20"/>
                <w:color w:val="auto"/>
              </w:rPr>
            </w:pPr>
            <w:r>
              <w:rPr>
                <w:rFonts w:ascii="Arial" w:cs="Arial" w:eastAsia="Arial" w:hAnsi="Arial"/>
                <w:sz w:val="14"/>
                <w:szCs w:val="14"/>
                <w:color w:val="auto"/>
                <w:w w:val="98"/>
              </w:rPr>
              <w:t>Target</w:t>
            </w:r>
          </w:p>
        </w:tc>
        <w:tc>
          <w:tcPr>
            <w:tcW w:w="800" w:type="dxa"/>
            <w:vAlign w:val="bottom"/>
          </w:tcPr>
          <w:p>
            <w:pPr>
              <w:ind w:left="180"/>
              <w:spacing w:after="0"/>
              <w:rPr>
                <w:sz w:val="20"/>
                <w:szCs w:val="20"/>
                <w:color w:val="auto"/>
              </w:rPr>
            </w:pPr>
            <w:r>
              <w:rPr>
                <w:rFonts w:ascii="Arial" w:cs="Arial" w:eastAsia="Arial" w:hAnsi="Arial"/>
                <w:sz w:val="14"/>
                <w:szCs w:val="14"/>
                <w:color w:val="auto"/>
              </w:rPr>
              <w:t>of Target</w:t>
            </w:r>
          </w:p>
        </w:tc>
        <w:tc>
          <w:tcPr>
            <w:tcW w:w="0" w:type="dxa"/>
            <w:vAlign w:val="bottom"/>
          </w:tcPr>
          <w:p>
            <w:pPr>
              <w:spacing w:after="0"/>
              <w:rPr>
                <w:sz w:val="1"/>
                <w:szCs w:val="1"/>
                <w:color w:val="auto"/>
              </w:rPr>
            </w:pPr>
          </w:p>
        </w:tc>
      </w:tr>
      <w:tr>
        <w:trPr>
          <w:trHeight w:val="145"/>
        </w:trPr>
        <w:tc>
          <w:tcPr>
            <w:tcW w:w="2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2760" w:type="dxa"/>
            <w:vAlign w:val="bottom"/>
            <w:tcBorders>
              <w:top w:val="single" w:sz="8" w:color="E5E5E5"/>
            </w:tcBorders>
            <w:shd w:val="clear" w:color="auto" w:fill="E5E5E5"/>
          </w:tcPr>
          <w:p>
            <w:pPr>
              <w:ind w:left="60"/>
              <w:spacing w:after="0" w:line="271" w:lineRule="exact"/>
              <w:rPr>
                <w:sz w:val="20"/>
                <w:szCs w:val="20"/>
                <w:color w:val="auto"/>
              </w:rPr>
            </w:pPr>
            <w:r>
              <w:rPr>
                <w:rFonts w:ascii="Arial" w:cs="Arial" w:eastAsia="Arial" w:hAnsi="Arial"/>
                <w:sz w:val="16"/>
                <w:szCs w:val="16"/>
                <w:color w:val="auto"/>
              </w:rPr>
              <w:t>Organic Revenue Growth</w:t>
            </w:r>
            <w:r>
              <w:rPr>
                <w:rFonts w:ascii="Arial" w:cs="Arial" w:eastAsia="Arial" w:hAnsi="Arial"/>
                <w:sz w:val="27"/>
                <w:szCs w:val="27"/>
                <w:color w:val="auto"/>
                <w:vertAlign w:val="superscript"/>
              </w:rPr>
              <w:t>(1)</w:t>
            </w:r>
          </w:p>
        </w:tc>
        <w:tc>
          <w:tcPr>
            <w:tcW w:w="160" w:type="dxa"/>
            <w:vAlign w:val="bottom"/>
            <w:tcBorders>
              <w:top w:val="single" w:sz="8" w:color="E5E5E5"/>
            </w:tcBorders>
            <w:shd w:val="clear" w:color="auto" w:fill="E5E5E5"/>
          </w:tcPr>
          <w:p>
            <w:pPr>
              <w:spacing w:after="0"/>
              <w:rPr>
                <w:sz w:val="23"/>
                <w:szCs w:val="23"/>
                <w:color w:val="auto"/>
              </w:rPr>
            </w:pPr>
          </w:p>
        </w:tc>
        <w:tc>
          <w:tcPr>
            <w:tcW w:w="20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560" w:type="dxa"/>
            <w:vAlign w:val="bottom"/>
            <w:tcBorders>
              <w:top w:val="single" w:sz="8" w:color="E5E5E5"/>
            </w:tcBorders>
            <w:shd w:val="clear" w:color="auto" w:fill="E5E5E5"/>
          </w:tcPr>
          <w:p>
            <w:pPr>
              <w:jc w:val="right"/>
              <w:ind w:right="139"/>
              <w:spacing w:after="0" w:line="170" w:lineRule="exact"/>
              <w:rPr>
                <w:sz w:val="20"/>
                <w:szCs w:val="20"/>
                <w:color w:val="auto"/>
              </w:rPr>
            </w:pPr>
            <w:r>
              <w:rPr>
                <w:rFonts w:ascii="Arial" w:cs="Arial" w:eastAsia="Arial" w:hAnsi="Arial"/>
                <w:sz w:val="16"/>
                <w:szCs w:val="16"/>
                <w:color w:val="auto"/>
                <w:w w:val="99"/>
              </w:rPr>
              <w:t>20%</w:t>
            </w:r>
          </w:p>
        </w:tc>
        <w:tc>
          <w:tcPr>
            <w:tcW w:w="16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580" w:type="dxa"/>
            <w:vAlign w:val="bottom"/>
            <w:tcBorders>
              <w:top w:val="single" w:sz="8" w:color="E5E5E5"/>
            </w:tcBorders>
            <w:shd w:val="clear" w:color="auto" w:fill="E5E5E5"/>
          </w:tcPr>
          <w:p>
            <w:pPr>
              <w:jc w:val="right"/>
              <w:ind w:right="139"/>
              <w:spacing w:after="0" w:line="170" w:lineRule="exact"/>
              <w:rPr>
                <w:sz w:val="20"/>
                <w:szCs w:val="20"/>
                <w:color w:val="auto"/>
              </w:rPr>
            </w:pPr>
            <w:r>
              <w:rPr>
                <w:rFonts w:ascii="Arial" w:cs="Arial" w:eastAsia="Arial" w:hAnsi="Arial"/>
                <w:sz w:val="16"/>
                <w:szCs w:val="16"/>
                <w:color w:val="auto"/>
                <w:w w:val="93"/>
              </w:rPr>
              <w:t>1.5%</w:t>
            </w:r>
          </w:p>
        </w:tc>
        <w:tc>
          <w:tcPr>
            <w:tcW w:w="6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580" w:type="dxa"/>
            <w:vAlign w:val="bottom"/>
            <w:tcBorders>
              <w:top w:val="single" w:sz="8" w:color="E5E5E5"/>
            </w:tcBorders>
            <w:shd w:val="clear" w:color="auto" w:fill="E5E5E5"/>
          </w:tcPr>
          <w:p>
            <w:pPr>
              <w:jc w:val="right"/>
              <w:ind w:right="119"/>
              <w:spacing w:after="0" w:line="170" w:lineRule="exact"/>
              <w:rPr>
                <w:sz w:val="20"/>
                <w:szCs w:val="20"/>
                <w:color w:val="auto"/>
              </w:rPr>
            </w:pPr>
            <w:r>
              <w:rPr>
                <w:rFonts w:ascii="Arial" w:cs="Arial" w:eastAsia="Arial" w:hAnsi="Arial"/>
                <w:sz w:val="16"/>
                <w:szCs w:val="16"/>
                <w:color w:val="auto"/>
                <w:w w:val="98"/>
              </w:rPr>
              <w:t>3.0%</w:t>
            </w:r>
          </w:p>
        </w:tc>
        <w:tc>
          <w:tcPr>
            <w:tcW w:w="6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580" w:type="dxa"/>
            <w:vAlign w:val="bottom"/>
            <w:tcBorders>
              <w:top w:val="single" w:sz="8" w:color="E5E5E5"/>
            </w:tcBorders>
            <w:shd w:val="clear" w:color="auto" w:fill="E5E5E5"/>
          </w:tcPr>
          <w:p>
            <w:pPr>
              <w:jc w:val="right"/>
              <w:ind w:right="119"/>
              <w:spacing w:after="0" w:line="170" w:lineRule="exact"/>
              <w:rPr>
                <w:sz w:val="20"/>
                <w:szCs w:val="20"/>
                <w:color w:val="auto"/>
              </w:rPr>
            </w:pPr>
            <w:r>
              <w:rPr>
                <w:rFonts w:ascii="Arial" w:cs="Arial" w:eastAsia="Arial" w:hAnsi="Arial"/>
                <w:sz w:val="16"/>
                <w:szCs w:val="16"/>
                <w:color w:val="auto"/>
                <w:w w:val="98"/>
              </w:rPr>
              <w:t>4.0%</w:t>
            </w:r>
          </w:p>
        </w:tc>
        <w:tc>
          <w:tcPr>
            <w:tcW w:w="6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600" w:type="dxa"/>
            <w:vAlign w:val="bottom"/>
            <w:tcBorders>
              <w:top w:val="single" w:sz="8" w:color="E5E5E5"/>
            </w:tcBorders>
            <w:shd w:val="clear" w:color="auto" w:fill="E5E5E5"/>
          </w:tcPr>
          <w:p>
            <w:pPr>
              <w:jc w:val="right"/>
              <w:ind w:right="139"/>
              <w:spacing w:after="0" w:line="170" w:lineRule="exact"/>
              <w:rPr>
                <w:sz w:val="20"/>
                <w:szCs w:val="20"/>
                <w:color w:val="auto"/>
              </w:rPr>
            </w:pPr>
            <w:r>
              <w:rPr>
                <w:rFonts w:ascii="Arial" w:cs="Arial" w:eastAsia="Arial" w:hAnsi="Arial"/>
                <w:sz w:val="16"/>
                <w:szCs w:val="16"/>
                <w:color w:val="auto"/>
                <w:w w:val="98"/>
              </w:rPr>
              <w:t>5.0%</w:t>
            </w:r>
          </w:p>
        </w:tc>
        <w:tc>
          <w:tcPr>
            <w:tcW w:w="4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600" w:type="dxa"/>
            <w:vAlign w:val="bottom"/>
            <w:tcBorders>
              <w:top w:val="single" w:sz="8" w:color="E5E5E5"/>
            </w:tcBorders>
            <w:shd w:val="clear" w:color="auto" w:fill="E5E5E5"/>
          </w:tcPr>
          <w:p>
            <w:pPr>
              <w:jc w:val="right"/>
              <w:ind w:right="139"/>
              <w:spacing w:after="0" w:line="170" w:lineRule="exact"/>
              <w:rPr>
                <w:sz w:val="20"/>
                <w:szCs w:val="20"/>
                <w:color w:val="auto"/>
              </w:rPr>
            </w:pPr>
            <w:r>
              <w:rPr>
                <w:rFonts w:ascii="Arial" w:cs="Arial" w:eastAsia="Arial" w:hAnsi="Arial"/>
                <w:sz w:val="16"/>
                <w:szCs w:val="16"/>
                <w:color w:val="auto"/>
                <w:w w:val="98"/>
              </w:rPr>
              <w:t>6.5%</w:t>
            </w:r>
          </w:p>
        </w:tc>
        <w:tc>
          <w:tcPr>
            <w:tcW w:w="4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680" w:type="dxa"/>
            <w:vAlign w:val="bottom"/>
            <w:tcBorders>
              <w:top w:val="single" w:sz="8" w:color="E5E5E5"/>
            </w:tcBorders>
            <w:shd w:val="clear" w:color="auto" w:fill="E5E5E5"/>
          </w:tcPr>
          <w:p>
            <w:pPr>
              <w:jc w:val="right"/>
              <w:ind w:right="119"/>
              <w:spacing w:after="0" w:line="170" w:lineRule="exact"/>
              <w:rPr>
                <w:sz w:val="20"/>
                <w:szCs w:val="20"/>
                <w:color w:val="auto"/>
              </w:rPr>
            </w:pPr>
            <w:r>
              <w:rPr>
                <w:rFonts w:ascii="Arial" w:cs="Arial" w:eastAsia="Arial" w:hAnsi="Arial"/>
                <w:sz w:val="16"/>
                <w:szCs w:val="16"/>
                <w:color w:val="auto"/>
              </w:rPr>
              <w:t>8.0%</w:t>
            </w:r>
          </w:p>
        </w:tc>
        <w:tc>
          <w:tcPr>
            <w:tcW w:w="6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700" w:type="dxa"/>
            <w:vAlign w:val="bottom"/>
            <w:tcBorders>
              <w:top w:val="single" w:sz="8" w:color="E5E5E5"/>
            </w:tcBorders>
            <w:shd w:val="clear" w:color="auto" w:fill="E5E5E5"/>
          </w:tcPr>
          <w:p>
            <w:pPr>
              <w:jc w:val="right"/>
              <w:ind w:right="139"/>
              <w:spacing w:after="0" w:line="170" w:lineRule="exact"/>
              <w:rPr>
                <w:sz w:val="20"/>
                <w:szCs w:val="20"/>
                <w:color w:val="auto"/>
              </w:rPr>
            </w:pPr>
            <w:r>
              <w:rPr>
                <w:rFonts w:ascii="Arial" w:cs="Arial" w:eastAsia="Arial" w:hAnsi="Arial"/>
                <w:sz w:val="16"/>
                <w:szCs w:val="16"/>
                <w:color w:val="auto"/>
              </w:rPr>
              <w:t>11%</w:t>
            </w:r>
          </w:p>
        </w:tc>
        <w:tc>
          <w:tcPr>
            <w:tcW w:w="60" w:type="dxa"/>
            <w:vAlign w:val="bottom"/>
            <w:tcBorders>
              <w:top w:val="single" w:sz="8" w:color="E5E5E5"/>
            </w:tcBorders>
            <w:shd w:val="clear" w:color="auto" w:fill="E5E5E5"/>
          </w:tcPr>
          <w:p>
            <w:pPr>
              <w:spacing w:after="0"/>
              <w:rPr>
                <w:sz w:val="23"/>
                <w:szCs w:val="23"/>
                <w:color w:val="auto"/>
              </w:rPr>
            </w:pPr>
          </w:p>
        </w:tc>
        <w:tc>
          <w:tcPr>
            <w:tcW w:w="40" w:type="dxa"/>
            <w:vAlign w:val="bottom"/>
            <w:tcBorders>
              <w:top w:val="single" w:sz="8" w:color="E5E5E5"/>
            </w:tcBorders>
            <w:shd w:val="clear" w:color="auto" w:fill="E5E5E5"/>
          </w:tcPr>
          <w:p>
            <w:pPr>
              <w:spacing w:after="0"/>
              <w:rPr>
                <w:sz w:val="23"/>
                <w:szCs w:val="23"/>
                <w:color w:val="auto"/>
              </w:rPr>
            </w:pPr>
          </w:p>
        </w:tc>
        <w:tc>
          <w:tcPr>
            <w:tcW w:w="580" w:type="dxa"/>
            <w:vAlign w:val="bottom"/>
            <w:tcBorders>
              <w:top w:val="single" w:sz="8" w:color="E5E5E5"/>
            </w:tcBorders>
            <w:shd w:val="clear" w:color="auto" w:fill="E5E5E5"/>
          </w:tcPr>
          <w:p>
            <w:pPr>
              <w:jc w:val="right"/>
              <w:ind w:right="159"/>
              <w:spacing w:after="0" w:line="170" w:lineRule="exact"/>
              <w:rPr>
                <w:sz w:val="20"/>
                <w:szCs w:val="20"/>
                <w:color w:val="auto"/>
              </w:rPr>
            </w:pPr>
            <w:r>
              <w:rPr>
                <w:rFonts w:ascii="Arial" w:cs="Arial" w:eastAsia="Arial" w:hAnsi="Arial"/>
                <w:sz w:val="16"/>
                <w:szCs w:val="16"/>
                <w:color w:val="auto"/>
              </w:rPr>
              <w:t>0%</w:t>
            </w:r>
          </w:p>
        </w:tc>
        <w:tc>
          <w:tcPr>
            <w:tcW w:w="40" w:type="dxa"/>
            <w:vAlign w:val="bottom"/>
            <w:tcBorders>
              <w:top w:val="single" w:sz="8" w:color="E5E5E5"/>
            </w:tcBorders>
            <w:shd w:val="clear" w:color="auto" w:fill="E5E5E5"/>
          </w:tcPr>
          <w:p>
            <w:pPr>
              <w:spacing w:after="0"/>
              <w:rPr>
                <w:sz w:val="23"/>
                <w:szCs w:val="23"/>
                <w:color w:val="auto"/>
              </w:rPr>
            </w:pPr>
          </w:p>
        </w:tc>
        <w:tc>
          <w:tcPr>
            <w:tcW w:w="60" w:type="dxa"/>
            <w:vAlign w:val="bottom"/>
            <w:tcBorders>
              <w:top w:val="single" w:sz="8" w:color="E5E5E5"/>
            </w:tcBorders>
            <w:shd w:val="clear" w:color="auto" w:fill="E5E5E5"/>
          </w:tcPr>
          <w:p>
            <w:pPr>
              <w:spacing w:after="0"/>
              <w:rPr>
                <w:sz w:val="23"/>
                <w:szCs w:val="23"/>
                <w:color w:val="auto"/>
              </w:rPr>
            </w:pPr>
          </w:p>
        </w:tc>
        <w:tc>
          <w:tcPr>
            <w:tcW w:w="500" w:type="dxa"/>
            <w:vAlign w:val="bottom"/>
            <w:tcBorders>
              <w:top w:val="single" w:sz="8" w:color="E5E5E5"/>
              <w:right w:val="single" w:sz="8" w:color="auto"/>
            </w:tcBorders>
            <w:shd w:val="clear" w:color="auto" w:fill="E5E5E5"/>
          </w:tcPr>
          <w:p>
            <w:pPr>
              <w:jc w:val="right"/>
              <w:ind w:right="79"/>
              <w:spacing w:after="0" w:line="170"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right w:val="single" w:sz="8" w:color="auto"/>
            </w:tcBorders>
            <w:vMerge w:val="restart"/>
          </w:tcPr>
          <w:p>
            <w:pPr>
              <w:jc w:val="right"/>
              <w:ind w:right="46"/>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99"/>
        </w:trPr>
        <w:tc>
          <w:tcPr>
            <w:tcW w:w="2760" w:type="dxa"/>
            <w:vAlign w:val="bottom"/>
          </w:tcPr>
          <w:p>
            <w:pPr>
              <w:ind w:left="60"/>
              <w:spacing w:after="0"/>
              <w:rPr>
                <w:sz w:val="20"/>
                <w:szCs w:val="20"/>
                <w:color w:val="auto"/>
              </w:rPr>
            </w:pPr>
            <w:r>
              <w:rPr>
                <w:rFonts w:ascii="Arial" w:cs="Arial" w:eastAsia="Arial" w:hAnsi="Arial"/>
                <w:sz w:val="16"/>
                <w:szCs w:val="16"/>
                <w:color w:val="auto"/>
              </w:rPr>
              <w:t>Adjusted EBITDA Growth</w:t>
            </w:r>
            <w:r>
              <w:rPr>
                <w:rFonts w:ascii="Arial" w:cs="Arial" w:eastAsia="Arial" w:hAnsi="Arial"/>
                <w:sz w:val="27"/>
                <w:szCs w:val="27"/>
                <w:color w:val="auto"/>
                <w:vertAlign w:val="superscript"/>
              </w:rPr>
              <w:t>(2)</w:t>
            </w:r>
          </w:p>
        </w:tc>
        <w:tc>
          <w:tcPr>
            <w:tcW w:w="980" w:type="dxa"/>
            <w:vAlign w:val="bottom"/>
            <w:gridSpan w:val="4"/>
          </w:tcPr>
          <w:p>
            <w:pPr>
              <w:jc w:val="right"/>
              <w:ind w:right="139"/>
              <w:spacing w:after="0"/>
              <w:rPr>
                <w:sz w:val="20"/>
                <w:szCs w:val="20"/>
                <w:color w:val="auto"/>
              </w:rPr>
            </w:pPr>
            <w:r>
              <w:rPr>
                <w:rFonts w:ascii="Arial" w:cs="Arial" w:eastAsia="Arial" w:hAnsi="Arial"/>
                <w:sz w:val="16"/>
                <w:szCs w:val="16"/>
                <w:color w:val="auto"/>
              </w:rPr>
              <w:t>40%</w:t>
            </w:r>
          </w:p>
        </w:tc>
        <w:tc>
          <w:tcPr>
            <w:tcW w:w="800" w:type="dxa"/>
            <w:vAlign w:val="bottom"/>
            <w:gridSpan w:val="3"/>
          </w:tcPr>
          <w:p>
            <w:pPr>
              <w:jc w:val="right"/>
              <w:ind w:right="139"/>
              <w:spacing w:after="0"/>
              <w:rPr>
                <w:sz w:val="20"/>
                <w:szCs w:val="20"/>
                <w:color w:val="auto"/>
              </w:rPr>
            </w:pPr>
            <w:r>
              <w:rPr>
                <w:rFonts w:ascii="Arial" w:cs="Arial" w:eastAsia="Arial" w:hAnsi="Arial"/>
                <w:sz w:val="16"/>
                <w:szCs w:val="16"/>
                <w:color w:val="auto"/>
              </w:rPr>
              <w:t>1.5%</w:t>
            </w:r>
          </w:p>
        </w:tc>
        <w:tc>
          <w:tcPr>
            <w:tcW w:w="70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700" w:type="dxa"/>
            <w:vAlign w:val="bottom"/>
            <w:gridSpan w:val="3"/>
          </w:tcPr>
          <w:p>
            <w:pPr>
              <w:jc w:val="right"/>
              <w:ind w:right="119"/>
              <w:spacing w:after="0"/>
              <w:rPr>
                <w:sz w:val="20"/>
                <w:szCs w:val="20"/>
                <w:color w:val="auto"/>
              </w:rPr>
            </w:pPr>
            <w:r>
              <w:rPr>
                <w:rFonts w:ascii="Arial" w:cs="Arial" w:eastAsia="Arial" w:hAnsi="Arial"/>
                <w:sz w:val="16"/>
                <w:szCs w:val="16"/>
                <w:color w:val="auto"/>
              </w:rPr>
              <w:t>4.0%</w:t>
            </w:r>
          </w:p>
        </w:tc>
        <w:tc>
          <w:tcPr>
            <w:tcW w:w="720" w:type="dxa"/>
            <w:vAlign w:val="bottom"/>
            <w:gridSpan w:val="3"/>
          </w:tcPr>
          <w:p>
            <w:pPr>
              <w:jc w:val="right"/>
              <w:ind w:right="139"/>
              <w:spacing w:after="0"/>
              <w:rPr>
                <w:sz w:val="20"/>
                <w:szCs w:val="20"/>
                <w:color w:val="auto"/>
              </w:rPr>
            </w:pPr>
            <w:r>
              <w:rPr>
                <w:rFonts w:ascii="Arial" w:cs="Arial" w:eastAsia="Arial" w:hAnsi="Arial"/>
                <w:sz w:val="16"/>
                <w:szCs w:val="16"/>
                <w:color w:val="auto"/>
              </w:rPr>
              <w:t>5.0%</w:t>
            </w:r>
          </w:p>
        </w:tc>
        <w:tc>
          <w:tcPr>
            <w:tcW w:w="700" w:type="dxa"/>
            <w:vAlign w:val="bottom"/>
            <w:gridSpan w:val="3"/>
          </w:tcPr>
          <w:p>
            <w:pPr>
              <w:jc w:val="right"/>
              <w:ind w:right="139"/>
              <w:spacing w:after="0"/>
              <w:rPr>
                <w:sz w:val="20"/>
                <w:szCs w:val="20"/>
                <w:color w:val="auto"/>
              </w:rPr>
            </w:pPr>
            <w:r>
              <w:rPr>
                <w:rFonts w:ascii="Arial" w:cs="Arial" w:eastAsia="Arial" w:hAnsi="Arial"/>
                <w:sz w:val="16"/>
                <w:szCs w:val="16"/>
                <w:color w:val="auto"/>
              </w:rPr>
              <w:t>7.5%</w:t>
            </w:r>
          </w:p>
        </w:tc>
        <w:tc>
          <w:tcPr>
            <w:tcW w:w="780" w:type="dxa"/>
            <w:vAlign w:val="bottom"/>
            <w:gridSpan w:val="3"/>
          </w:tcPr>
          <w:p>
            <w:pPr>
              <w:jc w:val="right"/>
              <w:ind w:right="119"/>
              <w:spacing w:after="0"/>
              <w:rPr>
                <w:sz w:val="20"/>
                <w:szCs w:val="20"/>
                <w:color w:val="auto"/>
              </w:rPr>
            </w:pPr>
            <w:r>
              <w:rPr>
                <w:rFonts w:ascii="Arial" w:cs="Arial" w:eastAsia="Arial" w:hAnsi="Arial"/>
                <w:sz w:val="16"/>
                <w:szCs w:val="16"/>
                <w:color w:val="auto"/>
              </w:rPr>
              <w:t>10.0%</w:t>
            </w:r>
          </w:p>
        </w:tc>
        <w:tc>
          <w:tcPr>
            <w:tcW w:w="820" w:type="dxa"/>
            <w:vAlign w:val="bottom"/>
            <w:gridSpan w:val="3"/>
          </w:tcPr>
          <w:p>
            <w:pPr>
              <w:jc w:val="right"/>
              <w:ind w:right="139"/>
              <w:spacing w:after="0"/>
              <w:rPr>
                <w:sz w:val="20"/>
                <w:szCs w:val="20"/>
                <w:color w:val="auto"/>
              </w:rPr>
            </w:pPr>
            <w:r>
              <w:rPr>
                <w:rFonts w:ascii="Arial" w:cs="Arial" w:eastAsia="Arial" w:hAnsi="Arial"/>
                <w:sz w:val="16"/>
                <w:szCs w:val="16"/>
                <w:color w:val="auto"/>
              </w:rPr>
              <w:t>12.0%</w:t>
            </w:r>
          </w:p>
        </w:tc>
        <w:tc>
          <w:tcPr>
            <w:tcW w:w="680" w:type="dxa"/>
            <w:vAlign w:val="bottom"/>
            <w:gridSpan w:val="3"/>
          </w:tcPr>
          <w:p>
            <w:pPr>
              <w:jc w:val="right"/>
              <w:ind w:right="159"/>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760" w:type="dxa"/>
            <w:vAlign w:val="bottom"/>
            <w:shd w:val="clear" w:color="auto" w:fill="E5E5E5"/>
          </w:tcPr>
          <w:p>
            <w:pPr>
              <w:ind w:left="60"/>
              <w:spacing w:after="0"/>
              <w:rPr>
                <w:sz w:val="20"/>
                <w:szCs w:val="20"/>
                <w:color w:val="auto"/>
              </w:rPr>
            </w:pPr>
            <w:r>
              <w:rPr>
                <w:rFonts w:ascii="Arial" w:cs="Arial" w:eastAsia="Arial" w:hAnsi="Arial"/>
                <w:sz w:val="16"/>
                <w:szCs w:val="16"/>
                <w:color w:val="auto"/>
              </w:rPr>
              <w:t>Adjusted Free Cash Flow</w:t>
            </w:r>
          </w:p>
        </w:tc>
        <w:tc>
          <w:tcPr>
            <w:tcW w:w="160" w:type="dxa"/>
            <w:vAlign w:val="bottom"/>
            <w:shd w:val="clear" w:color="auto" w:fill="E5E5E5"/>
          </w:tcPr>
          <w:p>
            <w:pPr>
              <w:spacing w:after="0"/>
              <w:rPr>
                <w:sz w:val="24"/>
                <w:szCs w:val="24"/>
                <w:color w:val="auto"/>
              </w:rPr>
            </w:pPr>
          </w:p>
        </w:tc>
        <w:tc>
          <w:tcPr>
            <w:tcW w:w="20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560" w:type="dxa"/>
            <w:vAlign w:val="bottom"/>
            <w:shd w:val="clear" w:color="auto" w:fill="E5E5E5"/>
          </w:tcPr>
          <w:p>
            <w:pPr>
              <w:spacing w:after="0"/>
              <w:rPr>
                <w:sz w:val="24"/>
                <w:szCs w:val="24"/>
                <w:color w:val="auto"/>
              </w:rPr>
            </w:pPr>
          </w:p>
        </w:tc>
        <w:tc>
          <w:tcPr>
            <w:tcW w:w="16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4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600" w:type="dxa"/>
            <w:vAlign w:val="bottom"/>
            <w:shd w:val="clear" w:color="auto" w:fill="E5E5E5"/>
          </w:tcPr>
          <w:p>
            <w:pPr>
              <w:spacing w:after="0"/>
              <w:rPr>
                <w:sz w:val="24"/>
                <w:szCs w:val="24"/>
                <w:color w:val="auto"/>
              </w:rPr>
            </w:pPr>
          </w:p>
        </w:tc>
        <w:tc>
          <w:tcPr>
            <w:tcW w:w="4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68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70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40" w:type="dxa"/>
            <w:vAlign w:val="bottom"/>
            <w:shd w:val="clear" w:color="auto" w:fill="E5E5E5"/>
          </w:tcPr>
          <w:p>
            <w:pPr>
              <w:spacing w:after="0"/>
              <w:rPr>
                <w:sz w:val="24"/>
                <w:szCs w:val="24"/>
                <w:color w:val="auto"/>
              </w:rPr>
            </w:pPr>
          </w:p>
        </w:tc>
        <w:tc>
          <w:tcPr>
            <w:tcW w:w="580" w:type="dxa"/>
            <w:vAlign w:val="bottom"/>
            <w:shd w:val="clear" w:color="auto" w:fill="E5E5E5"/>
          </w:tcPr>
          <w:p>
            <w:pPr>
              <w:spacing w:after="0"/>
              <w:rPr>
                <w:sz w:val="24"/>
                <w:szCs w:val="24"/>
                <w:color w:val="auto"/>
              </w:rPr>
            </w:pPr>
          </w:p>
        </w:tc>
        <w:tc>
          <w:tcPr>
            <w:tcW w:w="40" w:type="dxa"/>
            <w:vAlign w:val="bottom"/>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500" w:type="dxa"/>
            <w:vAlign w:val="bottom"/>
            <w:tcBorders>
              <w:right w:val="single" w:sz="8" w:color="auto"/>
            </w:tcBorders>
            <w:shd w:val="clear" w:color="auto" w:fill="E5E5E5"/>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E5E5E5"/>
          </w:tcPr>
          <w:p>
            <w:pPr>
              <w:ind w:left="60"/>
              <w:spacing w:after="0" w:line="218" w:lineRule="exact"/>
              <w:rPr>
                <w:sz w:val="20"/>
                <w:szCs w:val="20"/>
                <w:color w:val="auto"/>
              </w:rPr>
            </w:pPr>
            <w:r>
              <w:rPr>
                <w:rFonts w:ascii="Arial" w:cs="Arial" w:eastAsia="Arial" w:hAnsi="Arial"/>
                <w:sz w:val="15"/>
                <w:szCs w:val="15"/>
                <w:color w:val="auto"/>
              </w:rPr>
              <w:t>Conversion</w:t>
            </w:r>
            <w:r>
              <w:rPr>
                <w:rFonts w:ascii="Arial" w:cs="Arial" w:eastAsia="Arial" w:hAnsi="Arial"/>
                <w:sz w:val="25"/>
                <w:szCs w:val="25"/>
                <w:color w:val="auto"/>
                <w:vertAlign w:val="superscript"/>
              </w:rPr>
              <w:t>(3)</w:t>
            </w:r>
          </w:p>
        </w:tc>
        <w:tc>
          <w:tcPr>
            <w:tcW w:w="980" w:type="dxa"/>
            <w:vAlign w:val="bottom"/>
            <w:gridSpan w:val="4"/>
            <w:shd w:val="clear" w:color="auto" w:fill="E5E5E5"/>
          </w:tcPr>
          <w:p>
            <w:pPr>
              <w:jc w:val="right"/>
              <w:ind w:right="139"/>
              <w:spacing w:after="0"/>
              <w:rPr>
                <w:sz w:val="20"/>
                <w:szCs w:val="20"/>
                <w:color w:val="auto"/>
              </w:rPr>
            </w:pPr>
            <w:r>
              <w:rPr>
                <w:rFonts w:ascii="Arial" w:cs="Arial" w:eastAsia="Arial" w:hAnsi="Arial"/>
                <w:sz w:val="16"/>
                <w:szCs w:val="16"/>
                <w:color w:val="auto"/>
              </w:rPr>
              <w:t>40%</w:t>
            </w:r>
          </w:p>
        </w:tc>
        <w:tc>
          <w:tcPr>
            <w:tcW w:w="800" w:type="dxa"/>
            <w:vAlign w:val="bottom"/>
            <w:gridSpan w:val="3"/>
            <w:shd w:val="clear" w:color="auto" w:fill="E5E5E5"/>
          </w:tcPr>
          <w:p>
            <w:pPr>
              <w:jc w:val="right"/>
              <w:ind w:right="139"/>
              <w:spacing w:after="0"/>
              <w:rPr>
                <w:sz w:val="20"/>
                <w:szCs w:val="20"/>
                <w:color w:val="auto"/>
              </w:rPr>
            </w:pPr>
            <w:r>
              <w:rPr>
                <w:rFonts w:ascii="Arial" w:cs="Arial" w:eastAsia="Arial" w:hAnsi="Arial"/>
                <w:sz w:val="16"/>
                <w:szCs w:val="16"/>
                <w:color w:val="auto"/>
              </w:rPr>
              <w:t>55%</w:t>
            </w:r>
          </w:p>
        </w:tc>
        <w:tc>
          <w:tcPr>
            <w:tcW w:w="700" w:type="dxa"/>
            <w:vAlign w:val="bottom"/>
            <w:gridSpan w:val="3"/>
            <w:shd w:val="clear" w:color="auto" w:fill="E5E5E5"/>
          </w:tcPr>
          <w:p>
            <w:pPr>
              <w:jc w:val="right"/>
              <w:ind w:right="119"/>
              <w:spacing w:after="0"/>
              <w:rPr>
                <w:sz w:val="20"/>
                <w:szCs w:val="20"/>
                <w:color w:val="auto"/>
              </w:rPr>
            </w:pPr>
            <w:r>
              <w:rPr>
                <w:rFonts w:ascii="Arial" w:cs="Arial" w:eastAsia="Arial" w:hAnsi="Arial"/>
                <w:sz w:val="16"/>
                <w:szCs w:val="16"/>
                <w:color w:val="auto"/>
              </w:rPr>
              <w:t>56%</w:t>
            </w:r>
          </w:p>
        </w:tc>
        <w:tc>
          <w:tcPr>
            <w:tcW w:w="700" w:type="dxa"/>
            <w:vAlign w:val="bottom"/>
            <w:gridSpan w:val="3"/>
            <w:shd w:val="clear" w:color="auto" w:fill="E5E5E5"/>
          </w:tcPr>
          <w:p>
            <w:pPr>
              <w:jc w:val="right"/>
              <w:ind w:right="119"/>
              <w:spacing w:after="0"/>
              <w:rPr>
                <w:sz w:val="20"/>
                <w:szCs w:val="20"/>
                <w:color w:val="auto"/>
              </w:rPr>
            </w:pPr>
            <w:r>
              <w:rPr>
                <w:rFonts w:ascii="Arial" w:cs="Arial" w:eastAsia="Arial" w:hAnsi="Arial"/>
                <w:sz w:val="16"/>
                <w:szCs w:val="16"/>
                <w:color w:val="auto"/>
              </w:rPr>
              <w:t>58%</w:t>
            </w:r>
          </w:p>
        </w:tc>
        <w:tc>
          <w:tcPr>
            <w:tcW w:w="720" w:type="dxa"/>
            <w:vAlign w:val="bottom"/>
            <w:gridSpan w:val="3"/>
            <w:shd w:val="clear" w:color="auto" w:fill="E5E5E5"/>
          </w:tcPr>
          <w:p>
            <w:pPr>
              <w:jc w:val="right"/>
              <w:ind w:right="139"/>
              <w:spacing w:after="0"/>
              <w:rPr>
                <w:sz w:val="20"/>
                <w:szCs w:val="20"/>
                <w:color w:val="auto"/>
              </w:rPr>
            </w:pPr>
            <w:r>
              <w:rPr>
                <w:rFonts w:ascii="Arial" w:cs="Arial" w:eastAsia="Arial" w:hAnsi="Arial"/>
                <w:sz w:val="16"/>
                <w:szCs w:val="16"/>
                <w:color w:val="auto"/>
              </w:rPr>
              <w:t>60%</w:t>
            </w:r>
          </w:p>
        </w:tc>
        <w:tc>
          <w:tcPr>
            <w:tcW w:w="700" w:type="dxa"/>
            <w:vAlign w:val="bottom"/>
            <w:gridSpan w:val="3"/>
            <w:shd w:val="clear" w:color="auto" w:fill="E5E5E5"/>
          </w:tcPr>
          <w:p>
            <w:pPr>
              <w:jc w:val="right"/>
              <w:ind w:right="139"/>
              <w:spacing w:after="0"/>
              <w:rPr>
                <w:sz w:val="20"/>
                <w:szCs w:val="20"/>
                <w:color w:val="auto"/>
              </w:rPr>
            </w:pPr>
            <w:r>
              <w:rPr>
                <w:rFonts w:ascii="Arial" w:cs="Arial" w:eastAsia="Arial" w:hAnsi="Arial"/>
                <w:sz w:val="16"/>
                <w:szCs w:val="16"/>
                <w:color w:val="auto"/>
              </w:rPr>
              <w:t>61%</w:t>
            </w:r>
          </w:p>
        </w:tc>
        <w:tc>
          <w:tcPr>
            <w:tcW w:w="780" w:type="dxa"/>
            <w:vAlign w:val="bottom"/>
            <w:gridSpan w:val="3"/>
            <w:shd w:val="clear" w:color="auto" w:fill="E5E5E5"/>
          </w:tcPr>
          <w:p>
            <w:pPr>
              <w:jc w:val="right"/>
              <w:ind w:right="119"/>
              <w:spacing w:after="0"/>
              <w:rPr>
                <w:sz w:val="20"/>
                <w:szCs w:val="20"/>
                <w:color w:val="auto"/>
              </w:rPr>
            </w:pPr>
            <w:r>
              <w:rPr>
                <w:rFonts w:ascii="Arial" w:cs="Arial" w:eastAsia="Arial" w:hAnsi="Arial"/>
                <w:sz w:val="16"/>
                <w:szCs w:val="16"/>
                <w:color w:val="auto"/>
              </w:rPr>
              <w:t>62%</w:t>
            </w:r>
          </w:p>
        </w:tc>
        <w:tc>
          <w:tcPr>
            <w:tcW w:w="820" w:type="dxa"/>
            <w:vAlign w:val="bottom"/>
            <w:gridSpan w:val="3"/>
            <w:shd w:val="clear" w:color="auto" w:fill="E5E5E5"/>
          </w:tcPr>
          <w:p>
            <w:pPr>
              <w:jc w:val="right"/>
              <w:ind w:right="139"/>
              <w:spacing w:after="0"/>
              <w:rPr>
                <w:sz w:val="20"/>
                <w:szCs w:val="20"/>
                <w:color w:val="auto"/>
              </w:rPr>
            </w:pPr>
            <w:r>
              <w:rPr>
                <w:rFonts w:ascii="Arial" w:cs="Arial" w:eastAsia="Arial" w:hAnsi="Arial"/>
                <w:sz w:val="16"/>
                <w:szCs w:val="16"/>
                <w:color w:val="auto"/>
              </w:rPr>
              <w:t>65%</w:t>
            </w:r>
          </w:p>
        </w:tc>
        <w:tc>
          <w:tcPr>
            <w:tcW w:w="680" w:type="dxa"/>
            <w:vAlign w:val="bottom"/>
            <w:gridSpan w:val="3"/>
            <w:shd w:val="clear" w:color="auto" w:fill="E5E5E5"/>
          </w:tcPr>
          <w:p>
            <w:pPr>
              <w:jc w:val="right"/>
              <w:ind w:right="159"/>
              <w:spacing w:after="0"/>
              <w:rPr>
                <w:sz w:val="20"/>
                <w:szCs w:val="20"/>
                <w:color w:val="auto"/>
              </w:rPr>
            </w:pPr>
            <w:r>
              <w:rPr>
                <w:rFonts w:ascii="Arial" w:cs="Arial" w:eastAsia="Arial" w:hAnsi="Arial"/>
                <w:sz w:val="16"/>
                <w:szCs w:val="16"/>
                <w:color w:val="auto"/>
              </w:rPr>
              <w:t>55%</w:t>
            </w:r>
          </w:p>
        </w:tc>
        <w:tc>
          <w:tcPr>
            <w:tcW w:w="600" w:type="dxa"/>
            <w:vAlign w:val="bottom"/>
            <w:tcBorders>
              <w:right w:val="single" w:sz="8" w:color="auto"/>
            </w:tcBorders>
            <w:gridSpan w:val="3"/>
            <w:shd w:val="clear" w:color="auto" w:fill="E5E5E5"/>
          </w:tcPr>
          <w:p>
            <w:pPr>
              <w:jc w:val="right"/>
              <w:ind w:right="79"/>
              <w:spacing w:after="0"/>
              <w:rPr>
                <w:sz w:val="20"/>
                <w:szCs w:val="20"/>
                <w:color w:val="auto"/>
              </w:rPr>
            </w:pPr>
            <w:r>
              <w:rPr>
                <w:rFonts w:ascii="Arial" w:cs="Arial" w:eastAsia="Arial" w:hAnsi="Arial"/>
                <w:sz w:val="16"/>
                <w:szCs w:val="16"/>
                <w:color w:val="auto"/>
              </w:rPr>
              <w:t>25%</w:t>
            </w: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E52823"/>
            </w:tcBorders>
          </w:tcPr>
          <w:p>
            <w:pPr>
              <w:spacing w:after="0" w:line="20" w:lineRule="exact"/>
              <w:rPr>
                <w:sz w:val="1"/>
                <w:szCs w:val="1"/>
                <w:color w:val="auto"/>
              </w:rPr>
            </w:pPr>
          </w:p>
        </w:tc>
        <w:tc>
          <w:tcPr>
            <w:tcW w:w="160" w:type="dxa"/>
            <w:vAlign w:val="bottom"/>
            <w:tcBorders>
              <w:bottom w:val="single" w:sz="8" w:color="E52823"/>
            </w:tcBorders>
          </w:tcPr>
          <w:p>
            <w:pPr>
              <w:spacing w:after="0" w:line="20" w:lineRule="exact"/>
              <w:rPr>
                <w:sz w:val="1"/>
                <w:szCs w:val="1"/>
                <w:color w:val="auto"/>
              </w:rPr>
            </w:pPr>
          </w:p>
        </w:tc>
        <w:tc>
          <w:tcPr>
            <w:tcW w:w="20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560" w:type="dxa"/>
            <w:vAlign w:val="bottom"/>
            <w:tcBorders>
              <w:bottom w:val="single" w:sz="8" w:color="E52823"/>
            </w:tcBorders>
          </w:tcPr>
          <w:p>
            <w:pPr>
              <w:spacing w:after="0" w:line="20" w:lineRule="exact"/>
              <w:rPr>
                <w:sz w:val="1"/>
                <w:szCs w:val="1"/>
                <w:color w:val="auto"/>
              </w:rPr>
            </w:pPr>
          </w:p>
        </w:tc>
        <w:tc>
          <w:tcPr>
            <w:tcW w:w="16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58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58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58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600" w:type="dxa"/>
            <w:vAlign w:val="bottom"/>
            <w:tcBorders>
              <w:bottom w:val="single" w:sz="8" w:color="E52823"/>
            </w:tcBorders>
          </w:tcPr>
          <w:p>
            <w:pPr>
              <w:spacing w:after="0" w:line="20" w:lineRule="exact"/>
              <w:rPr>
                <w:sz w:val="1"/>
                <w:szCs w:val="1"/>
                <w:color w:val="auto"/>
              </w:rPr>
            </w:pPr>
          </w:p>
        </w:tc>
        <w:tc>
          <w:tcPr>
            <w:tcW w:w="4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600" w:type="dxa"/>
            <w:vAlign w:val="bottom"/>
            <w:tcBorders>
              <w:bottom w:val="single" w:sz="8" w:color="E52823"/>
            </w:tcBorders>
          </w:tcPr>
          <w:p>
            <w:pPr>
              <w:spacing w:after="0" w:line="20" w:lineRule="exact"/>
              <w:rPr>
                <w:sz w:val="1"/>
                <w:szCs w:val="1"/>
                <w:color w:val="auto"/>
              </w:rPr>
            </w:pPr>
          </w:p>
        </w:tc>
        <w:tc>
          <w:tcPr>
            <w:tcW w:w="4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68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70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40" w:type="dxa"/>
            <w:vAlign w:val="bottom"/>
            <w:tcBorders>
              <w:bottom w:val="single" w:sz="8" w:color="E52823"/>
            </w:tcBorders>
          </w:tcPr>
          <w:p>
            <w:pPr>
              <w:spacing w:after="0" w:line="20" w:lineRule="exact"/>
              <w:rPr>
                <w:sz w:val="1"/>
                <w:szCs w:val="1"/>
                <w:color w:val="auto"/>
              </w:rPr>
            </w:pPr>
          </w:p>
        </w:tc>
        <w:tc>
          <w:tcPr>
            <w:tcW w:w="580" w:type="dxa"/>
            <w:vAlign w:val="bottom"/>
            <w:tcBorders>
              <w:bottom w:val="single" w:sz="8" w:color="E52823"/>
            </w:tcBorders>
          </w:tcPr>
          <w:p>
            <w:pPr>
              <w:spacing w:after="0" w:line="20" w:lineRule="exact"/>
              <w:rPr>
                <w:sz w:val="1"/>
                <w:szCs w:val="1"/>
                <w:color w:val="auto"/>
              </w:rPr>
            </w:pPr>
          </w:p>
        </w:tc>
        <w:tc>
          <w:tcPr>
            <w:tcW w:w="40" w:type="dxa"/>
            <w:vAlign w:val="bottom"/>
            <w:tcBorders>
              <w:bottom w:val="single" w:sz="8" w:color="E52823"/>
            </w:tcBorders>
          </w:tcPr>
          <w:p>
            <w:pPr>
              <w:spacing w:after="0" w:line="20" w:lineRule="exact"/>
              <w:rPr>
                <w:sz w:val="1"/>
                <w:szCs w:val="1"/>
                <w:color w:val="auto"/>
              </w:rPr>
            </w:pPr>
          </w:p>
        </w:tc>
        <w:tc>
          <w:tcPr>
            <w:tcW w:w="60" w:type="dxa"/>
            <w:vAlign w:val="bottom"/>
            <w:tcBorders>
              <w:bottom w:val="single" w:sz="8" w:color="E52823"/>
            </w:tcBorders>
          </w:tcPr>
          <w:p>
            <w:pPr>
              <w:spacing w:after="0" w:line="20" w:lineRule="exact"/>
              <w:rPr>
                <w:sz w:val="1"/>
                <w:szCs w:val="1"/>
                <w:color w:val="auto"/>
              </w:rPr>
            </w:pPr>
          </w:p>
        </w:tc>
        <w:tc>
          <w:tcPr>
            <w:tcW w:w="500" w:type="dxa"/>
            <w:vAlign w:val="bottom"/>
            <w:tcBorders>
              <w:bottom w:val="single" w:sz="8" w:color="E52823"/>
            </w:tcBorders>
          </w:tcPr>
          <w:p>
            <w:pPr>
              <w:spacing w:after="0" w:line="20" w:lineRule="exact"/>
              <w:rPr>
                <w:sz w:val="1"/>
                <w:szCs w:val="1"/>
                <w:color w:val="auto"/>
              </w:rPr>
            </w:pPr>
          </w:p>
        </w:tc>
        <w:tc>
          <w:tcPr>
            <w:tcW w:w="800" w:type="dxa"/>
            <w:vAlign w:val="bottom"/>
            <w:tcBorders>
              <w:bottom w:val="single" w:sz="8" w:color="E5282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Defined as revenue growth, excluding the impact of foreign currency fluctuations.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defined in our Annual Report on Form 10-K for the year ended December 31, 2019 filed with the SEC on February 27, 2020.</w:t>
      </w:r>
    </w:p>
    <w:p>
      <w:pPr>
        <w:spacing w:after="0" w:line="66" w:lineRule="exact"/>
        <w:rPr>
          <w:rFonts w:ascii="Arial" w:cs="Arial" w:eastAsia="Arial" w:hAnsi="Arial"/>
          <w:sz w:val="13"/>
          <w:szCs w:val="13"/>
          <w:color w:val="auto"/>
        </w:rPr>
      </w:pPr>
    </w:p>
    <w:p>
      <w:pPr>
        <w:ind w:left="440" w:right="560" w:hanging="324"/>
        <w:spacing w:after="0" w:line="230"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Free Cash Flow is defined as cash from operations less expenditures for property plant and equipment excluding indemnity and mandatory transition tax related payments to Honeywell. Adjusted Free Cash Flow conversion is defined as Adjusted Free Cash Flow over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6995160" cy="6254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29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220"/>
        <w:spacing w:after="0" w:line="249" w:lineRule="auto"/>
        <w:rPr>
          <w:sz w:val="20"/>
          <w:szCs w:val="20"/>
          <w:color w:val="auto"/>
        </w:rPr>
      </w:pPr>
      <w:r>
        <w:rPr>
          <w:rFonts w:ascii="Arial" w:cs="Arial" w:eastAsia="Arial" w:hAnsi="Arial"/>
          <w:sz w:val="16"/>
          <w:szCs w:val="16"/>
          <w:u w:val="single" w:color="auto"/>
          <w:color w:val="auto"/>
        </w:rPr>
        <w:t>Individual Performance.</w:t>
      </w:r>
      <w:r>
        <w:rPr>
          <w:rFonts w:ascii="Arial" w:cs="Arial" w:eastAsia="Arial" w:hAnsi="Arial"/>
          <w:sz w:val="16"/>
          <w:szCs w:val="16"/>
          <w:color w:val="auto"/>
        </w:rPr>
        <w:t xml:space="preserve"> The Individual Performance Portion of the ICP is based on the Compensation Committee’s assessment of each executive’s individual performance against their objectives specifically related to the categories of differentiated technology, global presence and capabilities (operational excellence), customer experience (such goals comprising 15% of the Individual Performance Portion), as well as pre-established strategic goals (which comprised 10% of the Individual Performance Portion). Individual objective for the Named Executive Officers are developed during the Company’s annual strategic planning to ensure rigor and business alignment, and the assessment is performed using a formal process that matches actual performance and behaviors against established expectations.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the Named Executive Officers had individualized performance goals for 2019 as follows:</w:t>
      </w:r>
    </w:p>
    <w:p>
      <w:pPr>
        <w:spacing w:after="0" w:line="127" w:lineRule="exact"/>
        <w:rPr>
          <w:sz w:val="20"/>
          <w:szCs w:val="20"/>
          <w:color w:val="auto"/>
        </w:rPr>
      </w:pPr>
    </w:p>
    <w:p>
      <w:pPr>
        <w:ind w:left="980" w:hanging="324"/>
        <w:spacing w:after="0" w:line="249" w:lineRule="auto"/>
        <w:tabs>
          <w:tab w:leader="none" w:pos="980" w:val="left"/>
        </w:tabs>
        <w:numPr>
          <w:ilvl w:val="0"/>
          <w:numId w:val="35"/>
        </w:numPr>
        <w:rPr>
          <w:rFonts w:ascii="Arial" w:cs="Arial" w:eastAsia="Arial" w:hAnsi="Arial"/>
          <w:sz w:val="16"/>
          <w:szCs w:val="16"/>
          <w:color w:val="E52823"/>
        </w:rPr>
      </w:pPr>
      <w:r>
        <w:rPr>
          <w:rFonts w:ascii="Arial" w:cs="Arial" w:eastAsia="Arial" w:hAnsi="Arial"/>
          <w:sz w:val="16"/>
          <w:szCs w:val="16"/>
          <w:color w:val="auto"/>
        </w:rPr>
        <w:t>Mr. Rabiller was responsible for achieving certain corporate, financial, strategic and operational objectives, including enhancing the Company’s technologies and capabilities portfolio and increasing operational productivity and efficiency: expanding Garrett’s global presence by developing customer experience initiatives and ensuring sustainable customer partnerships; strengthening succession plans and driving training and coaching to enhance leadership capabilities and support Garrett’s continued transformation; engaging with shareholders to share Garrett’s strategy and facilitate feedback and communication; and establishing Garrett as a successful standalone company through driving Company performance and culture.</w:t>
      </w:r>
    </w:p>
    <w:p>
      <w:pPr>
        <w:spacing w:after="0" w:line="69" w:lineRule="exact"/>
        <w:rPr>
          <w:rFonts w:ascii="Arial" w:cs="Arial" w:eastAsia="Arial" w:hAnsi="Arial"/>
          <w:sz w:val="16"/>
          <w:szCs w:val="16"/>
          <w:color w:val="E52823"/>
        </w:rPr>
      </w:pPr>
    </w:p>
    <w:p>
      <w:pPr>
        <w:ind w:left="980" w:right="80" w:hanging="324"/>
        <w:spacing w:after="0" w:line="250" w:lineRule="auto"/>
        <w:tabs>
          <w:tab w:leader="none" w:pos="980" w:val="left"/>
        </w:tabs>
        <w:numPr>
          <w:ilvl w:val="0"/>
          <w:numId w:val="35"/>
        </w:numPr>
        <w:rPr>
          <w:rFonts w:ascii="Arial" w:cs="Arial" w:eastAsia="Arial" w:hAnsi="Arial"/>
          <w:sz w:val="16"/>
          <w:szCs w:val="16"/>
          <w:color w:val="E52823"/>
        </w:rPr>
      </w:pPr>
      <w:r>
        <w:rPr>
          <w:rFonts w:ascii="Arial" w:cs="Arial" w:eastAsia="Arial" w:hAnsi="Arial"/>
          <w:sz w:val="16"/>
          <w:szCs w:val="16"/>
          <w:color w:val="auto"/>
        </w:rPr>
        <w:t>Mr. Bracke was responsible for achieving certain financial objectives across the organization, including enhancing the Company’s financial performance, financial operations and investor communications; leading the Treasury, Tax, Audit, Financial Planning &amp; Analysis, Investor Relations and Finance Operations divisions to be more effective and productive; establishing Garrett as a standalone company financially by enhancing the balance sheet capability to provide for long-term growth and flexibility; and lead investor communications for enhanced shareholder engagement.</w:t>
      </w:r>
    </w:p>
    <w:p>
      <w:pPr>
        <w:spacing w:after="0" w:line="148" w:lineRule="exact"/>
        <w:rPr>
          <w:rFonts w:ascii="Arial" w:cs="Arial" w:eastAsia="Arial" w:hAnsi="Arial"/>
          <w:sz w:val="16"/>
          <w:szCs w:val="16"/>
          <w:color w:val="E52823"/>
        </w:rPr>
      </w:pPr>
    </w:p>
    <w:p>
      <w:pPr>
        <w:ind w:left="980" w:right="220" w:hanging="324"/>
        <w:spacing w:after="0" w:line="253" w:lineRule="auto"/>
        <w:tabs>
          <w:tab w:leader="none" w:pos="980" w:val="left"/>
        </w:tabs>
        <w:numPr>
          <w:ilvl w:val="0"/>
          <w:numId w:val="35"/>
        </w:numPr>
        <w:rPr>
          <w:rFonts w:ascii="Arial" w:cs="Arial" w:eastAsia="Arial" w:hAnsi="Arial"/>
          <w:sz w:val="16"/>
          <w:szCs w:val="16"/>
          <w:color w:val="E52823"/>
        </w:rPr>
      </w:pPr>
      <w:r>
        <w:rPr>
          <w:rFonts w:ascii="Arial" w:cs="Arial" w:eastAsia="Arial" w:hAnsi="Arial"/>
          <w:sz w:val="16"/>
          <w:szCs w:val="16"/>
          <w:color w:val="auto"/>
        </w:rPr>
        <w:t>Mr. Balis’ goals included certain strategic and operational objectives, including the successful development of a breakthrough technologies portfolio; and launching new technologies successfully with optimal productivity to the market as well as rebalancing internal resources to support current and upcoming technologies.</w:t>
      </w:r>
    </w:p>
    <w:p>
      <w:pPr>
        <w:spacing w:after="0" w:line="147" w:lineRule="exact"/>
        <w:rPr>
          <w:rFonts w:ascii="Arial" w:cs="Arial" w:eastAsia="Arial" w:hAnsi="Arial"/>
          <w:sz w:val="16"/>
          <w:szCs w:val="16"/>
          <w:color w:val="E52823"/>
        </w:rPr>
      </w:pPr>
    </w:p>
    <w:p>
      <w:pPr>
        <w:ind w:left="980" w:hanging="324"/>
        <w:spacing w:after="0" w:line="251" w:lineRule="auto"/>
        <w:tabs>
          <w:tab w:leader="none" w:pos="980" w:val="left"/>
        </w:tabs>
        <w:numPr>
          <w:ilvl w:val="0"/>
          <w:numId w:val="35"/>
        </w:numPr>
        <w:rPr>
          <w:rFonts w:ascii="Arial" w:cs="Arial" w:eastAsia="Arial" w:hAnsi="Arial"/>
          <w:sz w:val="16"/>
          <w:szCs w:val="16"/>
          <w:color w:val="E52823"/>
        </w:rPr>
      </w:pPr>
      <w:r>
        <w:rPr>
          <w:rFonts w:ascii="Arial" w:cs="Arial" w:eastAsia="Arial" w:hAnsi="Arial"/>
          <w:sz w:val="16"/>
          <w:szCs w:val="16"/>
          <w:color w:val="auto"/>
        </w:rPr>
        <w:t>Mr. Maironi’s goals consisted of continuing to implement integrity and compliance processes for the Company overseeing and advising on the Company’s corporate governance and risk management strategies; reviewing the Honeywell &amp; Garrett Indemnity Agreement to advise and coordinate with the Chief Executive Officer and Chief Financial Officer on potential actions regarding the ongoing dispute with Honeywell; and implementing governance processes and organization for a stand-alone public company.</w:t>
      </w:r>
    </w:p>
    <w:p>
      <w:pPr>
        <w:spacing w:after="0" w:line="67" w:lineRule="exact"/>
        <w:rPr>
          <w:rFonts w:ascii="Arial" w:cs="Arial" w:eastAsia="Arial" w:hAnsi="Arial"/>
          <w:sz w:val="16"/>
          <w:szCs w:val="16"/>
          <w:color w:val="E52823"/>
        </w:rPr>
      </w:pPr>
    </w:p>
    <w:p>
      <w:pPr>
        <w:ind w:left="980" w:right="80" w:hanging="324"/>
        <w:spacing w:after="0" w:line="251" w:lineRule="auto"/>
        <w:tabs>
          <w:tab w:leader="none" w:pos="980" w:val="left"/>
        </w:tabs>
        <w:numPr>
          <w:ilvl w:val="0"/>
          <w:numId w:val="35"/>
        </w:numPr>
        <w:rPr>
          <w:rFonts w:ascii="Arial" w:cs="Arial" w:eastAsia="Arial" w:hAnsi="Arial"/>
          <w:sz w:val="16"/>
          <w:szCs w:val="16"/>
          <w:color w:val="E52823"/>
        </w:rPr>
      </w:pPr>
      <w:r>
        <w:rPr>
          <w:rFonts w:ascii="Arial" w:cs="Arial" w:eastAsia="Arial" w:hAnsi="Arial"/>
          <w:sz w:val="16"/>
          <w:szCs w:val="16"/>
          <w:color w:val="auto"/>
        </w:rPr>
        <w:t>Mr. Mabru’s goals included implementing the Company’s operational objectives regarding supply chain productivity and efficiency; reviewing suppliers portfolio to ensure functional excellence; enhancing the Company’s strategy with respect to materials and supplies savings; optimizing the Company’s global real estate footprint after the Spin-Off; and developing and implementing Garrett’s Excellence Model (GEM) to enhance productivity and efficiency at all levels;</w:t>
      </w:r>
    </w:p>
    <w:p>
      <w:pPr>
        <w:spacing w:after="0" w:line="94"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The Individual Performance assessment was conducted in consultation with our Compensation Committee Chair and Chairperson of the Board with respect to the performance of our Chief Executive Officer and with our Chief Executive Officer with respect to the performance of the other Named Executive Officers, leading to a rating and a recommended individual payout. The Compensation Committee approved payouts with regard to the 25% Individual Performance Portion of the ICP for Messrs. Rabiller, Bracke, Balis, Maironi, and Mabru of 130%, 129%, 109%, 150%, and 109%, respectively.</w:t>
      </w:r>
    </w:p>
    <w:p>
      <w:pPr>
        <w:spacing w:after="0" w:line="243"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The Company Performance Portion and the Individual Performance Portion for each Named Executive Officer are weighted 75% and 25%, respectively, to determine the total ICP payout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30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2019 annual cash payments paid to our Named Executive Officers under the ICP are as follows: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3"/>
          </w:tcPr>
          <w:p>
            <w:pPr>
              <w:ind w:left="240"/>
              <w:spacing w:after="0"/>
              <w:rPr>
                <w:sz w:val="20"/>
                <w:szCs w:val="20"/>
                <w:color w:val="auto"/>
              </w:rPr>
            </w:pPr>
            <w:r>
              <w:rPr>
                <w:rFonts w:ascii="Arial" w:cs="Arial" w:eastAsia="Arial" w:hAnsi="Arial"/>
                <w:sz w:val="14"/>
                <w:szCs w:val="14"/>
                <w:color w:val="auto"/>
              </w:rPr>
              <w:t>25% Individual ICP</w:t>
            </w:r>
          </w:p>
        </w:tc>
        <w:tc>
          <w:tcPr>
            <w:tcW w:w="2000" w:type="dxa"/>
            <w:vAlign w:val="bottom"/>
            <w:gridSpan w:val="3"/>
          </w:tcPr>
          <w:p>
            <w:pPr>
              <w:ind w:left="240"/>
              <w:spacing w:after="0"/>
              <w:rPr>
                <w:sz w:val="20"/>
                <w:szCs w:val="20"/>
                <w:color w:val="auto"/>
              </w:rPr>
            </w:pPr>
            <w:r>
              <w:rPr>
                <w:rFonts w:ascii="Arial" w:cs="Arial" w:eastAsia="Arial" w:hAnsi="Arial"/>
                <w:sz w:val="14"/>
                <w:szCs w:val="14"/>
                <w:color w:val="auto"/>
              </w:rPr>
              <w:t>75% Company ICP</w:t>
            </w:r>
          </w:p>
        </w:tc>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40" w:type="dxa"/>
            <w:vAlign w:val="bottom"/>
            <w:vMerge w:val="restart"/>
          </w:tcPr>
          <w:p>
            <w:pPr>
              <w:ind w:left="80"/>
              <w:spacing w:after="0"/>
              <w:rPr>
                <w:sz w:val="20"/>
                <w:szCs w:val="20"/>
                <w:color w:val="auto"/>
              </w:rPr>
            </w:pPr>
            <w:r>
              <w:rPr>
                <w:rFonts w:ascii="Arial" w:cs="Arial" w:eastAsia="Arial" w:hAnsi="Arial"/>
                <w:sz w:val="14"/>
                <w:szCs w:val="14"/>
                <w:color w:val="auto"/>
              </w:rPr>
              <w:t>Named</w:t>
            </w:r>
          </w:p>
        </w:tc>
        <w:tc>
          <w:tcPr>
            <w:tcW w:w="320" w:type="dxa"/>
            <w:vAlign w:val="bottom"/>
          </w:tcPr>
          <w:p>
            <w:pPr>
              <w:spacing w:after="0"/>
              <w:rPr>
                <w:sz w:val="13"/>
                <w:szCs w:val="13"/>
                <w:color w:val="auto"/>
              </w:rPr>
            </w:pPr>
          </w:p>
        </w:tc>
        <w:tc>
          <w:tcPr>
            <w:tcW w:w="1700" w:type="dxa"/>
            <w:vAlign w:val="bottom"/>
            <w:tcBorders>
              <w:bottom w:val="single" w:sz="8" w:color="auto"/>
            </w:tcBorders>
            <w:gridSpan w:val="2"/>
          </w:tcPr>
          <w:p>
            <w:pPr>
              <w:jc w:val="right"/>
              <w:ind w:right="541"/>
              <w:spacing w:after="0" w:line="157" w:lineRule="exact"/>
              <w:rPr>
                <w:sz w:val="20"/>
                <w:szCs w:val="20"/>
                <w:color w:val="auto"/>
              </w:rPr>
            </w:pPr>
            <w:r>
              <w:rPr>
                <w:rFonts w:ascii="Arial" w:cs="Arial" w:eastAsia="Arial" w:hAnsi="Arial"/>
                <w:sz w:val="14"/>
                <w:szCs w:val="14"/>
                <w:color w:val="auto"/>
              </w:rPr>
              <w:t>Portion</w:t>
            </w:r>
          </w:p>
        </w:tc>
        <w:tc>
          <w:tcPr>
            <w:tcW w:w="320" w:type="dxa"/>
            <w:vAlign w:val="bottom"/>
          </w:tcPr>
          <w:p>
            <w:pPr>
              <w:spacing w:after="0"/>
              <w:rPr>
                <w:sz w:val="13"/>
                <w:szCs w:val="13"/>
                <w:color w:val="auto"/>
              </w:rPr>
            </w:pPr>
          </w:p>
        </w:tc>
        <w:tc>
          <w:tcPr>
            <w:tcW w:w="1700" w:type="dxa"/>
            <w:vAlign w:val="bottom"/>
            <w:tcBorders>
              <w:bottom w:val="single" w:sz="8" w:color="auto"/>
            </w:tcBorders>
            <w:gridSpan w:val="2"/>
          </w:tcPr>
          <w:p>
            <w:pPr>
              <w:jc w:val="right"/>
              <w:ind w:right="541"/>
              <w:spacing w:after="0" w:line="157" w:lineRule="exact"/>
              <w:rPr>
                <w:sz w:val="20"/>
                <w:szCs w:val="20"/>
                <w:color w:val="auto"/>
              </w:rPr>
            </w:pPr>
            <w:r>
              <w:rPr>
                <w:rFonts w:ascii="Arial" w:cs="Arial" w:eastAsia="Arial" w:hAnsi="Arial"/>
                <w:sz w:val="14"/>
                <w:szCs w:val="14"/>
                <w:color w:val="auto"/>
              </w:rPr>
              <w:t>Portion</w:t>
            </w:r>
          </w:p>
        </w:tc>
        <w:tc>
          <w:tcPr>
            <w:tcW w:w="300" w:type="dxa"/>
            <w:vAlign w:val="bottom"/>
          </w:tcPr>
          <w:p>
            <w:pPr>
              <w:spacing w:after="0"/>
              <w:rPr>
                <w:sz w:val="13"/>
                <w:szCs w:val="13"/>
                <w:color w:val="auto"/>
              </w:rPr>
            </w:pPr>
          </w:p>
        </w:tc>
        <w:tc>
          <w:tcPr>
            <w:tcW w:w="2540" w:type="dxa"/>
            <w:vAlign w:val="bottom"/>
            <w:tcBorders>
              <w:bottom w:val="single" w:sz="8" w:color="auto"/>
            </w:tcBorders>
            <w:gridSpan w:val="2"/>
          </w:tcPr>
          <w:p>
            <w:pPr>
              <w:jc w:val="right"/>
              <w:ind w:right="481"/>
              <w:spacing w:after="0" w:line="157" w:lineRule="exact"/>
              <w:rPr>
                <w:sz w:val="20"/>
                <w:szCs w:val="20"/>
                <w:color w:val="auto"/>
              </w:rPr>
            </w:pPr>
            <w:r>
              <w:rPr>
                <w:rFonts w:ascii="Arial" w:cs="Arial" w:eastAsia="Arial" w:hAnsi="Arial"/>
                <w:sz w:val="14"/>
                <w:szCs w:val="14"/>
                <w:color w:val="auto"/>
              </w:rPr>
              <w:t>2019 Total ICP Payout</w:t>
            </w:r>
          </w:p>
        </w:tc>
        <w:tc>
          <w:tcPr>
            <w:tcW w:w="0" w:type="dxa"/>
            <w:vAlign w:val="bottom"/>
          </w:tcPr>
          <w:p>
            <w:pPr>
              <w:spacing w:after="0"/>
              <w:rPr>
                <w:sz w:val="1"/>
                <w:szCs w:val="1"/>
                <w:color w:val="auto"/>
              </w:rPr>
            </w:pPr>
          </w:p>
        </w:tc>
      </w:tr>
      <w:tr>
        <w:trPr>
          <w:trHeight w:val="85"/>
        </w:trPr>
        <w:tc>
          <w:tcPr>
            <w:tcW w:w="41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vMerge w:val="restart"/>
          </w:tcPr>
          <w:p>
            <w:pPr>
              <w:jc w:val="right"/>
              <w:ind w:right="148"/>
              <w:spacing w:after="0"/>
              <w:rPr>
                <w:sz w:val="20"/>
                <w:szCs w:val="20"/>
                <w:color w:val="auto"/>
              </w:rPr>
            </w:pPr>
            <w:r>
              <w:rPr>
                <w:rFonts w:ascii="Arial" w:cs="Arial" w:eastAsia="Arial" w:hAnsi="Arial"/>
                <w:sz w:val="14"/>
                <w:szCs w:val="14"/>
                <w:color w:val="auto"/>
              </w:rPr>
              <w:t>Target ($)</w:t>
            </w: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color w:val="auto"/>
              </w:rPr>
              <w:t>Earned ($)</w:t>
            </w:r>
          </w:p>
        </w:tc>
        <w:tc>
          <w:tcPr>
            <w:tcW w:w="860" w:type="dxa"/>
            <w:vAlign w:val="bottom"/>
            <w:vMerge w:val="restart"/>
          </w:tcPr>
          <w:p>
            <w:pPr>
              <w:jc w:val="right"/>
              <w:ind w:right="122"/>
              <w:spacing w:after="0"/>
              <w:rPr>
                <w:sz w:val="20"/>
                <w:szCs w:val="20"/>
                <w:color w:val="auto"/>
              </w:rPr>
            </w:pPr>
            <w:r>
              <w:rPr>
                <w:rFonts w:ascii="Arial" w:cs="Arial" w:eastAsia="Arial" w:hAnsi="Arial"/>
                <w:sz w:val="14"/>
                <w:szCs w:val="14"/>
                <w:color w:val="auto"/>
              </w:rPr>
              <w:t>Target ($)</w:t>
            </w: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Earned ($)</w:t>
            </w:r>
          </w:p>
        </w:tc>
        <w:tc>
          <w:tcPr>
            <w:tcW w:w="860" w:type="dxa"/>
            <w:vAlign w:val="bottom"/>
            <w:vMerge w:val="restart"/>
          </w:tcPr>
          <w:p>
            <w:pPr>
              <w:jc w:val="right"/>
              <w:ind w:right="82"/>
              <w:spacing w:after="0"/>
              <w:rPr>
                <w:sz w:val="20"/>
                <w:szCs w:val="20"/>
                <w:color w:val="auto"/>
              </w:rPr>
            </w:pPr>
            <w:r>
              <w:rPr>
                <w:rFonts w:ascii="Arial" w:cs="Arial" w:eastAsia="Arial" w:hAnsi="Arial"/>
                <w:sz w:val="14"/>
                <w:szCs w:val="14"/>
                <w:color w:val="auto"/>
              </w:rPr>
              <w:t>Earned ($)</w:t>
            </w: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Payout as % Target (%)</w:t>
            </w:r>
          </w:p>
        </w:tc>
        <w:tc>
          <w:tcPr>
            <w:tcW w:w="0" w:type="dxa"/>
            <w:vAlign w:val="bottom"/>
          </w:tcPr>
          <w:p>
            <w:pPr>
              <w:spacing w:after="0"/>
              <w:rPr>
                <w:sz w:val="1"/>
                <w:szCs w:val="1"/>
                <w:color w:val="auto"/>
              </w:rPr>
            </w:pPr>
          </w:p>
        </w:tc>
      </w:tr>
      <w:tr>
        <w:trPr>
          <w:trHeight w:val="85"/>
        </w:trPr>
        <w:tc>
          <w:tcPr>
            <w:tcW w:w="4140" w:type="dxa"/>
            <w:vAlign w:val="bottom"/>
            <w:vMerge w:val="restart"/>
          </w:tcPr>
          <w:p>
            <w:pPr>
              <w:ind w:left="80"/>
              <w:spacing w:after="0" w:line="178" w:lineRule="exact"/>
              <w:rPr>
                <w:sz w:val="20"/>
                <w:szCs w:val="20"/>
                <w:color w:val="auto"/>
              </w:rPr>
            </w:pPr>
            <w:r>
              <w:rPr>
                <w:rFonts w:ascii="Arial" w:cs="Arial" w:eastAsia="Arial" w:hAnsi="Arial"/>
                <w:sz w:val="12"/>
                <w:szCs w:val="12"/>
                <w:color w:val="auto"/>
              </w:rPr>
              <w:t>Executive Officer</w:t>
            </w:r>
            <w:r>
              <w:rPr>
                <w:rFonts w:ascii="Arial" w:cs="Arial" w:eastAsia="Arial" w:hAnsi="Arial"/>
                <w:sz w:val="20"/>
                <w:szCs w:val="20"/>
                <w:color w:val="auto"/>
                <w:vertAlign w:val="superscript"/>
              </w:rPr>
              <w:t>(1)</w:t>
            </w:r>
          </w:p>
        </w:tc>
        <w:tc>
          <w:tcPr>
            <w:tcW w:w="3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14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Olivier Rabiller</w:t>
            </w:r>
          </w:p>
        </w:tc>
        <w:tc>
          <w:tcPr>
            <w:tcW w:w="1180" w:type="dxa"/>
            <w:vAlign w:val="bottom"/>
            <w:gridSpan w:val="2"/>
            <w:shd w:val="clear" w:color="auto" w:fill="E5E5E5"/>
          </w:tcPr>
          <w:p>
            <w:pPr>
              <w:jc w:val="right"/>
              <w:ind w:right="88"/>
              <w:spacing w:after="0"/>
              <w:rPr>
                <w:sz w:val="20"/>
                <w:szCs w:val="20"/>
                <w:color w:val="auto"/>
              </w:rPr>
            </w:pPr>
            <w:r>
              <w:rPr>
                <w:rFonts w:ascii="Arial" w:cs="Arial" w:eastAsia="Arial" w:hAnsi="Arial"/>
                <w:sz w:val="16"/>
                <w:szCs w:val="16"/>
                <w:color w:val="auto"/>
              </w:rPr>
              <w:t>282,959</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367,847</w:t>
            </w:r>
          </w:p>
        </w:tc>
        <w:tc>
          <w:tcPr>
            <w:tcW w:w="3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848,877</w:t>
            </w:r>
          </w:p>
        </w:tc>
        <w:tc>
          <w:tcPr>
            <w:tcW w:w="114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color w:val="auto"/>
              </w:rPr>
              <w:t>84,888</w:t>
            </w:r>
          </w:p>
        </w:tc>
        <w:tc>
          <w:tcPr>
            <w:tcW w:w="8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452,735</w:t>
            </w:r>
          </w:p>
        </w:tc>
        <w:tc>
          <w:tcPr>
            <w:tcW w:w="1680" w:type="dxa"/>
            <w:vAlign w:val="bottom"/>
            <w:shd w:val="clear" w:color="auto" w:fill="E5E5E5"/>
          </w:tcPr>
          <w:p>
            <w:pPr>
              <w:jc w:val="right"/>
              <w:ind w:right="40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00"/>
        </w:trPr>
        <w:tc>
          <w:tcPr>
            <w:tcW w:w="4140" w:type="dxa"/>
            <w:vAlign w:val="bottom"/>
            <w:shd w:val="clear" w:color="auto" w:fill="E5E5E5"/>
          </w:tcPr>
          <w:p>
            <w:pPr>
              <w:spacing w:after="0"/>
              <w:rPr>
                <w:sz w:val="8"/>
                <w:szCs w:val="8"/>
                <w:color w:val="auto"/>
              </w:rPr>
            </w:pPr>
          </w:p>
        </w:tc>
        <w:tc>
          <w:tcPr>
            <w:tcW w:w="32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840" w:type="dxa"/>
            <w:vAlign w:val="bottom"/>
            <w:shd w:val="clear" w:color="auto" w:fill="E5E5E5"/>
          </w:tcPr>
          <w:p>
            <w:pPr>
              <w:spacing w:after="0"/>
              <w:rPr>
                <w:sz w:val="8"/>
                <w:szCs w:val="8"/>
                <w:color w:val="auto"/>
              </w:rPr>
            </w:pPr>
          </w:p>
        </w:tc>
        <w:tc>
          <w:tcPr>
            <w:tcW w:w="32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840" w:type="dxa"/>
            <w:vAlign w:val="bottom"/>
            <w:shd w:val="clear" w:color="auto" w:fill="E5E5E5"/>
          </w:tcPr>
          <w:p>
            <w:pPr>
              <w:spacing w:after="0"/>
              <w:rPr>
                <w:sz w:val="8"/>
                <w:szCs w:val="8"/>
                <w:color w:val="auto"/>
              </w:rPr>
            </w:pPr>
          </w:p>
        </w:tc>
        <w:tc>
          <w:tcPr>
            <w:tcW w:w="30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16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60"/>
              <w:spacing w:after="0"/>
              <w:rPr>
                <w:sz w:val="20"/>
                <w:szCs w:val="20"/>
                <w:color w:val="auto"/>
              </w:rPr>
            </w:pPr>
            <w:r>
              <w:rPr>
                <w:rFonts w:ascii="Arial" w:cs="Arial" w:eastAsia="Arial" w:hAnsi="Arial"/>
                <w:sz w:val="16"/>
                <w:szCs w:val="16"/>
                <w:color w:val="auto"/>
              </w:rPr>
              <w:t>Peter Bracke</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50,434</w:t>
            </w:r>
          </w:p>
        </w:tc>
        <w:tc>
          <w:tcPr>
            <w:tcW w:w="840" w:type="dxa"/>
            <w:vAlign w:val="bottom"/>
          </w:tcPr>
          <w:p>
            <w:pPr>
              <w:jc w:val="right"/>
              <w:spacing w:after="0"/>
              <w:rPr>
                <w:sz w:val="20"/>
                <w:szCs w:val="20"/>
                <w:color w:val="auto"/>
              </w:rPr>
            </w:pPr>
            <w:r>
              <w:rPr>
                <w:rFonts w:ascii="Arial" w:cs="Arial" w:eastAsia="Arial" w:hAnsi="Arial"/>
                <w:sz w:val="16"/>
                <w:szCs w:val="16"/>
                <w:color w:val="auto"/>
              </w:rPr>
              <w:t>65,047</w:t>
            </w:r>
          </w:p>
        </w:tc>
        <w:tc>
          <w:tcPr>
            <w:tcW w:w="320" w:type="dxa"/>
            <w:vAlign w:val="bottom"/>
          </w:tcPr>
          <w:p>
            <w:pPr>
              <w:spacing w:after="0"/>
              <w:rPr>
                <w:sz w:val="19"/>
                <w:szCs w:val="19"/>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151,301</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15,130</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80,177</w:t>
            </w:r>
          </w:p>
        </w:tc>
        <w:tc>
          <w:tcPr>
            <w:tcW w:w="1680" w:type="dxa"/>
            <w:vAlign w:val="bottom"/>
          </w:tcPr>
          <w:p>
            <w:pPr>
              <w:jc w:val="right"/>
              <w:ind w:right="40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01"/>
        </w:trPr>
        <w:tc>
          <w:tcPr>
            <w:tcW w:w="4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Craig Balis</w:t>
            </w:r>
          </w:p>
        </w:tc>
        <w:tc>
          <w:tcPr>
            <w:tcW w:w="1180" w:type="dxa"/>
            <w:vAlign w:val="bottom"/>
            <w:gridSpan w:val="2"/>
            <w:shd w:val="clear" w:color="auto" w:fill="E5E5E5"/>
          </w:tcPr>
          <w:p>
            <w:pPr>
              <w:jc w:val="right"/>
              <w:ind w:right="88"/>
              <w:spacing w:after="0"/>
              <w:rPr>
                <w:sz w:val="20"/>
                <w:szCs w:val="20"/>
                <w:color w:val="auto"/>
              </w:rPr>
            </w:pPr>
            <w:r>
              <w:rPr>
                <w:rFonts w:ascii="Arial" w:cs="Arial" w:eastAsia="Arial" w:hAnsi="Arial"/>
                <w:sz w:val="16"/>
                <w:szCs w:val="16"/>
                <w:color w:val="auto"/>
              </w:rPr>
              <w:t>55,334</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60,192</w:t>
            </w:r>
          </w:p>
        </w:tc>
        <w:tc>
          <w:tcPr>
            <w:tcW w:w="3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166,003</w:t>
            </w:r>
          </w:p>
        </w:tc>
        <w:tc>
          <w:tcPr>
            <w:tcW w:w="114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color w:val="auto"/>
              </w:rPr>
              <w:t>16,600</w:t>
            </w:r>
          </w:p>
        </w:tc>
        <w:tc>
          <w:tcPr>
            <w:tcW w:w="8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76,793</w:t>
            </w:r>
          </w:p>
        </w:tc>
        <w:tc>
          <w:tcPr>
            <w:tcW w:w="1680" w:type="dxa"/>
            <w:vAlign w:val="bottom"/>
            <w:shd w:val="clear" w:color="auto" w:fill="E5E5E5"/>
          </w:tcPr>
          <w:p>
            <w:pPr>
              <w:jc w:val="right"/>
              <w:ind w:right="40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00"/>
        </w:trPr>
        <w:tc>
          <w:tcPr>
            <w:tcW w:w="4140" w:type="dxa"/>
            <w:vAlign w:val="bottom"/>
            <w:shd w:val="clear" w:color="auto" w:fill="E5E5E5"/>
          </w:tcPr>
          <w:p>
            <w:pPr>
              <w:spacing w:after="0"/>
              <w:rPr>
                <w:sz w:val="8"/>
                <w:szCs w:val="8"/>
                <w:color w:val="auto"/>
              </w:rPr>
            </w:pPr>
          </w:p>
        </w:tc>
        <w:tc>
          <w:tcPr>
            <w:tcW w:w="32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840" w:type="dxa"/>
            <w:vAlign w:val="bottom"/>
            <w:shd w:val="clear" w:color="auto" w:fill="E5E5E5"/>
          </w:tcPr>
          <w:p>
            <w:pPr>
              <w:spacing w:after="0"/>
              <w:rPr>
                <w:sz w:val="8"/>
                <w:szCs w:val="8"/>
                <w:color w:val="auto"/>
              </w:rPr>
            </w:pPr>
          </w:p>
        </w:tc>
        <w:tc>
          <w:tcPr>
            <w:tcW w:w="32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840" w:type="dxa"/>
            <w:vAlign w:val="bottom"/>
            <w:shd w:val="clear" w:color="auto" w:fill="E5E5E5"/>
          </w:tcPr>
          <w:p>
            <w:pPr>
              <w:spacing w:after="0"/>
              <w:rPr>
                <w:sz w:val="8"/>
                <w:szCs w:val="8"/>
                <w:color w:val="auto"/>
              </w:rPr>
            </w:pPr>
          </w:p>
        </w:tc>
        <w:tc>
          <w:tcPr>
            <w:tcW w:w="300" w:type="dxa"/>
            <w:vAlign w:val="bottom"/>
            <w:shd w:val="clear" w:color="auto" w:fill="E5E5E5"/>
          </w:tcPr>
          <w:p>
            <w:pPr>
              <w:spacing w:after="0"/>
              <w:rPr>
                <w:sz w:val="8"/>
                <w:szCs w:val="8"/>
                <w:color w:val="auto"/>
              </w:rPr>
            </w:pPr>
          </w:p>
        </w:tc>
        <w:tc>
          <w:tcPr>
            <w:tcW w:w="860" w:type="dxa"/>
            <w:vAlign w:val="bottom"/>
            <w:shd w:val="clear" w:color="auto" w:fill="E5E5E5"/>
          </w:tcPr>
          <w:p>
            <w:pPr>
              <w:spacing w:after="0"/>
              <w:rPr>
                <w:sz w:val="8"/>
                <w:szCs w:val="8"/>
                <w:color w:val="auto"/>
              </w:rPr>
            </w:pPr>
          </w:p>
        </w:tc>
        <w:tc>
          <w:tcPr>
            <w:tcW w:w="16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60"/>
              <w:spacing w:after="0"/>
              <w:rPr>
                <w:sz w:val="20"/>
                <w:szCs w:val="20"/>
                <w:color w:val="auto"/>
              </w:rPr>
            </w:pPr>
            <w:r>
              <w:rPr>
                <w:rFonts w:ascii="Arial" w:cs="Arial" w:eastAsia="Arial" w:hAnsi="Arial"/>
                <w:sz w:val="16"/>
                <w:szCs w:val="16"/>
                <w:color w:val="auto"/>
              </w:rPr>
              <w:t>Jérôme Maironi</w:t>
            </w:r>
          </w:p>
        </w:tc>
        <w:tc>
          <w:tcPr>
            <w:tcW w:w="1180" w:type="dxa"/>
            <w:vAlign w:val="bottom"/>
            <w:gridSpan w:val="2"/>
          </w:tcPr>
          <w:p>
            <w:pPr>
              <w:jc w:val="right"/>
              <w:ind w:right="88"/>
              <w:spacing w:after="0"/>
              <w:rPr>
                <w:sz w:val="20"/>
                <w:szCs w:val="20"/>
                <w:color w:val="auto"/>
              </w:rPr>
            </w:pPr>
            <w:r>
              <w:rPr>
                <w:rFonts w:ascii="Arial" w:cs="Arial" w:eastAsia="Arial" w:hAnsi="Arial"/>
                <w:sz w:val="16"/>
                <w:szCs w:val="16"/>
                <w:color w:val="auto"/>
              </w:rPr>
              <w:t>67,910</w:t>
            </w:r>
          </w:p>
        </w:tc>
        <w:tc>
          <w:tcPr>
            <w:tcW w:w="840" w:type="dxa"/>
            <w:vAlign w:val="bottom"/>
          </w:tcPr>
          <w:p>
            <w:pPr>
              <w:jc w:val="right"/>
              <w:spacing w:after="0"/>
              <w:rPr>
                <w:sz w:val="20"/>
                <w:szCs w:val="20"/>
                <w:color w:val="auto"/>
              </w:rPr>
            </w:pPr>
            <w:r>
              <w:rPr>
                <w:rFonts w:ascii="Arial" w:cs="Arial" w:eastAsia="Arial" w:hAnsi="Arial"/>
                <w:sz w:val="16"/>
                <w:szCs w:val="16"/>
                <w:color w:val="auto"/>
              </w:rPr>
              <w:t>101,939</w:t>
            </w:r>
          </w:p>
        </w:tc>
        <w:tc>
          <w:tcPr>
            <w:tcW w:w="320" w:type="dxa"/>
            <w:vAlign w:val="bottom"/>
          </w:tcPr>
          <w:p>
            <w:pPr>
              <w:spacing w:after="0"/>
              <w:rPr>
                <w:sz w:val="19"/>
                <w:szCs w:val="19"/>
                <w:color w:val="auto"/>
              </w:rPr>
            </w:pP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203,731</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20,373</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122,312</w:t>
            </w:r>
          </w:p>
        </w:tc>
        <w:tc>
          <w:tcPr>
            <w:tcW w:w="1680" w:type="dxa"/>
            <w:vAlign w:val="bottom"/>
          </w:tcPr>
          <w:p>
            <w:pPr>
              <w:jc w:val="right"/>
              <w:ind w:right="40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00"/>
        </w:trPr>
        <w:tc>
          <w:tcPr>
            <w:tcW w:w="4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140" w:type="dxa"/>
            <w:vAlign w:val="bottom"/>
            <w:shd w:val="clear" w:color="auto" w:fill="E5E5E5"/>
          </w:tcPr>
          <w:p>
            <w:pPr>
              <w:ind w:left="60"/>
              <w:spacing w:after="0"/>
              <w:rPr>
                <w:sz w:val="20"/>
                <w:szCs w:val="20"/>
                <w:color w:val="auto"/>
              </w:rPr>
            </w:pPr>
            <w:r>
              <w:rPr>
                <w:rFonts w:ascii="Arial" w:cs="Arial" w:eastAsia="Arial" w:hAnsi="Arial"/>
                <w:sz w:val="16"/>
                <w:szCs w:val="16"/>
                <w:color w:val="auto"/>
              </w:rPr>
              <w:t>Thierry Mabru</w:t>
            </w:r>
          </w:p>
        </w:tc>
        <w:tc>
          <w:tcPr>
            <w:tcW w:w="1180" w:type="dxa"/>
            <w:vAlign w:val="bottom"/>
            <w:gridSpan w:val="2"/>
            <w:shd w:val="clear" w:color="auto" w:fill="E5E5E5"/>
          </w:tcPr>
          <w:p>
            <w:pPr>
              <w:jc w:val="right"/>
              <w:ind w:right="88"/>
              <w:spacing w:after="0"/>
              <w:rPr>
                <w:sz w:val="20"/>
                <w:szCs w:val="20"/>
                <w:color w:val="auto"/>
              </w:rPr>
            </w:pPr>
            <w:r>
              <w:rPr>
                <w:rFonts w:ascii="Arial" w:cs="Arial" w:eastAsia="Arial" w:hAnsi="Arial"/>
                <w:sz w:val="16"/>
                <w:szCs w:val="16"/>
                <w:color w:val="auto"/>
              </w:rPr>
              <w:t>56,026</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61,163</w:t>
            </w:r>
          </w:p>
        </w:tc>
        <w:tc>
          <w:tcPr>
            <w:tcW w:w="3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168,078</w:t>
            </w:r>
          </w:p>
        </w:tc>
        <w:tc>
          <w:tcPr>
            <w:tcW w:w="114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color w:val="auto"/>
              </w:rPr>
              <w:t>16,808</w:t>
            </w:r>
          </w:p>
        </w:tc>
        <w:tc>
          <w:tcPr>
            <w:tcW w:w="8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77,971</w:t>
            </w:r>
          </w:p>
        </w:tc>
        <w:tc>
          <w:tcPr>
            <w:tcW w:w="1680" w:type="dxa"/>
            <w:vAlign w:val="bottom"/>
            <w:shd w:val="clear" w:color="auto" w:fill="E5E5E5"/>
          </w:tcPr>
          <w:p>
            <w:pPr>
              <w:jc w:val="right"/>
              <w:ind w:right="40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00"/>
        </w:trPr>
        <w:tc>
          <w:tcPr>
            <w:tcW w:w="4140" w:type="dxa"/>
            <w:vAlign w:val="bottom"/>
            <w:tcBorders>
              <w:bottom w:val="single" w:sz="8" w:color="E52823"/>
            </w:tcBorders>
            <w:shd w:val="clear" w:color="auto" w:fill="E5E5E5"/>
          </w:tcPr>
          <w:p>
            <w:pPr>
              <w:spacing w:after="0"/>
              <w:rPr>
                <w:sz w:val="8"/>
                <w:szCs w:val="8"/>
                <w:color w:val="auto"/>
              </w:rPr>
            </w:pPr>
          </w:p>
        </w:tc>
        <w:tc>
          <w:tcPr>
            <w:tcW w:w="320" w:type="dxa"/>
            <w:vAlign w:val="bottom"/>
            <w:tcBorders>
              <w:bottom w:val="single" w:sz="8" w:color="E52823"/>
            </w:tcBorders>
            <w:shd w:val="clear" w:color="auto" w:fill="E5E5E5"/>
          </w:tcPr>
          <w:p>
            <w:pPr>
              <w:spacing w:after="0"/>
              <w:rPr>
                <w:sz w:val="8"/>
                <w:szCs w:val="8"/>
                <w:color w:val="auto"/>
              </w:rPr>
            </w:pPr>
          </w:p>
        </w:tc>
        <w:tc>
          <w:tcPr>
            <w:tcW w:w="860" w:type="dxa"/>
            <w:vAlign w:val="bottom"/>
            <w:tcBorders>
              <w:bottom w:val="single" w:sz="8" w:color="E52823"/>
            </w:tcBorders>
            <w:shd w:val="clear" w:color="auto" w:fill="E5E5E5"/>
          </w:tcPr>
          <w:p>
            <w:pPr>
              <w:spacing w:after="0"/>
              <w:rPr>
                <w:sz w:val="8"/>
                <w:szCs w:val="8"/>
                <w:color w:val="auto"/>
              </w:rPr>
            </w:pPr>
          </w:p>
        </w:tc>
        <w:tc>
          <w:tcPr>
            <w:tcW w:w="840" w:type="dxa"/>
            <w:vAlign w:val="bottom"/>
            <w:tcBorders>
              <w:bottom w:val="single" w:sz="8" w:color="E52823"/>
            </w:tcBorders>
            <w:shd w:val="clear" w:color="auto" w:fill="E5E5E5"/>
          </w:tcPr>
          <w:p>
            <w:pPr>
              <w:spacing w:after="0"/>
              <w:rPr>
                <w:sz w:val="8"/>
                <w:szCs w:val="8"/>
                <w:color w:val="auto"/>
              </w:rPr>
            </w:pPr>
          </w:p>
        </w:tc>
        <w:tc>
          <w:tcPr>
            <w:tcW w:w="320" w:type="dxa"/>
            <w:vAlign w:val="bottom"/>
            <w:tcBorders>
              <w:bottom w:val="single" w:sz="8" w:color="E52823"/>
            </w:tcBorders>
            <w:shd w:val="clear" w:color="auto" w:fill="E5E5E5"/>
          </w:tcPr>
          <w:p>
            <w:pPr>
              <w:spacing w:after="0"/>
              <w:rPr>
                <w:sz w:val="8"/>
                <w:szCs w:val="8"/>
                <w:color w:val="auto"/>
              </w:rPr>
            </w:pPr>
          </w:p>
        </w:tc>
        <w:tc>
          <w:tcPr>
            <w:tcW w:w="860" w:type="dxa"/>
            <w:vAlign w:val="bottom"/>
            <w:tcBorders>
              <w:bottom w:val="single" w:sz="8" w:color="E52823"/>
            </w:tcBorders>
            <w:shd w:val="clear" w:color="auto" w:fill="E5E5E5"/>
          </w:tcPr>
          <w:p>
            <w:pPr>
              <w:spacing w:after="0"/>
              <w:rPr>
                <w:sz w:val="8"/>
                <w:szCs w:val="8"/>
                <w:color w:val="auto"/>
              </w:rPr>
            </w:pPr>
          </w:p>
        </w:tc>
        <w:tc>
          <w:tcPr>
            <w:tcW w:w="840" w:type="dxa"/>
            <w:vAlign w:val="bottom"/>
            <w:tcBorders>
              <w:bottom w:val="single" w:sz="8" w:color="E52823"/>
            </w:tcBorders>
            <w:shd w:val="clear" w:color="auto" w:fill="E5E5E5"/>
          </w:tcPr>
          <w:p>
            <w:pPr>
              <w:spacing w:after="0"/>
              <w:rPr>
                <w:sz w:val="8"/>
                <w:szCs w:val="8"/>
                <w:color w:val="auto"/>
              </w:rPr>
            </w:pPr>
          </w:p>
        </w:tc>
        <w:tc>
          <w:tcPr>
            <w:tcW w:w="300" w:type="dxa"/>
            <w:vAlign w:val="bottom"/>
            <w:tcBorders>
              <w:bottom w:val="single" w:sz="8" w:color="E52823"/>
            </w:tcBorders>
            <w:shd w:val="clear" w:color="auto" w:fill="E5E5E5"/>
          </w:tcPr>
          <w:p>
            <w:pPr>
              <w:spacing w:after="0"/>
              <w:rPr>
                <w:sz w:val="8"/>
                <w:szCs w:val="8"/>
                <w:color w:val="auto"/>
              </w:rPr>
            </w:pPr>
          </w:p>
        </w:tc>
        <w:tc>
          <w:tcPr>
            <w:tcW w:w="860" w:type="dxa"/>
            <w:vAlign w:val="bottom"/>
            <w:tcBorders>
              <w:bottom w:val="single" w:sz="8" w:color="E52823"/>
            </w:tcBorders>
            <w:shd w:val="clear" w:color="auto" w:fill="E5E5E5"/>
          </w:tcPr>
          <w:p>
            <w:pPr>
              <w:spacing w:after="0"/>
              <w:rPr>
                <w:sz w:val="8"/>
                <w:szCs w:val="8"/>
                <w:color w:val="auto"/>
              </w:rPr>
            </w:pPr>
          </w:p>
        </w:tc>
        <w:tc>
          <w:tcPr>
            <w:tcW w:w="1680" w:type="dxa"/>
            <w:vAlign w:val="bottom"/>
            <w:tcBorders>
              <w:bottom w:val="single" w:sz="8" w:color="E52823"/>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connection with his separation from the Company, Mr. Gili did not receive a cash payment under the ICP for 2019.</w:t>
      </w:r>
    </w:p>
    <w:p>
      <w:pPr>
        <w:spacing w:after="0" w:line="182" w:lineRule="exact"/>
        <w:rPr>
          <w:sz w:val="20"/>
          <w:szCs w:val="20"/>
          <w:color w:val="auto"/>
        </w:rPr>
      </w:pPr>
    </w:p>
    <w:p>
      <w:pPr>
        <w:ind w:left="120" w:right="840"/>
        <w:spacing w:after="0" w:line="260" w:lineRule="auto"/>
        <w:rPr>
          <w:sz w:val="20"/>
          <w:szCs w:val="20"/>
          <w:color w:val="auto"/>
        </w:rPr>
      </w:pPr>
      <w:r>
        <w:rPr>
          <w:rFonts w:ascii="Arial" w:cs="Arial" w:eastAsia="Arial" w:hAnsi="Arial"/>
          <w:sz w:val="16"/>
          <w:szCs w:val="16"/>
          <w:color w:val="auto"/>
        </w:rPr>
        <w:t>The actual annual cash payments payable for 2019 under the ICP are set forth in the Summary Compensation Table below in the column titled “Non-Equity Incentive Plan Compensation.”</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Awards</w:t>
      </w:r>
    </w:p>
    <w:p>
      <w:pPr>
        <w:ind w:left="120" w:right="180"/>
        <w:spacing w:after="0" w:line="253" w:lineRule="auto"/>
        <w:rPr>
          <w:sz w:val="20"/>
          <w:szCs w:val="20"/>
          <w:color w:val="auto"/>
        </w:rPr>
      </w:pPr>
      <w:r>
        <w:rPr>
          <w:rFonts w:ascii="Arial" w:cs="Arial" w:eastAsia="Arial" w:hAnsi="Arial"/>
          <w:sz w:val="16"/>
          <w:szCs w:val="16"/>
          <w:color w:val="auto"/>
        </w:rPr>
        <w:t>The goal of our long-term, equity-based incentive awards is to align the interests of our Named Executive Officers with the interests of our stockholders. Because vesting is based on continued service, our equity-based incentives also encourage the retention of our Named Executive Officers during the award vesting period.</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2019-2020 Performance Plan (“Replacement Plan”)</w:t>
      </w:r>
    </w:p>
    <w:p>
      <w:pPr>
        <w:spacing w:after="0" w:line="129"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auto"/>
        </w:rPr>
        <w:t>In connection with the Spin-Off, Honeywell Performance Plan awards for the 2018-2020 performance period (the “Honeywell 2018-2020 Performance Plan”) that were held by our employees as of the Distribution Date were terminated and canceled in accordance with their terms. With respect to the 2019-2020 performance period only, under our 2019-2020 Performance Plan (the “Replacement Plan”), we replaced the economic value of such canceled awards by issuing PSUs that will vest in full on March 4, 2021, subject to company performance and continued employment through each vesting date, consistent with the vesting schedule that applied to the corresponding Honeywell 2018-2020 Performance Plan PSUs or performance cash units (“PCUs”), as applicable. PCUs are dollar denominated and pay out in cash rather than equity. In respect of such Company PSUs or PCUs the initial value was determined based on Honeywell’s latest estimate of performance against plan metrics for the performance period in progress as of the Distribution Date, with the number of Company PSUs or PCUs determined based on the grant date fair value of our shares immediately prior to the Distribution Date (rounded up to the nearest whole share).</w:t>
      </w:r>
    </w:p>
    <w:p>
      <w:pPr>
        <w:spacing w:after="0" w:line="179"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The PSUs and PCUs will vest based on the achievement of Organic Revenue Growth, Adjusted EBITDA and Adjusted Free Cash Flow Conversion goals, weighted 20%, 40% and 40%, respectively, over a two-year performance period from January 1, 2019 through December 31, 2020.</w:t>
      </w:r>
    </w:p>
    <w:p>
      <w:pPr>
        <w:spacing w:after="0" w:line="155" w:lineRule="exact"/>
        <w:rPr>
          <w:sz w:val="20"/>
          <w:szCs w:val="20"/>
          <w:color w:val="auto"/>
        </w:rPr>
      </w:pPr>
    </w:p>
    <w:p>
      <w:pPr>
        <w:ind w:left="120" w:right="920"/>
        <w:spacing w:after="0" w:line="260" w:lineRule="auto"/>
        <w:rPr>
          <w:sz w:val="20"/>
          <w:szCs w:val="20"/>
          <w:color w:val="auto"/>
        </w:rPr>
      </w:pPr>
      <w:r>
        <w:rPr>
          <w:rFonts w:ascii="Arial" w:cs="Arial" w:eastAsia="Arial" w:hAnsi="Arial"/>
          <w:sz w:val="16"/>
          <w:szCs w:val="16"/>
          <w:color w:val="auto"/>
        </w:rPr>
        <w:t>The following table sets forth the number of PSUs and PCUs, and the dollar-denominated values of the PSUs and PCUs, approved under the Replacement Plan.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940" w:type="dxa"/>
            <w:vAlign w:val="bottom"/>
          </w:tcPr>
          <w:p>
            <w:pPr>
              <w:ind w:left="700"/>
              <w:spacing w:after="0"/>
              <w:rPr>
                <w:sz w:val="20"/>
                <w:szCs w:val="20"/>
                <w:color w:val="auto"/>
              </w:rPr>
            </w:pPr>
            <w:r>
              <w:rPr>
                <w:rFonts w:ascii="Arial" w:cs="Arial" w:eastAsia="Arial" w:hAnsi="Arial"/>
                <w:sz w:val="14"/>
                <w:szCs w:val="14"/>
                <w:color w:val="auto"/>
              </w:rPr>
              <w:t>PSUs Dollar-</w:t>
            </w:r>
          </w:p>
        </w:tc>
        <w:tc>
          <w:tcPr>
            <w:tcW w:w="1200" w:type="dxa"/>
            <w:vAlign w:val="bottom"/>
          </w:tcPr>
          <w:p>
            <w:pPr>
              <w:spacing w:after="0"/>
              <w:rPr>
                <w:sz w:val="14"/>
                <w:szCs w:val="14"/>
                <w:color w:val="auto"/>
              </w:rPr>
            </w:pPr>
          </w:p>
        </w:tc>
      </w:tr>
      <w:tr>
        <w:trPr>
          <w:trHeight w:val="162"/>
        </w:trPr>
        <w:tc>
          <w:tcPr>
            <w:tcW w:w="7880" w:type="dxa"/>
            <w:vAlign w:val="bottom"/>
          </w:tcPr>
          <w:p>
            <w:pPr>
              <w:spacing w:after="0"/>
              <w:rPr>
                <w:sz w:val="14"/>
                <w:szCs w:val="14"/>
                <w:color w:val="auto"/>
              </w:rPr>
            </w:pPr>
          </w:p>
        </w:tc>
        <w:tc>
          <w:tcPr>
            <w:tcW w:w="1940" w:type="dxa"/>
            <w:vAlign w:val="bottom"/>
          </w:tcPr>
          <w:p>
            <w:pPr>
              <w:ind w:left="680"/>
              <w:spacing w:after="0"/>
              <w:rPr>
                <w:sz w:val="20"/>
                <w:szCs w:val="20"/>
                <w:color w:val="auto"/>
              </w:rPr>
            </w:pPr>
            <w:r>
              <w:rPr>
                <w:rFonts w:ascii="Arial" w:cs="Arial" w:eastAsia="Arial" w:hAnsi="Arial"/>
                <w:sz w:val="14"/>
                <w:szCs w:val="14"/>
                <w:color w:val="auto"/>
              </w:rPr>
              <w:t>Denominated</w:t>
            </w:r>
          </w:p>
        </w:tc>
        <w:tc>
          <w:tcPr>
            <w:tcW w:w="1200" w:type="dxa"/>
            <w:vAlign w:val="bottom"/>
          </w:tcPr>
          <w:p>
            <w:pPr>
              <w:jc w:val="right"/>
              <w:ind w:right="141"/>
              <w:spacing w:after="0"/>
              <w:rPr>
                <w:sz w:val="20"/>
                <w:szCs w:val="20"/>
                <w:color w:val="auto"/>
              </w:rPr>
            </w:pPr>
            <w:r>
              <w:rPr>
                <w:rFonts w:ascii="Arial" w:cs="Arial" w:eastAsia="Arial" w:hAnsi="Arial"/>
                <w:sz w:val="14"/>
                <w:szCs w:val="14"/>
                <w:color w:val="auto"/>
              </w:rPr>
              <w:t>PSUs</w:t>
            </w:r>
          </w:p>
        </w:tc>
      </w:tr>
      <w:tr>
        <w:trPr>
          <w:trHeight w:val="172"/>
        </w:trPr>
        <w:tc>
          <w:tcPr>
            <w:tcW w:w="7880" w:type="dxa"/>
            <w:vAlign w:val="bottom"/>
          </w:tcPr>
          <w:p>
            <w:pPr>
              <w:ind w:left="60"/>
              <w:spacing w:after="0"/>
              <w:rPr>
                <w:sz w:val="20"/>
                <w:szCs w:val="20"/>
                <w:color w:val="auto"/>
              </w:rPr>
            </w:pPr>
            <w:r>
              <w:rPr>
                <w:rFonts w:ascii="Arial" w:cs="Arial" w:eastAsia="Arial" w:hAnsi="Arial"/>
                <w:sz w:val="14"/>
                <w:szCs w:val="14"/>
                <w:color w:val="auto"/>
              </w:rPr>
              <w:t>Named Executive Officer</w:t>
            </w:r>
          </w:p>
        </w:tc>
        <w:tc>
          <w:tcPr>
            <w:tcW w:w="1940" w:type="dxa"/>
            <w:vAlign w:val="bottom"/>
          </w:tcPr>
          <w:p>
            <w:pPr>
              <w:ind w:left="820"/>
              <w:spacing w:after="0"/>
              <w:rPr>
                <w:sz w:val="20"/>
                <w:szCs w:val="20"/>
                <w:color w:val="auto"/>
              </w:rPr>
            </w:pPr>
            <w:r>
              <w:rPr>
                <w:rFonts w:ascii="Arial" w:cs="Arial" w:eastAsia="Arial" w:hAnsi="Arial"/>
                <w:sz w:val="14"/>
                <w:szCs w:val="14"/>
                <w:color w:val="auto"/>
              </w:rPr>
              <w:t>Value ($)</w:t>
            </w:r>
          </w:p>
        </w:tc>
        <w:tc>
          <w:tcPr>
            <w:tcW w:w="1200" w:type="dxa"/>
            <w:vAlign w:val="bottom"/>
          </w:tcPr>
          <w:p>
            <w:pPr>
              <w:jc w:val="right"/>
              <w:spacing w:after="0"/>
              <w:rPr>
                <w:sz w:val="20"/>
                <w:szCs w:val="20"/>
                <w:color w:val="auto"/>
              </w:rPr>
            </w:pPr>
            <w:r>
              <w:rPr>
                <w:rFonts w:ascii="Arial" w:cs="Arial" w:eastAsia="Arial" w:hAnsi="Arial"/>
                <w:sz w:val="14"/>
                <w:szCs w:val="14"/>
                <w:color w:val="auto"/>
              </w:rPr>
              <w:t>Awarded (#)</w:t>
            </w:r>
          </w:p>
        </w:tc>
      </w:tr>
      <w:tr>
        <w:trPr>
          <w:trHeight w:val="100"/>
        </w:trPr>
        <w:tc>
          <w:tcPr>
            <w:tcW w:w="78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10"/>
        </w:trPr>
        <w:tc>
          <w:tcPr>
            <w:tcW w:w="7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Olivier Rabiller</w:t>
            </w:r>
          </w:p>
        </w:tc>
        <w:tc>
          <w:tcPr>
            <w:tcW w:w="1940" w:type="dxa"/>
            <w:vAlign w:val="bottom"/>
            <w:shd w:val="clear" w:color="auto" w:fill="E5E5E5"/>
          </w:tcPr>
          <w:p>
            <w:pPr>
              <w:ind w:left="680"/>
              <w:spacing w:after="0"/>
              <w:rPr>
                <w:sz w:val="20"/>
                <w:szCs w:val="20"/>
                <w:color w:val="auto"/>
              </w:rPr>
            </w:pPr>
            <w:r>
              <w:rPr>
                <w:rFonts w:ascii="Arial" w:cs="Arial" w:eastAsia="Arial" w:hAnsi="Arial"/>
                <w:sz w:val="16"/>
                <w:szCs w:val="16"/>
                <w:color w:val="auto"/>
              </w:rPr>
              <w:t>$460,004</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28,448</w:t>
            </w:r>
          </w:p>
        </w:tc>
      </w:tr>
      <w:tr>
        <w:trPr>
          <w:trHeight w:val="101"/>
        </w:trPr>
        <w:tc>
          <w:tcPr>
            <w:tcW w:w="7880" w:type="dxa"/>
            <w:vAlign w:val="bottom"/>
            <w:shd w:val="clear" w:color="auto" w:fill="E5E5E5"/>
          </w:tcPr>
          <w:p>
            <w:pPr>
              <w:spacing w:after="0"/>
              <w:rPr>
                <w:sz w:val="8"/>
                <w:szCs w:val="8"/>
                <w:color w:val="auto"/>
              </w:rPr>
            </w:pPr>
          </w:p>
        </w:tc>
        <w:tc>
          <w:tcPr>
            <w:tcW w:w="194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r>
      <w:tr>
        <w:trPr>
          <w:trHeight w:val="223"/>
        </w:trPr>
        <w:tc>
          <w:tcPr>
            <w:tcW w:w="7880" w:type="dxa"/>
            <w:vAlign w:val="bottom"/>
          </w:tcPr>
          <w:p>
            <w:pPr>
              <w:ind w:left="60"/>
              <w:spacing w:after="0"/>
              <w:rPr>
                <w:sz w:val="20"/>
                <w:szCs w:val="20"/>
                <w:color w:val="auto"/>
              </w:rPr>
            </w:pPr>
            <w:r>
              <w:rPr>
                <w:rFonts w:ascii="Arial" w:cs="Arial" w:eastAsia="Arial" w:hAnsi="Arial"/>
                <w:sz w:val="16"/>
                <w:szCs w:val="16"/>
                <w:color w:val="auto"/>
              </w:rPr>
              <w:t>Alessandro Gili</w:t>
            </w:r>
          </w:p>
        </w:tc>
        <w:tc>
          <w:tcPr>
            <w:tcW w:w="1940" w:type="dxa"/>
            <w:vAlign w:val="bottom"/>
          </w:tcPr>
          <w:p>
            <w:pPr>
              <w:ind w:left="680"/>
              <w:spacing w:after="0"/>
              <w:rPr>
                <w:sz w:val="20"/>
                <w:szCs w:val="20"/>
                <w:color w:val="auto"/>
              </w:rPr>
            </w:pPr>
            <w:r>
              <w:rPr>
                <w:rFonts w:ascii="Arial" w:cs="Arial" w:eastAsia="Arial" w:hAnsi="Arial"/>
                <w:sz w:val="16"/>
                <w:szCs w:val="16"/>
                <w:color w:val="auto"/>
              </w:rPr>
              <w:t>$271,915</w:t>
            </w:r>
          </w:p>
        </w:tc>
        <w:tc>
          <w:tcPr>
            <w:tcW w:w="1200" w:type="dxa"/>
            <w:vAlign w:val="bottom"/>
          </w:tcPr>
          <w:p>
            <w:pPr>
              <w:jc w:val="right"/>
              <w:spacing w:after="0"/>
              <w:rPr>
                <w:sz w:val="20"/>
                <w:szCs w:val="20"/>
                <w:color w:val="auto"/>
              </w:rPr>
            </w:pPr>
            <w:r>
              <w:rPr>
                <w:rFonts w:ascii="Arial" w:cs="Arial" w:eastAsia="Arial" w:hAnsi="Arial"/>
                <w:sz w:val="16"/>
                <w:szCs w:val="16"/>
                <w:color w:val="auto"/>
              </w:rPr>
              <w:t>16,816</w:t>
            </w:r>
          </w:p>
        </w:tc>
      </w:tr>
      <w:tr>
        <w:trPr>
          <w:trHeight w:val="108"/>
        </w:trPr>
        <w:tc>
          <w:tcPr>
            <w:tcW w:w="7880" w:type="dxa"/>
            <w:vAlign w:val="bottom"/>
            <w:tcBorders>
              <w:bottom w:val="single" w:sz="8" w:color="E5E5E5"/>
            </w:tcBorders>
          </w:tcPr>
          <w:p>
            <w:pPr>
              <w:spacing w:after="0"/>
              <w:rPr>
                <w:sz w:val="9"/>
                <w:szCs w:val="9"/>
                <w:color w:val="auto"/>
              </w:rPr>
            </w:pPr>
          </w:p>
        </w:tc>
        <w:tc>
          <w:tcPr>
            <w:tcW w:w="1940" w:type="dxa"/>
            <w:vAlign w:val="bottom"/>
            <w:tcBorders>
              <w:bottom w:val="single" w:sz="8" w:color="E5E5E5"/>
            </w:tcBorders>
          </w:tcPr>
          <w:p>
            <w:pPr>
              <w:spacing w:after="0"/>
              <w:rPr>
                <w:sz w:val="9"/>
                <w:szCs w:val="9"/>
                <w:color w:val="auto"/>
              </w:rPr>
            </w:pPr>
          </w:p>
        </w:tc>
        <w:tc>
          <w:tcPr>
            <w:tcW w:w="1200" w:type="dxa"/>
            <w:vAlign w:val="bottom"/>
            <w:tcBorders>
              <w:bottom w:val="single" w:sz="8" w:color="E5E5E5"/>
            </w:tcBorders>
          </w:tcPr>
          <w:p>
            <w:pPr>
              <w:spacing w:after="0"/>
              <w:rPr>
                <w:sz w:val="9"/>
                <w:szCs w:val="9"/>
                <w:color w:val="auto"/>
              </w:rPr>
            </w:pPr>
          </w:p>
        </w:tc>
      </w:tr>
      <w:tr>
        <w:trPr>
          <w:trHeight w:val="196"/>
        </w:trPr>
        <w:tc>
          <w:tcPr>
            <w:tcW w:w="7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Peter Bracke</w:t>
            </w:r>
          </w:p>
        </w:tc>
        <w:tc>
          <w:tcPr>
            <w:tcW w:w="1940" w:type="dxa"/>
            <w:vAlign w:val="bottom"/>
            <w:shd w:val="clear" w:color="auto" w:fill="E5E5E5"/>
          </w:tcPr>
          <w:p>
            <w:pPr>
              <w:ind w:left="122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103,453</w:t>
            </w:r>
          </w:p>
        </w:tc>
      </w:tr>
      <w:tr>
        <w:trPr>
          <w:trHeight w:val="101"/>
        </w:trPr>
        <w:tc>
          <w:tcPr>
            <w:tcW w:w="7880" w:type="dxa"/>
            <w:vAlign w:val="bottom"/>
            <w:shd w:val="clear" w:color="auto" w:fill="E5E5E5"/>
          </w:tcPr>
          <w:p>
            <w:pPr>
              <w:spacing w:after="0"/>
              <w:rPr>
                <w:sz w:val="8"/>
                <w:szCs w:val="8"/>
                <w:color w:val="auto"/>
              </w:rPr>
            </w:pPr>
          </w:p>
        </w:tc>
        <w:tc>
          <w:tcPr>
            <w:tcW w:w="194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r>
      <w:tr>
        <w:trPr>
          <w:trHeight w:val="223"/>
        </w:trPr>
        <w:tc>
          <w:tcPr>
            <w:tcW w:w="7880" w:type="dxa"/>
            <w:vAlign w:val="bottom"/>
          </w:tcPr>
          <w:p>
            <w:pPr>
              <w:ind w:left="60"/>
              <w:spacing w:after="0"/>
              <w:rPr>
                <w:sz w:val="20"/>
                <w:szCs w:val="20"/>
                <w:color w:val="auto"/>
              </w:rPr>
            </w:pPr>
            <w:r>
              <w:rPr>
                <w:rFonts w:ascii="Arial" w:cs="Arial" w:eastAsia="Arial" w:hAnsi="Arial"/>
                <w:sz w:val="16"/>
                <w:szCs w:val="16"/>
                <w:color w:val="auto"/>
              </w:rPr>
              <w:t>Craig Balis</w:t>
            </w:r>
          </w:p>
        </w:tc>
        <w:tc>
          <w:tcPr>
            <w:tcW w:w="1940" w:type="dxa"/>
            <w:vAlign w:val="bottom"/>
          </w:tcPr>
          <w:p>
            <w:pPr>
              <w:ind w:left="680"/>
              <w:spacing w:after="0"/>
              <w:rPr>
                <w:sz w:val="20"/>
                <w:szCs w:val="20"/>
                <w:color w:val="auto"/>
              </w:rPr>
            </w:pPr>
            <w:r>
              <w:rPr>
                <w:rFonts w:ascii="Arial" w:cs="Arial" w:eastAsia="Arial" w:hAnsi="Arial"/>
                <w:sz w:val="16"/>
                <w:szCs w:val="16"/>
                <w:color w:val="auto"/>
              </w:rPr>
              <w:t>$250,004</w:t>
            </w:r>
          </w:p>
        </w:tc>
        <w:tc>
          <w:tcPr>
            <w:tcW w:w="1200" w:type="dxa"/>
            <w:vAlign w:val="bottom"/>
          </w:tcPr>
          <w:p>
            <w:pPr>
              <w:jc w:val="right"/>
              <w:spacing w:after="0"/>
              <w:rPr>
                <w:sz w:val="20"/>
                <w:szCs w:val="20"/>
                <w:color w:val="auto"/>
              </w:rPr>
            </w:pPr>
            <w:r>
              <w:rPr>
                <w:rFonts w:ascii="Arial" w:cs="Arial" w:eastAsia="Arial" w:hAnsi="Arial"/>
                <w:sz w:val="16"/>
                <w:szCs w:val="16"/>
                <w:color w:val="auto"/>
              </w:rPr>
              <w:t>15,461</w:t>
            </w:r>
          </w:p>
        </w:tc>
      </w:tr>
      <w:tr>
        <w:trPr>
          <w:trHeight w:val="108"/>
        </w:trPr>
        <w:tc>
          <w:tcPr>
            <w:tcW w:w="7880" w:type="dxa"/>
            <w:vAlign w:val="bottom"/>
            <w:tcBorders>
              <w:bottom w:val="single" w:sz="8" w:color="E5E5E5"/>
            </w:tcBorders>
          </w:tcPr>
          <w:p>
            <w:pPr>
              <w:spacing w:after="0"/>
              <w:rPr>
                <w:sz w:val="9"/>
                <w:szCs w:val="9"/>
                <w:color w:val="auto"/>
              </w:rPr>
            </w:pPr>
          </w:p>
        </w:tc>
        <w:tc>
          <w:tcPr>
            <w:tcW w:w="1940" w:type="dxa"/>
            <w:vAlign w:val="bottom"/>
            <w:tcBorders>
              <w:bottom w:val="single" w:sz="8" w:color="E5E5E5"/>
            </w:tcBorders>
          </w:tcPr>
          <w:p>
            <w:pPr>
              <w:spacing w:after="0"/>
              <w:rPr>
                <w:sz w:val="9"/>
                <w:szCs w:val="9"/>
                <w:color w:val="auto"/>
              </w:rPr>
            </w:pPr>
          </w:p>
        </w:tc>
        <w:tc>
          <w:tcPr>
            <w:tcW w:w="1200" w:type="dxa"/>
            <w:vAlign w:val="bottom"/>
            <w:tcBorders>
              <w:bottom w:val="single" w:sz="8" w:color="E5E5E5"/>
            </w:tcBorders>
          </w:tcPr>
          <w:p>
            <w:pPr>
              <w:spacing w:after="0"/>
              <w:rPr>
                <w:sz w:val="9"/>
                <w:szCs w:val="9"/>
                <w:color w:val="auto"/>
              </w:rPr>
            </w:pPr>
          </w:p>
        </w:tc>
      </w:tr>
      <w:tr>
        <w:trPr>
          <w:trHeight w:val="196"/>
        </w:trPr>
        <w:tc>
          <w:tcPr>
            <w:tcW w:w="7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Jérôme Maironi</w:t>
            </w:r>
          </w:p>
        </w:tc>
        <w:tc>
          <w:tcPr>
            <w:tcW w:w="1940" w:type="dxa"/>
            <w:vAlign w:val="bottom"/>
            <w:shd w:val="clear" w:color="auto" w:fill="E5E5E5"/>
          </w:tcPr>
          <w:p>
            <w:pPr>
              <w:ind w:left="680"/>
              <w:spacing w:after="0"/>
              <w:rPr>
                <w:sz w:val="20"/>
                <w:szCs w:val="20"/>
                <w:color w:val="auto"/>
              </w:rPr>
            </w:pPr>
            <w:r>
              <w:rPr>
                <w:rFonts w:ascii="Arial" w:cs="Arial" w:eastAsia="Arial" w:hAnsi="Arial"/>
                <w:sz w:val="16"/>
                <w:szCs w:val="16"/>
                <w:color w:val="auto"/>
              </w:rPr>
              <w:t>$235,015</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14,534</w:t>
            </w:r>
          </w:p>
        </w:tc>
      </w:tr>
      <w:tr>
        <w:trPr>
          <w:trHeight w:val="100"/>
        </w:trPr>
        <w:tc>
          <w:tcPr>
            <w:tcW w:w="7880" w:type="dxa"/>
            <w:vAlign w:val="bottom"/>
            <w:shd w:val="clear" w:color="auto" w:fill="E5E5E5"/>
          </w:tcPr>
          <w:p>
            <w:pPr>
              <w:spacing w:after="0"/>
              <w:rPr>
                <w:sz w:val="8"/>
                <w:szCs w:val="8"/>
                <w:color w:val="auto"/>
              </w:rPr>
            </w:pPr>
          </w:p>
        </w:tc>
        <w:tc>
          <w:tcPr>
            <w:tcW w:w="194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r>
      <w:tr>
        <w:trPr>
          <w:trHeight w:val="224"/>
        </w:trPr>
        <w:tc>
          <w:tcPr>
            <w:tcW w:w="7880" w:type="dxa"/>
            <w:vAlign w:val="bottom"/>
          </w:tcPr>
          <w:p>
            <w:pPr>
              <w:ind w:left="60"/>
              <w:spacing w:after="0"/>
              <w:rPr>
                <w:sz w:val="20"/>
                <w:szCs w:val="20"/>
                <w:color w:val="auto"/>
              </w:rPr>
            </w:pPr>
            <w:r>
              <w:rPr>
                <w:rFonts w:ascii="Arial" w:cs="Arial" w:eastAsia="Arial" w:hAnsi="Arial"/>
                <w:sz w:val="16"/>
                <w:szCs w:val="16"/>
                <w:color w:val="auto"/>
              </w:rPr>
              <w:t>Thierry Mabru</w:t>
            </w:r>
          </w:p>
        </w:tc>
        <w:tc>
          <w:tcPr>
            <w:tcW w:w="1940" w:type="dxa"/>
            <w:vAlign w:val="bottom"/>
          </w:tcPr>
          <w:p>
            <w:pPr>
              <w:ind w:left="680"/>
              <w:spacing w:after="0"/>
              <w:rPr>
                <w:sz w:val="20"/>
                <w:szCs w:val="20"/>
                <w:color w:val="auto"/>
              </w:rPr>
            </w:pPr>
            <w:r>
              <w:rPr>
                <w:rFonts w:ascii="Arial" w:cs="Arial" w:eastAsia="Arial" w:hAnsi="Arial"/>
                <w:sz w:val="16"/>
                <w:szCs w:val="16"/>
                <w:color w:val="auto"/>
              </w:rPr>
              <w:t>$185,001</w:t>
            </w:r>
          </w:p>
        </w:tc>
        <w:tc>
          <w:tcPr>
            <w:tcW w:w="1200" w:type="dxa"/>
            <w:vAlign w:val="bottom"/>
          </w:tcPr>
          <w:p>
            <w:pPr>
              <w:jc w:val="right"/>
              <w:spacing w:after="0"/>
              <w:rPr>
                <w:sz w:val="20"/>
                <w:szCs w:val="20"/>
                <w:color w:val="auto"/>
              </w:rPr>
            </w:pPr>
            <w:r>
              <w:rPr>
                <w:rFonts w:ascii="Arial" w:cs="Arial" w:eastAsia="Arial" w:hAnsi="Arial"/>
                <w:sz w:val="16"/>
                <w:szCs w:val="16"/>
                <w:color w:val="auto"/>
              </w:rPr>
              <w:t>11,441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Bracke received PCUs under the Replacement Plan for 2019 with a value of $103,453.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31</w:t>
      </w:r>
    </w:p>
    <w:p>
      <w:pPr>
        <w:sectPr>
          <w:pgSz w:w="11900" w:h="16838" w:orient="portrait"/>
          <w:cols w:equalWidth="0" w:num="1">
            <w:col w:w="1114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Additionally, pursuant to the Honeywell 2018-2020 Performance Plan, our Named Executive Officers, other than Messrs. Gili and Bracke were entitled to receive grants of Honeywell RSU awards in 2018. Therefore, in connection with the adoption of the Replacement Plan in March 2019, Messrs. Gili and Bracke received an award of 29,396 RSUs and 11,185 RSUs, respectively, which are scheduled to vest in full on March 4, 2021, subject to continued service through each vesting date, consistent with the vesting schedule that applied to the corresponding Honeywell RSUs granted in 2018 to our remaining Named Executive Officers.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2019-2021 Long Term Incentive Plan (“LTI Plan”)</w:t>
      </w:r>
    </w:p>
    <w:p>
      <w:pPr>
        <w:spacing w:after="0" w:line="197" w:lineRule="exact"/>
        <w:rPr>
          <w:sz w:val="20"/>
          <w:szCs w:val="20"/>
          <w:color w:val="auto"/>
        </w:rPr>
      </w:pPr>
    </w:p>
    <w:p>
      <w:pPr>
        <w:jc w:val="both"/>
        <w:ind w:left="120" w:right="380"/>
        <w:spacing w:after="0" w:line="251" w:lineRule="auto"/>
        <w:rPr>
          <w:sz w:val="20"/>
          <w:szCs w:val="20"/>
          <w:color w:val="auto"/>
        </w:rPr>
      </w:pPr>
      <w:r>
        <w:rPr>
          <w:rFonts w:ascii="Arial" w:cs="Arial" w:eastAsia="Arial" w:hAnsi="Arial"/>
          <w:sz w:val="16"/>
          <w:szCs w:val="16"/>
          <w:color w:val="auto"/>
        </w:rPr>
        <w:t>Pursuant to the executives’ offer letters or employment agreements, each of Messrs. Rabiller, Gili, Bracke, Balis, Maironi and Mabru is eligible for an annual grant of equity awards with an initial target opportunity of 350%, 182%, 100%, 200%, 189% and 160%, respectively, of the executive’s annual base salary. Under our 2019-2021 Long-Term Incentive Plan (“LTI Plan”), the Compensation Committee granted awards, 50% in the form of PSUs or PCUs, 25% in the form of Restricted Stock Units (“RSUs”), and 25% in the form of stock options.</w:t>
      </w:r>
    </w:p>
    <w:p>
      <w:pPr>
        <w:spacing w:after="0" w:line="162"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The PSUs and PCUs will vest based on the achievement of Organic Revenue Growth, Adjusted EBITDA and Adjusted Free Cash Flow Conversion, weighted 20%, 40% and 40%, respectively, over a three-year performance period from January 1, 2019 through December 31, 2021. The RSUs will vest in full on the third anniversary of the grant date, subject to continued employment, and the stock options will vest in four equal installments on each of the first four anniversaries of the grant date, subject to continued employment through the applicable vesting date and are exercisable no later than ten years after the grant date. The tables below set forth the number and value of each equity award granted under the LTI Plan.</w:t>
      </w:r>
    </w:p>
    <w:p>
      <w:pPr>
        <w:spacing w:after="0" w:line="176"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In establishing the goals for the PSUs and PCUs under the LTI Plan, Management and the Compensation Committee took note of the duplication of metrics under both the PSUs/PCUs and the 2019 ICP, and carefully considered this factor when implementing the program design. The Compensation Committee weighed this against the benefits of utilizing these metrics for both 2019 annual and long-term incentive awards and ultimately decided to structure both performance-based incentive plans around these key priorities in order to emphasize the importance of delivering on the commitments the Company made to its stockholders in connection with the Spin-Off, which are to drive profitable top-line growth and generate free cash flow to use to deleverage the Company. The Compensation Committee believes these metrics were critical at this time for executing the Company’s near-term strategy. Moving forward, the Compensation Committee has decided to change the measures to be used in 2020 for its annual and long-term incentive awards to address shareholder feedback as explained above in the stockholder outreach section.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made the following grants of PSUs, PCUs, RSUs and stock options under the LTI Plan to our Named Executive Officers.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rPr>
              <w:t>Aggregate</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center"/>
              <w:ind w:right="441"/>
              <w:spacing w:after="0"/>
              <w:rPr>
                <w:sz w:val="20"/>
                <w:szCs w:val="20"/>
                <w:color w:val="auto"/>
              </w:rPr>
            </w:pPr>
            <w:r>
              <w:rPr>
                <w:rFonts w:ascii="Arial" w:cs="Arial" w:eastAsia="Arial" w:hAnsi="Arial"/>
                <w:sz w:val="14"/>
                <w:szCs w:val="14"/>
                <w:color w:val="auto"/>
              </w:rPr>
              <w:t>Dollar-</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color w:val="auto"/>
              </w:rPr>
              <w:t>Denominated</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400" w:type="dxa"/>
            <w:vAlign w:val="bottom"/>
          </w:tcPr>
          <w:p>
            <w:pPr>
              <w:ind w:left="60"/>
              <w:spacing w:after="0"/>
              <w:rPr>
                <w:sz w:val="20"/>
                <w:szCs w:val="20"/>
                <w:color w:val="auto"/>
              </w:rPr>
            </w:pPr>
            <w:r>
              <w:rPr>
                <w:rFonts w:ascii="Arial" w:cs="Arial" w:eastAsia="Arial" w:hAnsi="Arial"/>
                <w:sz w:val="14"/>
                <w:szCs w:val="14"/>
                <w:color w:val="auto"/>
              </w:rPr>
              <w:t>Named Executive Officer</w:t>
            </w:r>
          </w:p>
        </w:tc>
        <w:tc>
          <w:tcPr>
            <w:tcW w:w="580" w:type="dxa"/>
            <w:vAlign w:val="bottom"/>
          </w:tcPr>
          <w:p>
            <w:pPr>
              <w:spacing w:after="0"/>
              <w:rPr>
                <w:sz w:val="14"/>
                <w:szCs w:val="14"/>
                <w:color w:val="auto"/>
              </w:rPr>
            </w:pPr>
          </w:p>
        </w:tc>
        <w:tc>
          <w:tcPr>
            <w:tcW w:w="1100" w:type="dxa"/>
            <w:vAlign w:val="bottom"/>
          </w:tcPr>
          <w:p>
            <w:pPr>
              <w:jc w:val="center"/>
              <w:ind w:right="441"/>
              <w:spacing w:after="0"/>
              <w:rPr>
                <w:sz w:val="20"/>
                <w:szCs w:val="20"/>
                <w:color w:val="auto"/>
              </w:rPr>
            </w:pPr>
            <w:r>
              <w:rPr>
                <w:rFonts w:ascii="Arial" w:cs="Arial" w:eastAsia="Arial" w:hAnsi="Arial"/>
                <w:sz w:val="14"/>
                <w:szCs w:val="14"/>
                <w:color w:val="auto"/>
              </w:rPr>
              <w:t>Value ($)</w:t>
            </w:r>
          </w:p>
        </w:tc>
        <w:tc>
          <w:tcPr>
            <w:tcW w:w="1300" w:type="dxa"/>
            <w:vAlign w:val="bottom"/>
          </w:tcPr>
          <w:p>
            <w:pPr>
              <w:ind w:left="360"/>
              <w:spacing w:after="0"/>
              <w:rPr>
                <w:sz w:val="20"/>
                <w:szCs w:val="20"/>
                <w:color w:val="auto"/>
              </w:rPr>
            </w:pPr>
            <w:r>
              <w:rPr>
                <w:rFonts w:ascii="Arial" w:cs="Arial" w:eastAsia="Arial" w:hAnsi="Arial"/>
                <w:sz w:val="14"/>
                <w:szCs w:val="14"/>
                <w:color w:val="auto"/>
              </w:rPr>
              <w:t>PSUs (#)</w:t>
            </w:r>
          </w:p>
        </w:tc>
        <w:tc>
          <w:tcPr>
            <w:tcW w:w="1200" w:type="dxa"/>
            <w:vAlign w:val="bottom"/>
          </w:tcPr>
          <w:p>
            <w:pPr>
              <w:jc w:val="right"/>
              <w:ind w:right="240"/>
              <w:spacing w:after="0"/>
              <w:rPr>
                <w:sz w:val="20"/>
                <w:szCs w:val="20"/>
                <w:color w:val="auto"/>
              </w:rPr>
            </w:pPr>
            <w:r>
              <w:rPr>
                <w:rFonts w:ascii="Arial" w:cs="Arial" w:eastAsia="Arial" w:hAnsi="Arial"/>
                <w:sz w:val="14"/>
                <w:szCs w:val="14"/>
                <w:color w:val="auto"/>
              </w:rPr>
              <w:t>RSUs (#)</w:t>
            </w:r>
          </w:p>
        </w:tc>
        <w:tc>
          <w:tcPr>
            <w:tcW w:w="1440" w:type="dxa"/>
            <w:vAlign w:val="bottom"/>
          </w:tcPr>
          <w:p>
            <w:pPr>
              <w:jc w:val="right"/>
              <w:spacing w:after="0"/>
              <w:rPr>
                <w:sz w:val="20"/>
                <w:szCs w:val="20"/>
                <w:color w:val="auto"/>
              </w:rPr>
            </w:pPr>
            <w:r>
              <w:rPr>
                <w:rFonts w:ascii="Arial" w:cs="Arial" w:eastAsia="Arial" w:hAnsi="Arial"/>
                <w:sz w:val="14"/>
                <w:szCs w:val="14"/>
                <w:color w:val="auto"/>
              </w:rPr>
              <w:t>Stock Options (#)</w:t>
            </w:r>
          </w:p>
        </w:tc>
      </w:tr>
      <w:tr>
        <w:trPr>
          <w:trHeight w:val="100"/>
        </w:trPr>
        <w:tc>
          <w:tcPr>
            <w:tcW w:w="5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r>
      <w:tr>
        <w:trPr>
          <w:trHeight w:val="210"/>
        </w:trPr>
        <w:tc>
          <w:tcPr>
            <w:tcW w:w="5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Olivier Rabiller</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w w:val="98"/>
              </w:rPr>
              <w:t>3,161,086</w:t>
            </w:r>
          </w:p>
        </w:tc>
        <w:tc>
          <w:tcPr>
            <w:tcW w:w="1300" w:type="dxa"/>
            <w:vAlign w:val="bottom"/>
            <w:shd w:val="clear" w:color="auto" w:fill="E5E5E5"/>
          </w:tcPr>
          <w:p>
            <w:pPr>
              <w:ind w:left="360"/>
              <w:spacing w:after="0"/>
              <w:rPr>
                <w:sz w:val="20"/>
                <w:szCs w:val="20"/>
                <w:color w:val="auto"/>
              </w:rPr>
            </w:pPr>
            <w:r>
              <w:rPr>
                <w:rFonts w:ascii="Arial" w:cs="Arial" w:eastAsia="Arial" w:hAnsi="Arial"/>
                <w:sz w:val="16"/>
                <w:szCs w:val="16"/>
                <w:color w:val="auto"/>
              </w:rPr>
              <w:t>97,745</w:t>
            </w:r>
          </w:p>
        </w:tc>
        <w:tc>
          <w:tcPr>
            <w:tcW w:w="120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48,873</w:t>
            </w:r>
          </w:p>
        </w:tc>
        <w:tc>
          <w:tcPr>
            <w:tcW w:w="14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108,554</w:t>
            </w:r>
          </w:p>
        </w:tc>
      </w:tr>
      <w:tr>
        <w:trPr>
          <w:trHeight w:val="100"/>
        </w:trPr>
        <w:tc>
          <w:tcPr>
            <w:tcW w:w="540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100" w:type="dxa"/>
            <w:vAlign w:val="bottom"/>
            <w:shd w:val="clear" w:color="auto" w:fill="E5E5E5"/>
          </w:tcPr>
          <w:p>
            <w:pPr>
              <w:spacing w:after="0"/>
              <w:rPr>
                <w:sz w:val="8"/>
                <w:szCs w:val="8"/>
                <w:color w:val="auto"/>
              </w:rPr>
            </w:pPr>
          </w:p>
        </w:tc>
        <w:tc>
          <w:tcPr>
            <w:tcW w:w="130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c>
          <w:tcPr>
            <w:tcW w:w="1440" w:type="dxa"/>
            <w:vAlign w:val="bottom"/>
            <w:shd w:val="clear" w:color="auto" w:fill="E5E5E5"/>
          </w:tcPr>
          <w:p>
            <w:pPr>
              <w:spacing w:after="0"/>
              <w:rPr>
                <w:sz w:val="8"/>
                <w:szCs w:val="8"/>
                <w:color w:val="auto"/>
              </w:rPr>
            </w:pP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color w:val="auto"/>
              </w:rPr>
              <w:t>Alessandro Gili</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01"/>
              <w:spacing w:after="0"/>
              <w:rPr>
                <w:sz w:val="20"/>
                <w:szCs w:val="20"/>
                <w:color w:val="auto"/>
              </w:rPr>
            </w:pPr>
            <w:r>
              <w:rPr>
                <w:rFonts w:ascii="Arial" w:cs="Arial" w:eastAsia="Arial" w:hAnsi="Arial"/>
                <w:sz w:val="16"/>
                <w:szCs w:val="16"/>
                <w:color w:val="auto"/>
                <w:w w:val="98"/>
              </w:rPr>
              <w:t>1,001,023</w:t>
            </w:r>
          </w:p>
        </w:tc>
        <w:tc>
          <w:tcPr>
            <w:tcW w:w="1300" w:type="dxa"/>
            <w:vAlign w:val="bottom"/>
          </w:tcPr>
          <w:p>
            <w:pPr>
              <w:ind w:left="360"/>
              <w:spacing w:after="0"/>
              <w:rPr>
                <w:sz w:val="20"/>
                <w:szCs w:val="20"/>
                <w:color w:val="auto"/>
              </w:rPr>
            </w:pPr>
            <w:r>
              <w:rPr>
                <w:rFonts w:ascii="Arial" w:cs="Arial" w:eastAsia="Arial" w:hAnsi="Arial"/>
                <w:sz w:val="16"/>
                <w:szCs w:val="16"/>
                <w:color w:val="auto"/>
              </w:rPr>
              <w:t>30,953</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15,477</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34,375</w:t>
            </w:r>
          </w:p>
        </w:tc>
      </w:tr>
      <w:tr>
        <w:trPr>
          <w:trHeight w:val="101"/>
        </w:trPr>
        <w:tc>
          <w:tcPr>
            <w:tcW w:w="5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23"/>
        </w:trPr>
        <w:tc>
          <w:tcPr>
            <w:tcW w:w="5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Peter Bracke</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365,245</w:t>
            </w:r>
          </w:p>
        </w:tc>
        <w:tc>
          <w:tcPr>
            <w:tcW w:w="1300" w:type="dxa"/>
            <w:vAlign w:val="bottom"/>
            <w:shd w:val="clear" w:color="auto" w:fill="E5E5E5"/>
          </w:tcPr>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(1)</w:t>
            </w:r>
          </w:p>
        </w:tc>
        <w:tc>
          <w:tcPr>
            <w:tcW w:w="120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5,647</w:t>
            </w:r>
          </w:p>
        </w:tc>
        <w:tc>
          <w:tcPr>
            <w:tcW w:w="14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12,543</w:t>
            </w:r>
          </w:p>
        </w:tc>
      </w:tr>
      <w:tr>
        <w:trPr>
          <w:trHeight w:val="100"/>
        </w:trPr>
        <w:tc>
          <w:tcPr>
            <w:tcW w:w="540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100" w:type="dxa"/>
            <w:vAlign w:val="bottom"/>
            <w:shd w:val="clear" w:color="auto" w:fill="E5E5E5"/>
          </w:tcPr>
          <w:p>
            <w:pPr>
              <w:spacing w:after="0"/>
              <w:rPr>
                <w:sz w:val="8"/>
                <w:szCs w:val="8"/>
                <w:color w:val="auto"/>
              </w:rPr>
            </w:pPr>
          </w:p>
        </w:tc>
        <w:tc>
          <w:tcPr>
            <w:tcW w:w="130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c>
          <w:tcPr>
            <w:tcW w:w="1440" w:type="dxa"/>
            <w:vAlign w:val="bottom"/>
            <w:shd w:val="clear" w:color="auto" w:fill="E5E5E5"/>
          </w:tcPr>
          <w:p>
            <w:pPr>
              <w:spacing w:after="0"/>
              <w:rPr>
                <w:sz w:val="8"/>
                <w:szCs w:val="8"/>
                <w:color w:val="auto"/>
              </w:rPr>
            </w:pP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color w:val="auto"/>
              </w:rPr>
              <w:t>Craig Balis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802,848</w:t>
            </w:r>
          </w:p>
        </w:tc>
        <w:tc>
          <w:tcPr>
            <w:tcW w:w="1300" w:type="dxa"/>
            <w:vAlign w:val="bottom"/>
          </w:tcPr>
          <w:p>
            <w:pPr>
              <w:ind w:left="360"/>
              <w:spacing w:after="0"/>
              <w:rPr>
                <w:sz w:val="20"/>
                <w:szCs w:val="20"/>
                <w:color w:val="auto"/>
              </w:rPr>
            </w:pPr>
            <w:r>
              <w:rPr>
                <w:rFonts w:ascii="Arial" w:cs="Arial" w:eastAsia="Arial" w:hAnsi="Arial"/>
                <w:sz w:val="16"/>
                <w:szCs w:val="16"/>
                <w:color w:val="auto"/>
              </w:rPr>
              <w:t>24,825</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12,413</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27,570</w:t>
            </w:r>
          </w:p>
        </w:tc>
      </w:tr>
      <w:tr>
        <w:trPr>
          <w:trHeight w:val="101"/>
        </w:trPr>
        <w:tc>
          <w:tcPr>
            <w:tcW w:w="5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23"/>
        </w:trPr>
        <w:tc>
          <w:tcPr>
            <w:tcW w:w="5400" w:type="dxa"/>
            <w:vAlign w:val="bottom"/>
            <w:shd w:val="clear" w:color="auto" w:fill="E5E5E5"/>
          </w:tcPr>
          <w:p>
            <w:pPr>
              <w:ind w:left="60"/>
              <w:spacing w:after="0"/>
              <w:rPr>
                <w:sz w:val="20"/>
                <w:szCs w:val="20"/>
                <w:color w:val="auto"/>
              </w:rPr>
            </w:pPr>
            <w:r>
              <w:rPr>
                <w:rFonts w:ascii="Arial" w:cs="Arial" w:eastAsia="Arial" w:hAnsi="Arial"/>
                <w:sz w:val="16"/>
                <w:szCs w:val="16"/>
                <w:color w:val="auto"/>
              </w:rPr>
              <w:t>Jérôme Maironi</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853,515</w:t>
            </w:r>
          </w:p>
        </w:tc>
        <w:tc>
          <w:tcPr>
            <w:tcW w:w="1300" w:type="dxa"/>
            <w:vAlign w:val="bottom"/>
            <w:shd w:val="clear" w:color="auto" w:fill="E5E5E5"/>
          </w:tcPr>
          <w:p>
            <w:pPr>
              <w:ind w:left="360"/>
              <w:spacing w:after="0"/>
              <w:rPr>
                <w:sz w:val="20"/>
                <w:szCs w:val="20"/>
                <w:color w:val="auto"/>
              </w:rPr>
            </w:pPr>
            <w:r>
              <w:rPr>
                <w:rFonts w:ascii="Arial" w:cs="Arial" w:eastAsia="Arial" w:hAnsi="Arial"/>
                <w:sz w:val="16"/>
                <w:szCs w:val="16"/>
                <w:color w:val="auto"/>
              </w:rPr>
              <w:t>26,392</w:t>
            </w:r>
          </w:p>
        </w:tc>
        <w:tc>
          <w:tcPr>
            <w:tcW w:w="1200" w:type="dxa"/>
            <w:vAlign w:val="bottom"/>
            <w:shd w:val="clear" w:color="auto" w:fill="E5E5E5"/>
          </w:tcPr>
          <w:p>
            <w:pPr>
              <w:jc w:val="right"/>
              <w:ind w:right="220"/>
              <w:spacing w:after="0"/>
              <w:rPr>
                <w:sz w:val="20"/>
                <w:szCs w:val="20"/>
                <w:color w:val="auto"/>
              </w:rPr>
            </w:pPr>
            <w:r>
              <w:rPr>
                <w:rFonts w:ascii="Arial" w:cs="Arial" w:eastAsia="Arial" w:hAnsi="Arial"/>
                <w:sz w:val="16"/>
                <w:szCs w:val="16"/>
                <w:color w:val="auto"/>
              </w:rPr>
              <w:t>13,196</w:t>
            </w:r>
          </w:p>
        </w:tc>
        <w:tc>
          <w:tcPr>
            <w:tcW w:w="144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29,310</w:t>
            </w:r>
          </w:p>
        </w:tc>
      </w:tr>
      <w:tr>
        <w:trPr>
          <w:trHeight w:val="100"/>
        </w:trPr>
        <w:tc>
          <w:tcPr>
            <w:tcW w:w="540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100" w:type="dxa"/>
            <w:vAlign w:val="bottom"/>
            <w:shd w:val="clear" w:color="auto" w:fill="E5E5E5"/>
          </w:tcPr>
          <w:p>
            <w:pPr>
              <w:spacing w:after="0"/>
              <w:rPr>
                <w:sz w:val="8"/>
                <w:szCs w:val="8"/>
                <w:color w:val="auto"/>
              </w:rPr>
            </w:pPr>
          </w:p>
        </w:tc>
        <w:tc>
          <w:tcPr>
            <w:tcW w:w="1300" w:type="dxa"/>
            <w:vAlign w:val="bottom"/>
            <w:shd w:val="clear" w:color="auto" w:fill="E5E5E5"/>
          </w:tcPr>
          <w:p>
            <w:pPr>
              <w:spacing w:after="0"/>
              <w:rPr>
                <w:sz w:val="8"/>
                <w:szCs w:val="8"/>
                <w:color w:val="auto"/>
              </w:rPr>
            </w:pPr>
          </w:p>
        </w:tc>
        <w:tc>
          <w:tcPr>
            <w:tcW w:w="1200" w:type="dxa"/>
            <w:vAlign w:val="bottom"/>
            <w:shd w:val="clear" w:color="auto" w:fill="E5E5E5"/>
          </w:tcPr>
          <w:p>
            <w:pPr>
              <w:spacing w:after="0"/>
              <w:rPr>
                <w:sz w:val="8"/>
                <w:szCs w:val="8"/>
                <w:color w:val="auto"/>
              </w:rPr>
            </w:pPr>
          </w:p>
        </w:tc>
        <w:tc>
          <w:tcPr>
            <w:tcW w:w="1440" w:type="dxa"/>
            <w:vAlign w:val="bottom"/>
            <w:shd w:val="clear" w:color="auto" w:fill="E5E5E5"/>
          </w:tcPr>
          <w:p>
            <w:pPr>
              <w:spacing w:after="0"/>
              <w:rPr>
                <w:sz w:val="8"/>
                <w:szCs w:val="8"/>
                <w:color w:val="auto"/>
              </w:rPr>
            </w:pP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color w:val="auto"/>
              </w:rPr>
              <w:t>Thierry Mabru</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650,289</w:t>
            </w:r>
          </w:p>
        </w:tc>
        <w:tc>
          <w:tcPr>
            <w:tcW w:w="1300" w:type="dxa"/>
            <w:vAlign w:val="bottom"/>
          </w:tcPr>
          <w:p>
            <w:pPr>
              <w:ind w:left="360"/>
              <w:spacing w:after="0"/>
              <w:rPr>
                <w:sz w:val="20"/>
                <w:szCs w:val="20"/>
                <w:color w:val="auto"/>
              </w:rPr>
            </w:pPr>
            <w:r>
              <w:rPr>
                <w:rFonts w:ascii="Arial" w:cs="Arial" w:eastAsia="Arial" w:hAnsi="Arial"/>
                <w:sz w:val="16"/>
                <w:szCs w:val="16"/>
                <w:color w:val="auto"/>
              </w:rPr>
              <w:t>20,108</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10,054</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22,331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0"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Bracke received PCUs under the LTI Plan for 2019 with a value of $182,620.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32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160"/>
        <w:spacing w:after="0" w:line="263" w:lineRule="auto"/>
        <w:rPr>
          <w:sz w:val="20"/>
          <w:szCs w:val="20"/>
          <w:color w:val="auto"/>
        </w:rPr>
      </w:pPr>
      <w:r>
        <w:rPr>
          <w:rFonts w:ascii="Arial" w:cs="Arial" w:eastAsia="Arial" w:hAnsi="Arial"/>
          <w:sz w:val="16"/>
          <w:szCs w:val="16"/>
          <w:i w:val="1"/>
          <w:iCs w:val="1"/>
          <w:color w:val="auto"/>
        </w:rPr>
        <w:t xml:space="preserve">Other Equity Grants. </w:t>
      </w:r>
      <w:r>
        <w:rPr>
          <w:rFonts w:ascii="Arial" w:cs="Arial" w:eastAsia="Arial" w:hAnsi="Arial"/>
          <w:sz w:val="16"/>
          <w:szCs w:val="16"/>
          <w:color w:val="auto"/>
        </w:rPr>
        <w:t>In addition, in September 2019 the Compensation Committee approved a grant of RSUs to Mr. Bracke, in connection with his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as Interim Chief Financial Officer, with a dollar-denominated value of $200,004. The RSUs will vest in full on the second anniversary of the grant date, subject to his continued employment.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Other Company Compensation and Benefit Programs for Fiscal 2019</w:t>
      </w:r>
    </w:p>
    <w:p>
      <w:pPr>
        <w:spacing w:after="0" w:line="196"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In addition to the annual and long-term compensation programs described above, we provided the Named Executive Officers with benefits and limited perquisites consistent with those provided to other Company executives, as described below.</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Severance Benefits</w:t>
      </w:r>
    </w:p>
    <w:p>
      <w:pPr>
        <w:ind w:left="120" w:right="40"/>
        <w:spacing w:after="0" w:line="248" w:lineRule="auto"/>
        <w:rPr>
          <w:sz w:val="20"/>
          <w:szCs w:val="20"/>
          <w:color w:val="auto"/>
        </w:rPr>
      </w:pPr>
      <w:r>
        <w:rPr>
          <w:rFonts w:ascii="Arial" w:cs="Arial" w:eastAsia="Arial" w:hAnsi="Arial"/>
          <w:sz w:val="16"/>
          <w:szCs w:val="16"/>
          <w:color w:val="auto"/>
        </w:rPr>
        <w:t>Certain of our Named Executive Officers’ employment agreements and offer letters provide that the executive is eligible to receive severance payments upon a qualifying involuntary termination of employment, including in connection with a change in control of our Company (as opposed to solely upon a “single-trigger” change in control). Additionally, we maintain a severance policy under which our Named Executive Officers are eligible to receive severance payments and benefits upon a qualifying termination, including in connection with a change in control. We believe that these protections serve to encourage continued attention and dedication to duties without distraction arising from the possibility of a change in control, and provide the business with a smooth transition in the event of such a termination of employment in connection with a transaction. These severance and change in control arrangements are designed to retain certain of our executives in these key positions as we compete for talented executives in the marketplace where such protections are commonly offered. For a detailed description of the severance provisions contained in our Named Executive Officers’ employment agreements and offer letters and our severance policy, see “Summary of Potential Payments and Benefits—Termination Events” below.</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Garrett Supplemental Savings Plan</w:t>
      </w:r>
    </w:p>
    <w:p>
      <w:pPr>
        <w:ind w:left="120"/>
        <w:spacing w:after="0" w:line="248" w:lineRule="auto"/>
        <w:rPr>
          <w:sz w:val="20"/>
          <w:szCs w:val="20"/>
          <w:color w:val="auto"/>
        </w:rPr>
      </w:pPr>
      <w:r>
        <w:rPr>
          <w:rFonts w:ascii="Arial" w:cs="Arial" w:eastAsia="Arial" w:hAnsi="Arial"/>
          <w:sz w:val="16"/>
          <w:szCs w:val="16"/>
          <w:color w:val="auto"/>
        </w:rPr>
        <w:t>We maintain the Garrett Supplemental Savings Plan for our executives in the United States. This plan provides our executives with the opportunity to defer pre-tax compensation and incentive compensation that cannot be contributed to our 401(k) savings plan due to IRS limitations. These amounts may be matched by Garrett, and the amount of such matching contributions are at our discretion. Matching contributions, if any, are immediately vested. Deferred compensation balances earn interest through the Fidelity U.S. Bond Index Fund, which is subject to change on a daily basis. This plan is explained in detail in the section entitled “Nonqualified Deferred Compensation—Fiscal Year 2019.” Mr. Balis does not actively contribute to the plan (and we are not actively making any matching contributions to his account); however, his account continues to earn interest under the plan. Mr. Balis elected to receive benefits under this plan in a lump sum, which amount will be paid on the later of six months or in January of the year following his separation from service.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Retirement Plan</w:t>
      </w:r>
    </w:p>
    <w:p>
      <w:pPr>
        <w:ind w:left="120" w:right="280"/>
        <w:spacing w:after="0" w:line="260" w:lineRule="auto"/>
        <w:rPr>
          <w:sz w:val="20"/>
          <w:szCs w:val="20"/>
          <w:color w:val="auto"/>
        </w:rPr>
      </w:pPr>
      <w:r>
        <w:rPr>
          <w:rFonts w:ascii="Arial" w:cs="Arial" w:eastAsia="Arial" w:hAnsi="Arial"/>
          <w:sz w:val="16"/>
          <w:szCs w:val="16"/>
          <w:color w:val="auto"/>
        </w:rPr>
        <w:t>Beginning in 2019, the Named Executive Officers were eligible to participate in Garrett’s pension plan sponsored in Switzerland and named “Columna Sammelstiftung Client Invest Winterthur”. For a detailed description of Garrett’s Swiss pension plan, see “Pension-Benefits-Fiscal Year 2019” below.</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Comprehensive Benefits Package</w:t>
      </w:r>
    </w:p>
    <w:p>
      <w:pPr>
        <w:ind w:left="120"/>
        <w:spacing w:after="0"/>
        <w:rPr>
          <w:sz w:val="20"/>
          <w:szCs w:val="20"/>
          <w:color w:val="auto"/>
        </w:rPr>
      </w:pPr>
      <w:r>
        <w:rPr>
          <w:rFonts w:ascii="Arial" w:cs="Arial" w:eastAsia="Arial" w:hAnsi="Arial"/>
          <w:sz w:val="16"/>
          <w:szCs w:val="16"/>
          <w:color w:val="auto"/>
        </w:rPr>
        <w:t>We provide a competitive benefits package to all full-time employees, including the Named Executive Officers, that includes life insurance benefits.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Benefits and Perquisites</w:t>
      </w:r>
    </w:p>
    <w:p>
      <w:pPr>
        <w:jc w:val="both"/>
        <w:ind w:left="120" w:right="220"/>
        <w:spacing w:after="0" w:line="253" w:lineRule="auto"/>
        <w:rPr>
          <w:sz w:val="20"/>
          <w:szCs w:val="20"/>
          <w:color w:val="auto"/>
        </w:rPr>
      </w:pPr>
      <w:r>
        <w:rPr>
          <w:rFonts w:ascii="Arial" w:cs="Arial" w:eastAsia="Arial" w:hAnsi="Arial"/>
          <w:sz w:val="16"/>
          <w:szCs w:val="16"/>
          <w:color w:val="auto"/>
        </w:rPr>
        <w:t>In 2019, the Named Executive Officers were eligible for benefits under the Company’s car policy (in the form of a company car or cash allowance) as it generally applies to executives in Switzerland, as well as reimbursements associated with legal representation, family, tax, legal and financial planning expenses. In 2019, we also provided Mr. Maironi with relocation assistance in connection with his relocation to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6254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33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Compensation Components</w:t>
      </w:r>
    </w:p>
    <w:p>
      <w:pPr>
        <w:ind w:left="120" w:right="40"/>
        <w:spacing w:after="0" w:line="251" w:lineRule="auto"/>
        <w:rPr>
          <w:sz w:val="20"/>
          <w:szCs w:val="20"/>
          <w:color w:val="auto"/>
        </w:rPr>
      </w:pPr>
      <w:r>
        <w:rPr>
          <w:rFonts w:ascii="Arial" w:cs="Arial" w:eastAsia="Arial" w:hAnsi="Arial"/>
          <w:sz w:val="16"/>
          <w:szCs w:val="16"/>
          <w:color w:val="auto"/>
        </w:rPr>
        <w:t>In the future, we may provide different and/or additional compensation components, benefits and/or perquisites to our Named Executive Officers to ensure that we provide a balanced and comprehensive compensation structure. We believe that it is important to maintain flexibility to adapt our compensation structure to properly attract, motivate and retain the top executive talent for which we compete. All future practices regarding compensation components, benefits and/or perquisites will be subject to periodic review by the Compensation Committee.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Certain Honeywell Compensation and Benefit Programs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Honeywell Transportation Systems Retention Program</w:t>
      </w:r>
    </w:p>
    <w:p>
      <w:pPr>
        <w:ind w:left="120" w:right="80"/>
        <w:spacing w:after="0" w:line="247" w:lineRule="auto"/>
        <w:rPr>
          <w:sz w:val="20"/>
          <w:szCs w:val="20"/>
          <w:color w:val="auto"/>
        </w:rPr>
      </w:pPr>
      <w:r>
        <w:rPr>
          <w:rFonts w:ascii="Arial" w:cs="Arial" w:eastAsia="Arial" w:hAnsi="Arial"/>
          <w:sz w:val="16"/>
          <w:szCs w:val="16"/>
          <w:color w:val="auto"/>
        </w:rPr>
        <w:t>In 2016, prior to the Spin-Off, certain of the Named Executive Officers were eligible to participate in Honeywell’s employee retention program for key employees of Honeywell Transportation Systems pursuant to a retention letter entered into between the Named Executive Officer and Honeywell. Under the retention program, participants were eligible to receive a retention payment, payable in two installments, at the completion of each retention period, beginning on December 9, 2016 and ending on (i) February 28, 2018, for the first installment, and (ii) February 28, 2019, for the second installment. Based on individual and Honeywell or Company performance, as applicable, during the period between December 9, 2016 and February 28, 2019, the Company may increase the retention payments by up to 100%. Receipt of each installment of the retention payment was conditioned upon the Named Executive Officer’s continued employment through the end of each retention period and the Named Executive Officer meeting certain performance standards, as set forth in the executive’s applicable retention letter. In 2017, pursuant to an offer letter entered into between Mr. Bracke and Honeywell, Mr. Bracke was entitled to receive $110,668, subject to the completion of the Spin-Off, the achievement of company and individual performance objectives, and Mr. Bracke’s continued employment for 90 days after the Spin-Off. Mr. Bracke was also entitled to such amount upon a termination by the company other than for cause prior to the end of such 90-day period.</w:t>
      </w:r>
    </w:p>
    <w:p>
      <w:pPr>
        <w:spacing w:after="0" w:line="172"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In connection with the Spin-Off, the Company assumed Honeywell’s obligations with respect to the retention payment for the retention period ending February 28, 2019. The following table sets forth the minimum and maximum retention payment opportunity for each installment, as well as the cash payment received for the retention period ending February 28, 2019, for the Named Executive Officers eligible to participate in this opportunity, as well as Mr. Bracke’s retention payment pursuant to his letter agreement.</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580" w:type="dxa"/>
            <w:vAlign w:val="bottom"/>
          </w:tcPr>
          <w:p>
            <w:pPr>
              <w:jc w:val="right"/>
              <w:ind w:right="282"/>
              <w:spacing w:after="0"/>
              <w:rPr>
                <w:sz w:val="20"/>
                <w:szCs w:val="20"/>
                <w:color w:val="auto"/>
              </w:rPr>
            </w:pPr>
            <w:r>
              <w:rPr>
                <w:rFonts w:ascii="Arial" w:cs="Arial" w:eastAsia="Arial" w:hAnsi="Arial"/>
                <w:sz w:val="14"/>
                <w:szCs w:val="14"/>
                <w:color w:val="auto"/>
              </w:rPr>
              <w:t>Minimum</w:t>
            </w:r>
          </w:p>
        </w:tc>
        <w:tc>
          <w:tcPr>
            <w:tcW w:w="1320" w:type="dxa"/>
            <w:vAlign w:val="bottom"/>
          </w:tcPr>
          <w:p>
            <w:pPr>
              <w:jc w:val="right"/>
              <w:ind w:right="262"/>
              <w:spacing w:after="0"/>
              <w:rPr>
                <w:sz w:val="20"/>
                <w:szCs w:val="20"/>
                <w:color w:val="auto"/>
              </w:rPr>
            </w:pPr>
            <w:r>
              <w:rPr>
                <w:rFonts w:ascii="Arial" w:cs="Arial" w:eastAsia="Arial" w:hAnsi="Arial"/>
                <w:sz w:val="14"/>
                <w:szCs w:val="14"/>
                <w:color w:val="auto"/>
              </w:rPr>
              <w:t>Maximum</w:t>
            </w:r>
          </w:p>
        </w:tc>
        <w:tc>
          <w:tcPr>
            <w:tcW w:w="1260" w:type="dxa"/>
            <w:vAlign w:val="bottom"/>
          </w:tcPr>
          <w:p>
            <w:pPr>
              <w:jc w:val="right"/>
              <w:spacing w:after="0"/>
              <w:rPr>
                <w:sz w:val="20"/>
                <w:szCs w:val="20"/>
                <w:color w:val="auto"/>
              </w:rPr>
            </w:pPr>
            <w:r>
              <w:rPr>
                <w:rFonts w:ascii="Arial" w:cs="Arial" w:eastAsia="Arial" w:hAnsi="Arial"/>
                <w:sz w:val="14"/>
                <w:szCs w:val="14"/>
                <w:color w:val="auto"/>
              </w:rPr>
              <w:t>2019 Retention</w:t>
            </w:r>
          </w:p>
        </w:tc>
      </w:tr>
      <w:tr>
        <w:trPr>
          <w:trHeight w:val="172"/>
        </w:trPr>
        <w:tc>
          <w:tcPr>
            <w:tcW w:w="6860" w:type="dxa"/>
            <w:vAlign w:val="bottom"/>
          </w:tcPr>
          <w:p>
            <w:pPr>
              <w:ind w:left="60"/>
              <w:spacing w:after="0"/>
              <w:rPr>
                <w:sz w:val="20"/>
                <w:szCs w:val="20"/>
                <w:color w:val="auto"/>
              </w:rPr>
            </w:pPr>
            <w:r>
              <w:rPr>
                <w:rFonts w:ascii="Arial" w:cs="Arial" w:eastAsia="Arial" w:hAnsi="Arial"/>
                <w:sz w:val="14"/>
                <w:szCs w:val="14"/>
                <w:color w:val="auto"/>
              </w:rPr>
              <w:t>Named Executive Officer</w:t>
            </w:r>
          </w:p>
        </w:tc>
        <w:tc>
          <w:tcPr>
            <w:tcW w:w="1580" w:type="dxa"/>
            <w:vAlign w:val="bottom"/>
          </w:tcPr>
          <w:p>
            <w:pPr>
              <w:jc w:val="right"/>
              <w:ind w:right="182"/>
              <w:spacing w:after="0"/>
              <w:rPr>
                <w:sz w:val="20"/>
                <w:szCs w:val="20"/>
                <w:color w:val="auto"/>
              </w:rPr>
            </w:pPr>
            <w:r>
              <w:rPr>
                <w:rFonts w:ascii="Arial" w:cs="Arial" w:eastAsia="Arial" w:hAnsi="Arial"/>
                <w:sz w:val="14"/>
                <w:szCs w:val="14"/>
                <w:color w:val="auto"/>
              </w:rPr>
              <w:t>Payment ($)</w:t>
            </w:r>
          </w:p>
        </w:tc>
        <w:tc>
          <w:tcPr>
            <w:tcW w:w="1320" w:type="dxa"/>
            <w:vAlign w:val="bottom"/>
          </w:tcPr>
          <w:p>
            <w:pPr>
              <w:jc w:val="right"/>
              <w:ind w:right="182"/>
              <w:spacing w:after="0"/>
              <w:rPr>
                <w:sz w:val="20"/>
                <w:szCs w:val="20"/>
                <w:color w:val="auto"/>
              </w:rPr>
            </w:pPr>
            <w:r>
              <w:rPr>
                <w:rFonts w:ascii="Arial" w:cs="Arial" w:eastAsia="Arial" w:hAnsi="Arial"/>
                <w:sz w:val="14"/>
                <w:szCs w:val="14"/>
                <w:color w:val="auto"/>
              </w:rPr>
              <w:t>Payment ($)</w:t>
            </w:r>
          </w:p>
        </w:tc>
        <w:tc>
          <w:tcPr>
            <w:tcW w:w="1260" w:type="dxa"/>
            <w:vAlign w:val="bottom"/>
          </w:tcPr>
          <w:p>
            <w:pPr>
              <w:jc w:val="right"/>
              <w:ind w:right="22"/>
              <w:spacing w:after="0"/>
              <w:rPr>
                <w:sz w:val="20"/>
                <w:szCs w:val="20"/>
                <w:color w:val="auto"/>
              </w:rPr>
            </w:pPr>
            <w:r>
              <w:rPr>
                <w:rFonts w:ascii="Arial" w:cs="Arial" w:eastAsia="Arial" w:hAnsi="Arial"/>
                <w:sz w:val="14"/>
                <w:szCs w:val="14"/>
                <w:color w:val="auto"/>
              </w:rPr>
              <w:t>Payment ($)</w:t>
            </w:r>
          </w:p>
        </w:tc>
      </w:tr>
      <w:tr>
        <w:trPr>
          <w:trHeight w:val="100"/>
        </w:trPr>
        <w:tc>
          <w:tcPr>
            <w:tcW w:w="68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r>
        <w:trPr>
          <w:trHeight w:val="210"/>
        </w:trPr>
        <w:tc>
          <w:tcPr>
            <w:tcW w:w="6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Olivier Rabiller</w:t>
            </w:r>
          </w:p>
        </w:tc>
        <w:tc>
          <w:tcPr>
            <w:tcW w:w="158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rPr>
              <w:t>150,006</w:t>
            </w:r>
          </w:p>
        </w:tc>
        <w:tc>
          <w:tcPr>
            <w:tcW w:w="132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rPr>
              <w:t>300,012</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276,011</w:t>
            </w:r>
          </w:p>
        </w:tc>
      </w:tr>
      <w:tr>
        <w:trPr>
          <w:trHeight w:val="100"/>
        </w:trPr>
        <w:tc>
          <w:tcPr>
            <w:tcW w:w="6860" w:type="dxa"/>
            <w:vAlign w:val="bottom"/>
            <w:shd w:val="clear" w:color="auto" w:fill="E5E5E5"/>
          </w:tcPr>
          <w:p>
            <w:pPr>
              <w:spacing w:after="0"/>
              <w:rPr>
                <w:sz w:val="8"/>
                <w:szCs w:val="8"/>
                <w:color w:val="auto"/>
              </w:rPr>
            </w:pPr>
          </w:p>
        </w:tc>
        <w:tc>
          <w:tcPr>
            <w:tcW w:w="1580" w:type="dxa"/>
            <w:vAlign w:val="bottom"/>
            <w:shd w:val="clear" w:color="auto" w:fill="E5E5E5"/>
          </w:tcPr>
          <w:p>
            <w:pPr>
              <w:spacing w:after="0"/>
              <w:rPr>
                <w:sz w:val="8"/>
                <w:szCs w:val="8"/>
                <w:color w:val="auto"/>
              </w:rPr>
            </w:pPr>
          </w:p>
        </w:tc>
        <w:tc>
          <w:tcPr>
            <w:tcW w:w="1320" w:type="dxa"/>
            <w:vAlign w:val="bottom"/>
            <w:shd w:val="clear" w:color="auto" w:fill="E5E5E5"/>
          </w:tcPr>
          <w:p>
            <w:pPr>
              <w:spacing w:after="0"/>
              <w:rPr>
                <w:sz w:val="8"/>
                <w:szCs w:val="8"/>
                <w:color w:val="auto"/>
              </w:rPr>
            </w:pPr>
          </w:p>
        </w:tc>
        <w:tc>
          <w:tcPr>
            <w:tcW w:w="1260" w:type="dxa"/>
            <w:vAlign w:val="bottom"/>
            <w:shd w:val="clear" w:color="auto" w:fill="E5E5E5"/>
          </w:tcPr>
          <w:p>
            <w:pPr>
              <w:spacing w:after="0"/>
              <w:rPr>
                <w:sz w:val="8"/>
                <w:szCs w:val="8"/>
                <w:color w:val="auto"/>
              </w:rPr>
            </w:pPr>
          </w:p>
        </w:tc>
      </w:tr>
      <w:tr>
        <w:trPr>
          <w:trHeight w:val="223"/>
        </w:trPr>
        <w:tc>
          <w:tcPr>
            <w:tcW w:w="6860" w:type="dxa"/>
            <w:vAlign w:val="bottom"/>
          </w:tcPr>
          <w:p>
            <w:pPr>
              <w:ind w:left="60"/>
              <w:spacing w:after="0"/>
              <w:rPr>
                <w:sz w:val="20"/>
                <w:szCs w:val="20"/>
                <w:color w:val="auto"/>
              </w:rPr>
            </w:pPr>
            <w:r>
              <w:rPr>
                <w:rFonts w:ascii="Arial" w:cs="Arial" w:eastAsia="Arial" w:hAnsi="Arial"/>
                <w:sz w:val="16"/>
                <w:szCs w:val="16"/>
                <w:color w:val="auto"/>
              </w:rPr>
              <w:t>Peter Bracke</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110,668</w:t>
            </w:r>
          </w:p>
        </w:tc>
      </w:tr>
      <w:tr>
        <w:trPr>
          <w:trHeight w:val="100"/>
        </w:trPr>
        <w:tc>
          <w:tcPr>
            <w:tcW w:w="6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24"/>
        </w:trPr>
        <w:tc>
          <w:tcPr>
            <w:tcW w:w="6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Craig Balis</w:t>
            </w:r>
          </w:p>
        </w:tc>
        <w:tc>
          <w:tcPr>
            <w:tcW w:w="158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rPr>
              <w:t>86,253</w:t>
            </w:r>
          </w:p>
        </w:tc>
        <w:tc>
          <w:tcPr>
            <w:tcW w:w="132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rPr>
              <w:t>175,507</w:t>
            </w:r>
          </w:p>
        </w:tc>
        <w:tc>
          <w:tcPr>
            <w:tcW w:w="1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158,707</w:t>
            </w:r>
          </w:p>
        </w:tc>
      </w:tr>
      <w:tr>
        <w:trPr>
          <w:trHeight w:val="100"/>
        </w:trPr>
        <w:tc>
          <w:tcPr>
            <w:tcW w:w="6860" w:type="dxa"/>
            <w:vAlign w:val="bottom"/>
            <w:shd w:val="clear" w:color="auto" w:fill="E5E5E5"/>
          </w:tcPr>
          <w:p>
            <w:pPr>
              <w:spacing w:after="0"/>
              <w:rPr>
                <w:sz w:val="8"/>
                <w:szCs w:val="8"/>
                <w:color w:val="auto"/>
              </w:rPr>
            </w:pPr>
          </w:p>
        </w:tc>
        <w:tc>
          <w:tcPr>
            <w:tcW w:w="1580" w:type="dxa"/>
            <w:vAlign w:val="bottom"/>
            <w:shd w:val="clear" w:color="auto" w:fill="E5E5E5"/>
          </w:tcPr>
          <w:p>
            <w:pPr>
              <w:spacing w:after="0"/>
              <w:rPr>
                <w:sz w:val="8"/>
                <w:szCs w:val="8"/>
                <w:color w:val="auto"/>
              </w:rPr>
            </w:pPr>
          </w:p>
        </w:tc>
        <w:tc>
          <w:tcPr>
            <w:tcW w:w="1320" w:type="dxa"/>
            <w:vAlign w:val="bottom"/>
            <w:shd w:val="clear" w:color="auto" w:fill="E5E5E5"/>
          </w:tcPr>
          <w:p>
            <w:pPr>
              <w:spacing w:after="0"/>
              <w:rPr>
                <w:sz w:val="8"/>
                <w:szCs w:val="8"/>
                <w:color w:val="auto"/>
              </w:rPr>
            </w:pPr>
          </w:p>
        </w:tc>
        <w:tc>
          <w:tcPr>
            <w:tcW w:w="1260" w:type="dxa"/>
            <w:vAlign w:val="bottom"/>
            <w:shd w:val="clear" w:color="auto" w:fill="E5E5E5"/>
          </w:tcPr>
          <w:p>
            <w:pPr>
              <w:spacing w:after="0"/>
              <w:rPr>
                <w:sz w:val="8"/>
                <w:szCs w:val="8"/>
                <w:color w:val="auto"/>
              </w:rPr>
            </w:pPr>
          </w:p>
        </w:tc>
      </w:tr>
      <w:tr>
        <w:trPr>
          <w:trHeight w:val="223"/>
        </w:trPr>
        <w:tc>
          <w:tcPr>
            <w:tcW w:w="6860" w:type="dxa"/>
            <w:vAlign w:val="bottom"/>
          </w:tcPr>
          <w:p>
            <w:pPr>
              <w:ind w:left="60"/>
              <w:spacing w:after="0"/>
              <w:rPr>
                <w:sz w:val="20"/>
                <w:szCs w:val="20"/>
                <w:color w:val="auto"/>
              </w:rPr>
            </w:pPr>
            <w:r>
              <w:rPr>
                <w:rFonts w:ascii="Arial" w:cs="Arial" w:eastAsia="Arial" w:hAnsi="Arial"/>
                <w:sz w:val="16"/>
                <w:szCs w:val="16"/>
                <w:color w:val="auto"/>
              </w:rPr>
              <w:t>Thierry Mabru</w:t>
            </w:r>
          </w:p>
        </w:tc>
        <w:tc>
          <w:tcPr>
            <w:tcW w:w="1580" w:type="dxa"/>
            <w:vAlign w:val="bottom"/>
          </w:tcPr>
          <w:p>
            <w:pPr>
              <w:jc w:val="right"/>
              <w:ind w:right="182"/>
              <w:spacing w:after="0"/>
              <w:rPr>
                <w:sz w:val="20"/>
                <w:szCs w:val="20"/>
                <w:color w:val="auto"/>
              </w:rPr>
            </w:pPr>
            <w:r>
              <w:rPr>
                <w:rFonts w:ascii="Arial" w:cs="Arial" w:eastAsia="Arial" w:hAnsi="Arial"/>
                <w:sz w:val="16"/>
                <w:szCs w:val="16"/>
                <w:color w:val="auto"/>
              </w:rPr>
              <w:t>65,003</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130,005</w:t>
            </w:r>
          </w:p>
        </w:tc>
        <w:tc>
          <w:tcPr>
            <w:tcW w:w="1260" w:type="dxa"/>
            <w:vAlign w:val="bottom"/>
          </w:tcPr>
          <w:p>
            <w:pPr>
              <w:jc w:val="right"/>
              <w:spacing w:after="0"/>
              <w:rPr>
                <w:sz w:val="20"/>
                <w:szCs w:val="20"/>
                <w:color w:val="auto"/>
              </w:rPr>
            </w:pPr>
            <w:r>
              <w:rPr>
                <w:rFonts w:ascii="Arial" w:cs="Arial" w:eastAsia="Arial" w:hAnsi="Arial"/>
                <w:sz w:val="16"/>
                <w:szCs w:val="16"/>
                <w:color w:val="auto"/>
              </w:rPr>
              <w:t>119,604</w:t>
            </w:r>
          </w:p>
        </w:tc>
      </w:tr>
      <w:tr>
        <w:trPr>
          <w:trHeight w:val="101"/>
        </w:trPr>
        <w:tc>
          <w:tcPr>
            <w:tcW w:w="6860" w:type="dxa"/>
            <w:vAlign w:val="bottom"/>
            <w:tcBorders>
              <w:bottom w:val="single" w:sz="8" w:color="E52823"/>
            </w:tcBorders>
          </w:tcPr>
          <w:p>
            <w:pPr>
              <w:spacing w:after="0"/>
              <w:rPr>
                <w:sz w:val="8"/>
                <w:szCs w:val="8"/>
                <w:color w:val="auto"/>
              </w:rPr>
            </w:pPr>
          </w:p>
        </w:tc>
        <w:tc>
          <w:tcPr>
            <w:tcW w:w="1580" w:type="dxa"/>
            <w:vAlign w:val="bottom"/>
            <w:tcBorders>
              <w:bottom w:val="single" w:sz="8" w:color="E52823"/>
            </w:tcBorders>
          </w:tcPr>
          <w:p>
            <w:pPr>
              <w:spacing w:after="0"/>
              <w:rPr>
                <w:sz w:val="8"/>
                <w:szCs w:val="8"/>
                <w:color w:val="auto"/>
              </w:rPr>
            </w:pPr>
          </w:p>
        </w:tc>
        <w:tc>
          <w:tcPr>
            <w:tcW w:w="1320" w:type="dxa"/>
            <w:vAlign w:val="bottom"/>
            <w:tcBorders>
              <w:bottom w:val="single" w:sz="8" w:color="E52823"/>
            </w:tcBorders>
          </w:tcPr>
          <w:p>
            <w:pPr>
              <w:spacing w:after="0"/>
              <w:rPr>
                <w:sz w:val="8"/>
                <w:szCs w:val="8"/>
                <w:color w:val="auto"/>
              </w:rPr>
            </w:pPr>
          </w:p>
        </w:tc>
        <w:tc>
          <w:tcPr>
            <w:tcW w:w="1260" w:type="dxa"/>
            <w:vAlign w:val="bottom"/>
            <w:tcBorders>
              <w:bottom w:val="single" w:sz="8" w:color="E52823"/>
            </w:tcBorders>
          </w:tcPr>
          <w:p>
            <w:pPr>
              <w:spacing w:after="0"/>
              <w:rPr>
                <w:sz w:val="8"/>
                <w:szCs w:val="8"/>
                <w:color w:val="auto"/>
              </w:rPr>
            </w:pPr>
          </w:p>
        </w:tc>
      </w:tr>
    </w:tbl>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Honeywell Growth Plan</w:t>
      </w:r>
    </w:p>
    <w:p>
      <w:pPr>
        <w:jc w:val="both"/>
        <w:ind w:left="120" w:right="440"/>
        <w:spacing w:after="0" w:line="251" w:lineRule="auto"/>
        <w:rPr>
          <w:sz w:val="20"/>
          <w:szCs w:val="20"/>
          <w:color w:val="auto"/>
        </w:rPr>
      </w:pPr>
      <w:r>
        <w:rPr>
          <w:rFonts w:ascii="Arial" w:cs="Arial" w:eastAsia="Arial" w:hAnsi="Arial"/>
          <w:sz w:val="16"/>
          <w:szCs w:val="16"/>
          <w:color w:val="auto"/>
        </w:rPr>
        <w:t>Prior to the Spin-Off, certain of our Named Executive Officers participated in the cash-based Honeywell Growth Plan, under which non-overlapping performance-contingent awards were made on a biennial basis, with payouts based on financial targets measured over a two-year period. Because Growth Plan grants were made every other year, the Honeywell Management Development and Compensation Committee (the “Honeywell MDCC”) attributed half of the award value to each year of the performance cycle for purposes of compensation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34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For the final 2016-2017 Growth Plan performance cycle, the calculated payout for the Honeywell Aerospace SBG, of which the Honeywell’s Transportation Systems business (the “Business”) was a part, was 36% of target. The following table summarizes the target number of Growth Plan Units (“GPUs”) granted to each participating Named Executive Officer, in February 2016, and the annualized value of the final earned awards attributed to 2017:</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040" w:type="dxa"/>
            <w:vAlign w:val="bottom"/>
          </w:tcPr>
          <w:p>
            <w:pPr>
              <w:jc w:val="center"/>
              <w:ind w:left="43"/>
              <w:spacing w:after="0"/>
              <w:rPr>
                <w:sz w:val="20"/>
                <w:szCs w:val="20"/>
                <w:color w:val="auto"/>
              </w:rPr>
            </w:pPr>
            <w:r>
              <w:rPr>
                <w:rFonts w:ascii="Arial" w:cs="Arial" w:eastAsia="Arial" w:hAnsi="Arial"/>
                <w:sz w:val="14"/>
                <w:szCs w:val="14"/>
                <w:color w:val="auto"/>
              </w:rPr>
              <w:t># GPUs</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103"/>
              <w:spacing w:after="0"/>
              <w:rPr>
                <w:sz w:val="20"/>
                <w:szCs w:val="20"/>
                <w:color w:val="auto"/>
              </w:rPr>
            </w:pPr>
            <w:r>
              <w:rPr>
                <w:rFonts w:ascii="Arial" w:cs="Arial" w:eastAsia="Arial" w:hAnsi="Arial"/>
                <w:sz w:val="14"/>
                <w:szCs w:val="14"/>
                <w:color w:val="auto"/>
              </w:rPr>
              <w:t>Annualized</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center"/>
              <w:ind w:left="83"/>
              <w:spacing w:after="0"/>
              <w:rPr>
                <w:sz w:val="20"/>
                <w:szCs w:val="20"/>
                <w:color w:val="auto"/>
              </w:rPr>
            </w:pPr>
            <w:r>
              <w:rPr>
                <w:rFonts w:ascii="Arial" w:cs="Arial" w:eastAsia="Arial" w:hAnsi="Arial"/>
                <w:sz w:val="14"/>
                <w:szCs w:val="14"/>
                <w:color w:val="auto"/>
              </w:rPr>
              <w:t>Earned</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60"/>
              <w:spacing w:after="0"/>
              <w:rPr>
                <w:sz w:val="20"/>
                <w:szCs w:val="20"/>
                <w:color w:val="auto"/>
              </w:rPr>
            </w:pPr>
            <w:r>
              <w:rPr>
                <w:rFonts w:ascii="Arial" w:cs="Arial" w:eastAsia="Arial" w:hAnsi="Arial"/>
                <w:sz w:val="14"/>
                <w:szCs w:val="14"/>
                <w:color w:val="auto"/>
              </w:rPr>
              <w:t>Named Executive</w:t>
            </w:r>
          </w:p>
        </w:tc>
        <w:tc>
          <w:tcPr>
            <w:tcW w:w="1040" w:type="dxa"/>
            <w:vAlign w:val="bottom"/>
          </w:tcPr>
          <w:p>
            <w:pPr>
              <w:jc w:val="right"/>
              <w:ind w:right="103"/>
              <w:spacing w:after="0"/>
              <w:rPr>
                <w:sz w:val="20"/>
                <w:szCs w:val="20"/>
                <w:color w:val="auto"/>
              </w:rPr>
            </w:pPr>
            <w:r>
              <w:rPr>
                <w:rFonts w:ascii="Arial" w:cs="Arial" w:eastAsia="Arial" w:hAnsi="Arial"/>
                <w:sz w:val="14"/>
                <w:szCs w:val="14"/>
                <w:color w:val="auto"/>
              </w:rPr>
              <w:t>Awarded</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Target</w:t>
            </w:r>
          </w:p>
        </w:tc>
        <w:tc>
          <w:tcPr>
            <w:tcW w:w="4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Final Pay</w:t>
            </w:r>
          </w:p>
        </w:tc>
        <w:tc>
          <w:tcPr>
            <w:tcW w:w="440" w:type="dxa"/>
            <w:vAlign w:val="bottom"/>
          </w:tcPr>
          <w:p>
            <w:pPr>
              <w:spacing w:after="0"/>
              <w:rPr>
                <w:sz w:val="14"/>
                <w:szCs w:val="14"/>
                <w:color w:val="auto"/>
              </w:rPr>
            </w:pPr>
          </w:p>
        </w:tc>
        <w:tc>
          <w:tcPr>
            <w:tcW w:w="980" w:type="dxa"/>
            <w:vAlign w:val="bottom"/>
          </w:tcPr>
          <w:p>
            <w:pPr>
              <w:jc w:val="center"/>
              <w:ind w:left="63"/>
              <w:spacing w:after="0"/>
              <w:rPr>
                <w:sz w:val="20"/>
                <w:szCs w:val="20"/>
                <w:color w:val="auto"/>
              </w:rPr>
            </w:pPr>
            <w:r>
              <w:rPr>
                <w:rFonts w:ascii="Arial" w:cs="Arial" w:eastAsia="Arial" w:hAnsi="Arial"/>
                <w:sz w:val="14"/>
                <w:szCs w:val="14"/>
                <w:color w:val="auto"/>
              </w:rPr>
              <w:t>Award</w:t>
            </w:r>
          </w:p>
        </w:tc>
        <w:tc>
          <w:tcPr>
            <w:tcW w:w="0" w:type="dxa"/>
            <w:vAlign w:val="bottom"/>
          </w:tcPr>
          <w:p>
            <w:pPr>
              <w:spacing w:after="0"/>
              <w:rPr>
                <w:sz w:val="1"/>
                <w:szCs w:val="1"/>
                <w:color w:val="auto"/>
              </w:rPr>
            </w:pPr>
          </w:p>
        </w:tc>
      </w:tr>
      <w:tr>
        <w:trPr>
          <w:trHeight w:val="148"/>
        </w:trPr>
        <w:tc>
          <w:tcPr>
            <w:tcW w:w="3600" w:type="dxa"/>
            <w:vAlign w:val="bottom"/>
            <w:vMerge w:val="continue"/>
          </w:tcPr>
          <w:p>
            <w:pPr>
              <w:spacing w:after="0"/>
              <w:rPr>
                <w:sz w:val="12"/>
                <w:szCs w:val="12"/>
                <w:color w:val="auto"/>
              </w:rPr>
            </w:pPr>
          </w:p>
        </w:tc>
        <w:tc>
          <w:tcPr>
            <w:tcW w:w="1040" w:type="dxa"/>
            <w:vAlign w:val="bottom"/>
          </w:tcPr>
          <w:p>
            <w:pPr>
              <w:jc w:val="center"/>
              <w:ind w:left="43"/>
              <w:spacing w:after="0" w:line="149" w:lineRule="exact"/>
              <w:rPr>
                <w:sz w:val="20"/>
                <w:szCs w:val="20"/>
                <w:color w:val="auto"/>
              </w:rPr>
            </w:pPr>
            <w:r>
              <w:rPr>
                <w:rFonts w:ascii="Arial" w:cs="Arial" w:eastAsia="Arial" w:hAnsi="Arial"/>
                <w:sz w:val="14"/>
                <w:szCs w:val="14"/>
                <w:color w:val="auto"/>
              </w:rPr>
              <w:t>in 2016</w:t>
            </w:r>
          </w:p>
        </w:tc>
        <w:tc>
          <w:tcPr>
            <w:tcW w:w="420" w:type="dxa"/>
            <w:vAlign w:val="bottom"/>
          </w:tcPr>
          <w:p>
            <w:pPr>
              <w:ind w:left="180"/>
              <w:spacing w:after="0" w:line="149" w:lineRule="exact"/>
              <w:rPr>
                <w:sz w:val="20"/>
                <w:szCs w:val="20"/>
                <w:color w:val="auto"/>
              </w:rPr>
            </w:pPr>
            <w:r>
              <w:rPr>
                <w:rFonts w:ascii="Arial" w:cs="Arial" w:eastAsia="Arial" w:hAnsi="Arial"/>
                <w:sz w:val="14"/>
                <w:szCs w:val="14"/>
                <w:color w:val="auto"/>
              </w:rPr>
              <w:t>x</w:t>
            </w:r>
          </w:p>
        </w:tc>
        <w:tc>
          <w:tcPr>
            <w:tcW w:w="1320" w:type="dxa"/>
            <w:vAlign w:val="bottom"/>
          </w:tcPr>
          <w:p>
            <w:pPr>
              <w:jc w:val="right"/>
              <w:ind w:right="222"/>
              <w:spacing w:after="0" w:line="149" w:lineRule="exact"/>
              <w:rPr>
                <w:sz w:val="20"/>
                <w:szCs w:val="20"/>
                <w:color w:val="auto"/>
              </w:rPr>
            </w:pPr>
            <w:r>
              <w:rPr>
                <w:rFonts w:ascii="Arial" w:cs="Arial" w:eastAsia="Arial" w:hAnsi="Arial"/>
                <w:sz w:val="14"/>
                <w:szCs w:val="14"/>
                <w:color w:val="auto"/>
              </w:rPr>
              <w:t>Annualized</w:t>
            </w:r>
          </w:p>
        </w:tc>
        <w:tc>
          <w:tcPr>
            <w:tcW w:w="4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Award</w:t>
            </w:r>
          </w:p>
        </w:tc>
        <w:tc>
          <w:tcPr>
            <w:tcW w:w="420" w:type="dxa"/>
            <w:vAlign w:val="bottom"/>
          </w:tcPr>
          <w:p>
            <w:pPr>
              <w:ind w:left="180"/>
              <w:spacing w:after="0" w:line="149" w:lineRule="exact"/>
              <w:rPr>
                <w:sz w:val="20"/>
                <w:szCs w:val="20"/>
                <w:color w:val="auto"/>
              </w:rPr>
            </w:pPr>
            <w:r>
              <w:rPr>
                <w:rFonts w:ascii="Arial" w:cs="Arial" w:eastAsia="Arial" w:hAnsi="Arial"/>
                <w:sz w:val="14"/>
                <w:szCs w:val="14"/>
                <w:color w:val="auto"/>
              </w:rPr>
              <w:t>x</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Out</w:t>
            </w:r>
          </w:p>
        </w:tc>
        <w:tc>
          <w:tcPr>
            <w:tcW w:w="4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83"/>
              <w:spacing w:after="0" w:line="149" w:lineRule="exact"/>
              <w:rPr>
                <w:sz w:val="20"/>
                <w:szCs w:val="20"/>
                <w:color w:val="auto"/>
              </w:rPr>
            </w:pPr>
            <w:r>
              <w:rPr>
                <w:rFonts w:ascii="Arial" w:cs="Arial" w:eastAsia="Arial" w:hAnsi="Arial"/>
                <w:sz w:val="14"/>
                <w:szCs w:val="14"/>
                <w:color w:val="auto"/>
              </w:rPr>
              <w:t>Attributable</w:t>
            </w:r>
          </w:p>
        </w:tc>
        <w:tc>
          <w:tcPr>
            <w:tcW w:w="0" w:type="dxa"/>
            <w:vAlign w:val="bottom"/>
          </w:tcPr>
          <w:p>
            <w:pPr>
              <w:spacing w:after="0"/>
              <w:rPr>
                <w:sz w:val="1"/>
                <w:szCs w:val="1"/>
                <w:color w:val="auto"/>
              </w:rPr>
            </w:pPr>
          </w:p>
        </w:tc>
      </w:tr>
      <w:tr>
        <w:trPr>
          <w:trHeight w:val="286"/>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Officer</w:t>
            </w:r>
          </w:p>
        </w:tc>
        <w:tc>
          <w:tcPr>
            <w:tcW w:w="104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color w:val="auto"/>
                <w:w w:val="93"/>
              </w:rPr>
              <w:t>(#)</w:t>
            </w: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Unit Value($)</w:t>
            </w:r>
            <w:r>
              <w:rPr>
                <w:rFonts w:ascii="Arial" w:cs="Arial" w:eastAsia="Arial" w:hAnsi="Arial"/>
                <w:sz w:val="24"/>
                <w:szCs w:val="24"/>
                <w:color w:val="auto"/>
                <w:vertAlign w:val="superscript"/>
              </w:rPr>
              <w:t>(1)</w:t>
            </w: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Value($)</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Percentage(%)</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color w:val="auto"/>
                <w:w w:val="95"/>
              </w:rPr>
              <w:t>to 2017($)</w:t>
            </w:r>
            <w:r>
              <w:rPr>
                <w:rFonts w:ascii="Arial" w:cs="Arial" w:eastAsia="Arial" w:hAnsi="Arial"/>
                <w:sz w:val="24"/>
                <w:szCs w:val="24"/>
                <w:color w:val="auto"/>
                <w:w w:val="95"/>
                <w:vertAlign w:val="superscript"/>
              </w:rPr>
              <w:t>(2)</w:t>
            </w:r>
          </w:p>
        </w:tc>
        <w:tc>
          <w:tcPr>
            <w:tcW w:w="0" w:type="dxa"/>
            <w:vAlign w:val="bottom"/>
          </w:tcPr>
          <w:p>
            <w:pPr>
              <w:spacing w:after="0"/>
              <w:rPr>
                <w:sz w:val="1"/>
                <w:szCs w:val="1"/>
                <w:color w:val="auto"/>
              </w:rPr>
            </w:pPr>
          </w:p>
        </w:tc>
      </w:tr>
      <w:tr>
        <w:trPr>
          <w:trHeight w:val="210"/>
        </w:trPr>
        <w:tc>
          <w:tcPr>
            <w:tcW w:w="3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Olivier Rabiller</w:t>
            </w:r>
          </w:p>
        </w:tc>
        <w:tc>
          <w:tcPr>
            <w:tcW w:w="104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6,000</w:t>
            </w:r>
          </w:p>
        </w:tc>
        <w:tc>
          <w:tcPr>
            <w:tcW w:w="420" w:type="dxa"/>
            <w:vAlign w:val="bottom"/>
            <w:shd w:val="clear" w:color="auto" w:fill="E5E5E5"/>
          </w:tcPr>
          <w:p>
            <w:pPr>
              <w:spacing w:after="0"/>
              <w:rPr>
                <w:sz w:val="18"/>
                <w:szCs w:val="18"/>
                <w:color w:val="auto"/>
              </w:rPr>
            </w:pPr>
          </w:p>
        </w:tc>
        <w:tc>
          <w:tcPr>
            <w:tcW w:w="132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50</w:t>
            </w:r>
          </w:p>
        </w:tc>
        <w:tc>
          <w:tcPr>
            <w:tcW w:w="44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300,000</w:t>
            </w:r>
          </w:p>
        </w:tc>
        <w:tc>
          <w:tcPr>
            <w:tcW w:w="42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36.0%</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108,005</w:t>
            </w:r>
          </w:p>
        </w:tc>
        <w:tc>
          <w:tcPr>
            <w:tcW w:w="0" w:type="dxa"/>
            <w:vAlign w:val="bottom"/>
          </w:tcPr>
          <w:p>
            <w:pPr>
              <w:spacing w:after="0"/>
              <w:rPr>
                <w:sz w:val="1"/>
                <w:szCs w:val="1"/>
                <w:color w:val="auto"/>
              </w:rPr>
            </w:pPr>
          </w:p>
        </w:tc>
      </w:tr>
      <w:tr>
        <w:trPr>
          <w:trHeight w:val="100"/>
        </w:trPr>
        <w:tc>
          <w:tcPr>
            <w:tcW w:w="360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420" w:type="dxa"/>
            <w:vAlign w:val="bottom"/>
            <w:shd w:val="clear" w:color="auto" w:fill="E5E5E5"/>
          </w:tcPr>
          <w:p>
            <w:pPr>
              <w:spacing w:after="0"/>
              <w:rPr>
                <w:sz w:val="8"/>
                <w:szCs w:val="8"/>
                <w:color w:val="auto"/>
              </w:rPr>
            </w:pPr>
          </w:p>
        </w:tc>
        <w:tc>
          <w:tcPr>
            <w:tcW w:w="1320" w:type="dxa"/>
            <w:vAlign w:val="bottom"/>
            <w:shd w:val="clear" w:color="auto" w:fill="E5E5E5"/>
          </w:tcPr>
          <w:p>
            <w:pPr>
              <w:spacing w:after="0"/>
              <w:rPr>
                <w:sz w:val="8"/>
                <w:szCs w:val="8"/>
                <w:color w:val="auto"/>
              </w:rPr>
            </w:pPr>
          </w:p>
        </w:tc>
        <w:tc>
          <w:tcPr>
            <w:tcW w:w="4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420" w:type="dxa"/>
            <w:vAlign w:val="bottom"/>
            <w:shd w:val="clear" w:color="auto" w:fill="E5E5E5"/>
          </w:tcPr>
          <w:p>
            <w:pPr>
              <w:spacing w:after="0"/>
              <w:rPr>
                <w:sz w:val="8"/>
                <w:szCs w:val="8"/>
                <w:color w:val="auto"/>
              </w:rPr>
            </w:pPr>
          </w:p>
        </w:tc>
        <w:tc>
          <w:tcPr>
            <w:tcW w:w="1300" w:type="dxa"/>
            <w:vAlign w:val="bottom"/>
            <w:shd w:val="clear" w:color="auto" w:fill="E5E5E5"/>
          </w:tcPr>
          <w:p>
            <w:pPr>
              <w:spacing w:after="0"/>
              <w:rPr>
                <w:sz w:val="8"/>
                <w:szCs w:val="8"/>
                <w:color w:val="auto"/>
              </w:rPr>
            </w:pPr>
          </w:p>
        </w:tc>
        <w:tc>
          <w:tcPr>
            <w:tcW w:w="440" w:type="dxa"/>
            <w:vAlign w:val="bottom"/>
            <w:shd w:val="clear" w:color="auto" w:fill="E5E5E5"/>
          </w:tcPr>
          <w:p>
            <w:pPr>
              <w:spacing w:after="0"/>
              <w:rPr>
                <w:sz w:val="8"/>
                <w:szCs w:val="8"/>
                <w:color w:val="auto"/>
              </w:rPr>
            </w:pPr>
          </w:p>
        </w:tc>
        <w:tc>
          <w:tcPr>
            <w:tcW w:w="9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60"/>
              <w:spacing w:after="0"/>
              <w:rPr>
                <w:sz w:val="20"/>
                <w:szCs w:val="20"/>
                <w:color w:val="auto"/>
              </w:rPr>
            </w:pPr>
            <w:r>
              <w:rPr>
                <w:rFonts w:ascii="Arial" w:cs="Arial" w:eastAsia="Arial" w:hAnsi="Arial"/>
                <w:sz w:val="16"/>
                <w:szCs w:val="16"/>
                <w:color w:val="auto"/>
              </w:rPr>
              <w:t>Peter Bracke</w:t>
            </w: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4,600</w:t>
            </w:r>
          </w:p>
        </w:tc>
        <w:tc>
          <w:tcPr>
            <w:tcW w:w="420" w:type="dxa"/>
            <w:vAlign w:val="bottom"/>
          </w:tcPr>
          <w:p>
            <w:pPr>
              <w:spacing w:after="0"/>
              <w:rPr>
                <w:sz w:val="19"/>
                <w:szCs w:val="19"/>
                <w:color w:val="auto"/>
              </w:rPr>
            </w:pPr>
          </w:p>
        </w:tc>
        <w:tc>
          <w:tcPr>
            <w:tcW w:w="1320" w:type="dxa"/>
            <w:vAlign w:val="bottom"/>
          </w:tcPr>
          <w:p>
            <w:pPr>
              <w:jc w:val="right"/>
              <w:ind w:right="422"/>
              <w:spacing w:after="0"/>
              <w:rPr>
                <w:sz w:val="20"/>
                <w:szCs w:val="20"/>
                <w:color w:val="auto"/>
              </w:rPr>
            </w:pPr>
            <w:r>
              <w:rPr>
                <w:rFonts w:ascii="Arial" w:cs="Arial" w:eastAsia="Arial" w:hAnsi="Arial"/>
                <w:sz w:val="16"/>
                <w:szCs w:val="16"/>
                <w:color w:val="auto"/>
              </w:rPr>
              <w:t>50</w:t>
            </w:r>
          </w:p>
        </w:tc>
        <w:tc>
          <w:tcPr>
            <w:tcW w:w="440" w:type="dxa"/>
            <w:vAlign w:val="bottom"/>
          </w:tcPr>
          <w:p>
            <w:pPr>
              <w:spacing w:after="0"/>
              <w:rPr>
                <w:sz w:val="19"/>
                <w:szCs w:val="19"/>
                <w:color w:val="auto"/>
              </w:rPr>
            </w:pPr>
          </w:p>
        </w:tc>
        <w:tc>
          <w:tcPr>
            <w:tcW w:w="1060" w:type="dxa"/>
            <w:vAlign w:val="bottom"/>
          </w:tcPr>
          <w:p>
            <w:pPr>
              <w:jc w:val="right"/>
              <w:ind w:right="103"/>
              <w:spacing w:after="0"/>
              <w:rPr>
                <w:sz w:val="20"/>
                <w:szCs w:val="20"/>
                <w:color w:val="auto"/>
              </w:rPr>
            </w:pPr>
            <w:r>
              <w:rPr>
                <w:rFonts w:ascii="Arial" w:cs="Arial" w:eastAsia="Arial" w:hAnsi="Arial"/>
                <w:sz w:val="16"/>
                <w:szCs w:val="16"/>
                <w:color w:val="auto"/>
              </w:rPr>
              <w:t>230,000</w:t>
            </w:r>
          </w:p>
        </w:tc>
        <w:tc>
          <w:tcPr>
            <w:tcW w:w="420" w:type="dxa"/>
            <w:vAlign w:val="bottom"/>
          </w:tcPr>
          <w:p>
            <w:pPr>
              <w:spacing w:after="0"/>
              <w:rPr>
                <w:sz w:val="19"/>
                <w:szCs w:val="19"/>
                <w:color w:val="auto"/>
              </w:rPr>
            </w:pP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36.0%</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82,804</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E5E5E5"/>
            </w:tcBorders>
          </w:tcPr>
          <w:p>
            <w:pPr>
              <w:spacing w:after="0"/>
              <w:rPr>
                <w:sz w:val="9"/>
                <w:szCs w:val="9"/>
                <w:color w:val="auto"/>
              </w:rPr>
            </w:pPr>
          </w:p>
        </w:tc>
        <w:tc>
          <w:tcPr>
            <w:tcW w:w="1040" w:type="dxa"/>
            <w:vAlign w:val="bottom"/>
            <w:tcBorders>
              <w:bottom w:val="single" w:sz="8" w:color="E5E5E5"/>
            </w:tcBorders>
          </w:tcPr>
          <w:p>
            <w:pPr>
              <w:spacing w:after="0"/>
              <w:rPr>
                <w:sz w:val="9"/>
                <w:szCs w:val="9"/>
                <w:color w:val="auto"/>
              </w:rPr>
            </w:pPr>
          </w:p>
        </w:tc>
        <w:tc>
          <w:tcPr>
            <w:tcW w:w="420" w:type="dxa"/>
            <w:vAlign w:val="bottom"/>
            <w:tcBorders>
              <w:bottom w:val="single" w:sz="8" w:color="E5E5E5"/>
            </w:tcBorders>
          </w:tcPr>
          <w:p>
            <w:pPr>
              <w:spacing w:after="0"/>
              <w:rPr>
                <w:sz w:val="9"/>
                <w:szCs w:val="9"/>
                <w:color w:val="auto"/>
              </w:rPr>
            </w:pPr>
          </w:p>
        </w:tc>
        <w:tc>
          <w:tcPr>
            <w:tcW w:w="1320" w:type="dxa"/>
            <w:vAlign w:val="bottom"/>
            <w:tcBorders>
              <w:bottom w:val="single" w:sz="8" w:color="E5E5E5"/>
            </w:tcBorders>
          </w:tcPr>
          <w:p>
            <w:pPr>
              <w:spacing w:after="0"/>
              <w:rPr>
                <w:sz w:val="9"/>
                <w:szCs w:val="9"/>
                <w:color w:val="auto"/>
              </w:rPr>
            </w:pPr>
          </w:p>
        </w:tc>
        <w:tc>
          <w:tcPr>
            <w:tcW w:w="440" w:type="dxa"/>
            <w:vAlign w:val="bottom"/>
            <w:tcBorders>
              <w:bottom w:val="single" w:sz="8" w:color="E5E5E5"/>
            </w:tcBorders>
          </w:tcPr>
          <w:p>
            <w:pPr>
              <w:spacing w:after="0"/>
              <w:rPr>
                <w:sz w:val="9"/>
                <w:szCs w:val="9"/>
                <w:color w:val="auto"/>
              </w:rPr>
            </w:pPr>
          </w:p>
        </w:tc>
        <w:tc>
          <w:tcPr>
            <w:tcW w:w="1060" w:type="dxa"/>
            <w:vAlign w:val="bottom"/>
            <w:tcBorders>
              <w:bottom w:val="single" w:sz="8" w:color="E5E5E5"/>
            </w:tcBorders>
          </w:tcPr>
          <w:p>
            <w:pPr>
              <w:spacing w:after="0"/>
              <w:rPr>
                <w:sz w:val="9"/>
                <w:szCs w:val="9"/>
                <w:color w:val="auto"/>
              </w:rPr>
            </w:pPr>
          </w:p>
        </w:tc>
        <w:tc>
          <w:tcPr>
            <w:tcW w:w="420" w:type="dxa"/>
            <w:vAlign w:val="bottom"/>
            <w:tcBorders>
              <w:bottom w:val="single" w:sz="8" w:color="E5E5E5"/>
            </w:tcBorders>
          </w:tcPr>
          <w:p>
            <w:pPr>
              <w:spacing w:after="0"/>
              <w:rPr>
                <w:sz w:val="9"/>
                <w:szCs w:val="9"/>
                <w:color w:val="auto"/>
              </w:rPr>
            </w:pPr>
          </w:p>
        </w:tc>
        <w:tc>
          <w:tcPr>
            <w:tcW w:w="1300" w:type="dxa"/>
            <w:vAlign w:val="bottom"/>
            <w:tcBorders>
              <w:bottom w:val="single" w:sz="8" w:color="E5E5E5"/>
            </w:tcBorders>
          </w:tcPr>
          <w:p>
            <w:pPr>
              <w:spacing w:after="0"/>
              <w:rPr>
                <w:sz w:val="9"/>
                <w:szCs w:val="9"/>
                <w:color w:val="auto"/>
              </w:rPr>
            </w:pPr>
          </w:p>
        </w:tc>
        <w:tc>
          <w:tcPr>
            <w:tcW w:w="440" w:type="dxa"/>
            <w:vAlign w:val="bottom"/>
            <w:tcBorders>
              <w:bottom w:val="single" w:sz="8" w:color="E5E5E5"/>
            </w:tcBorders>
          </w:tcPr>
          <w:p>
            <w:pPr>
              <w:spacing w:after="0"/>
              <w:rPr>
                <w:sz w:val="9"/>
                <w:szCs w:val="9"/>
                <w:color w:val="auto"/>
              </w:rPr>
            </w:pPr>
          </w:p>
        </w:tc>
        <w:tc>
          <w:tcPr>
            <w:tcW w:w="980" w:type="dxa"/>
            <w:vAlign w:val="bottom"/>
            <w:tcBorders>
              <w:bottom w:val="single" w:sz="8" w:color="E5E5E5"/>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Craig Balis</w:t>
            </w:r>
          </w:p>
        </w:tc>
        <w:tc>
          <w:tcPr>
            <w:tcW w:w="104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3,450</w:t>
            </w:r>
          </w:p>
        </w:tc>
        <w:tc>
          <w:tcPr>
            <w:tcW w:w="4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50</w:t>
            </w:r>
          </w:p>
        </w:tc>
        <w:tc>
          <w:tcPr>
            <w:tcW w:w="44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172,500</w:t>
            </w:r>
          </w:p>
        </w:tc>
        <w:tc>
          <w:tcPr>
            <w:tcW w:w="42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36.0%</w:t>
            </w:r>
          </w:p>
        </w:tc>
        <w:tc>
          <w:tcPr>
            <w:tcW w:w="44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62,103</w:t>
            </w:r>
          </w:p>
        </w:tc>
        <w:tc>
          <w:tcPr>
            <w:tcW w:w="0" w:type="dxa"/>
            <w:vAlign w:val="bottom"/>
          </w:tcPr>
          <w:p>
            <w:pPr>
              <w:spacing w:after="0"/>
              <w:rPr>
                <w:sz w:val="1"/>
                <w:szCs w:val="1"/>
                <w:color w:val="auto"/>
              </w:rPr>
            </w:pPr>
          </w:p>
        </w:tc>
      </w:tr>
      <w:tr>
        <w:trPr>
          <w:trHeight w:val="100"/>
        </w:trPr>
        <w:tc>
          <w:tcPr>
            <w:tcW w:w="3600" w:type="dxa"/>
            <w:vAlign w:val="bottom"/>
            <w:shd w:val="clear" w:color="auto" w:fill="E5E5E5"/>
          </w:tcPr>
          <w:p>
            <w:pPr>
              <w:spacing w:after="0"/>
              <w:rPr>
                <w:sz w:val="8"/>
                <w:szCs w:val="8"/>
                <w:color w:val="auto"/>
              </w:rPr>
            </w:pPr>
          </w:p>
        </w:tc>
        <w:tc>
          <w:tcPr>
            <w:tcW w:w="1040" w:type="dxa"/>
            <w:vAlign w:val="bottom"/>
            <w:shd w:val="clear" w:color="auto" w:fill="E5E5E5"/>
          </w:tcPr>
          <w:p>
            <w:pPr>
              <w:spacing w:after="0"/>
              <w:rPr>
                <w:sz w:val="8"/>
                <w:szCs w:val="8"/>
                <w:color w:val="auto"/>
              </w:rPr>
            </w:pPr>
          </w:p>
        </w:tc>
        <w:tc>
          <w:tcPr>
            <w:tcW w:w="420" w:type="dxa"/>
            <w:vAlign w:val="bottom"/>
            <w:shd w:val="clear" w:color="auto" w:fill="E5E5E5"/>
          </w:tcPr>
          <w:p>
            <w:pPr>
              <w:spacing w:after="0"/>
              <w:rPr>
                <w:sz w:val="8"/>
                <w:szCs w:val="8"/>
                <w:color w:val="auto"/>
              </w:rPr>
            </w:pPr>
          </w:p>
        </w:tc>
        <w:tc>
          <w:tcPr>
            <w:tcW w:w="1320" w:type="dxa"/>
            <w:vAlign w:val="bottom"/>
            <w:shd w:val="clear" w:color="auto" w:fill="E5E5E5"/>
          </w:tcPr>
          <w:p>
            <w:pPr>
              <w:spacing w:after="0"/>
              <w:rPr>
                <w:sz w:val="8"/>
                <w:szCs w:val="8"/>
                <w:color w:val="auto"/>
              </w:rPr>
            </w:pPr>
          </w:p>
        </w:tc>
        <w:tc>
          <w:tcPr>
            <w:tcW w:w="440" w:type="dxa"/>
            <w:vAlign w:val="bottom"/>
            <w:shd w:val="clear" w:color="auto" w:fill="E5E5E5"/>
          </w:tcPr>
          <w:p>
            <w:pPr>
              <w:spacing w:after="0"/>
              <w:rPr>
                <w:sz w:val="8"/>
                <w:szCs w:val="8"/>
                <w:color w:val="auto"/>
              </w:rPr>
            </w:pPr>
          </w:p>
        </w:tc>
        <w:tc>
          <w:tcPr>
            <w:tcW w:w="1060" w:type="dxa"/>
            <w:vAlign w:val="bottom"/>
            <w:shd w:val="clear" w:color="auto" w:fill="E5E5E5"/>
          </w:tcPr>
          <w:p>
            <w:pPr>
              <w:spacing w:after="0"/>
              <w:rPr>
                <w:sz w:val="8"/>
                <w:szCs w:val="8"/>
                <w:color w:val="auto"/>
              </w:rPr>
            </w:pPr>
          </w:p>
        </w:tc>
        <w:tc>
          <w:tcPr>
            <w:tcW w:w="420" w:type="dxa"/>
            <w:vAlign w:val="bottom"/>
            <w:shd w:val="clear" w:color="auto" w:fill="E5E5E5"/>
          </w:tcPr>
          <w:p>
            <w:pPr>
              <w:spacing w:after="0"/>
              <w:rPr>
                <w:sz w:val="8"/>
                <w:szCs w:val="8"/>
                <w:color w:val="auto"/>
              </w:rPr>
            </w:pPr>
          </w:p>
        </w:tc>
        <w:tc>
          <w:tcPr>
            <w:tcW w:w="1300" w:type="dxa"/>
            <w:vAlign w:val="bottom"/>
            <w:shd w:val="clear" w:color="auto" w:fill="E5E5E5"/>
          </w:tcPr>
          <w:p>
            <w:pPr>
              <w:spacing w:after="0"/>
              <w:rPr>
                <w:sz w:val="8"/>
                <w:szCs w:val="8"/>
                <w:color w:val="auto"/>
              </w:rPr>
            </w:pPr>
          </w:p>
        </w:tc>
        <w:tc>
          <w:tcPr>
            <w:tcW w:w="440" w:type="dxa"/>
            <w:vAlign w:val="bottom"/>
            <w:shd w:val="clear" w:color="auto" w:fill="E5E5E5"/>
          </w:tcPr>
          <w:p>
            <w:pPr>
              <w:spacing w:after="0"/>
              <w:rPr>
                <w:sz w:val="8"/>
                <w:szCs w:val="8"/>
                <w:color w:val="auto"/>
              </w:rPr>
            </w:pPr>
          </w:p>
        </w:tc>
        <w:tc>
          <w:tcPr>
            <w:tcW w:w="9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3600" w:type="dxa"/>
            <w:vAlign w:val="bottom"/>
            <w:tcBorders>
              <w:bottom w:val="single" w:sz="8" w:color="E5E5E5"/>
            </w:tcBorders>
          </w:tcPr>
          <w:p>
            <w:pPr>
              <w:ind w:left="60"/>
              <w:spacing w:after="0"/>
              <w:rPr>
                <w:sz w:val="20"/>
                <w:szCs w:val="20"/>
                <w:color w:val="auto"/>
              </w:rPr>
            </w:pPr>
            <w:r>
              <w:rPr>
                <w:rFonts w:ascii="Arial" w:cs="Arial" w:eastAsia="Arial" w:hAnsi="Arial"/>
                <w:sz w:val="16"/>
                <w:szCs w:val="16"/>
                <w:color w:val="auto"/>
              </w:rPr>
              <w:t>Jérôme Maironi</w:t>
            </w:r>
            <w:r>
              <w:rPr>
                <w:rFonts w:ascii="Arial" w:cs="Arial" w:eastAsia="Arial" w:hAnsi="Arial"/>
                <w:sz w:val="27"/>
                <w:szCs w:val="27"/>
                <w:color w:val="auto"/>
                <w:vertAlign w:val="superscript"/>
              </w:rPr>
              <w:t>(3)</w:t>
            </w:r>
          </w:p>
        </w:tc>
        <w:tc>
          <w:tcPr>
            <w:tcW w:w="1040" w:type="dxa"/>
            <w:vAlign w:val="bottom"/>
            <w:tcBorders>
              <w:bottom w:val="single" w:sz="8" w:color="E5E5E5"/>
            </w:tcBorders>
          </w:tcPr>
          <w:p>
            <w:pPr>
              <w:jc w:val="right"/>
              <w:ind w:right="103"/>
              <w:spacing w:after="0"/>
              <w:rPr>
                <w:sz w:val="20"/>
                <w:szCs w:val="20"/>
                <w:color w:val="auto"/>
              </w:rPr>
            </w:pPr>
            <w:r>
              <w:rPr>
                <w:rFonts w:ascii="Arial" w:cs="Arial" w:eastAsia="Arial" w:hAnsi="Arial"/>
                <w:sz w:val="16"/>
                <w:szCs w:val="16"/>
                <w:color w:val="auto"/>
              </w:rPr>
              <w:t>4,000</w:t>
            </w:r>
          </w:p>
        </w:tc>
        <w:tc>
          <w:tcPr>
            <w:tcW w:w="420" w:type="dxa"/>
            <w:vAlign w:val="bottom"/>
            <w:tcBorders>
              <w:bottom w:val="single" w:sz="8" w:color="E5E5E5"/>
            </w:tcBorders>
          </w:tcPr>
          <w:p>
            <w:pPr>
              <w:spacing w:after="0"/>
              <w:rPr>
                <w:sz w:val="24"/>
                <w:szCs w:val="24"/>
                <w:color w:val="auto"/>
              </w:rPr>
            </w:pPr>
          </w:p>
        </w:tc>
        <w:tc>
          <w:tcPr>
            <w:tcW w:w="1320" w:type="dxa"/>
            <w:vAlign w:val="bottom"/>
            <w:tcBorders>
              <w:bottom w:val="single" w:sz="8" w:color="E5E5E5"/>
            </w:tcBorders>
          </w:tcPr>
          <w:p>
            <w:pPr>
              <w:jc w:val="right"/>
              <w:ind w:right="422"/>
              <w:spacing w:after="0"/>
              <w:rPr>
                <w:sz w:val="20"/>
                <w:szCs w:val="20"/>
                <w:color w:val="auto"/>
              </w:rPr>
            </w:pPr>
            <w:r>
              <w:rPr>
                <w:rFonts w:ascii="Arial" w:cs="Arial" w:eastAsia="Arial" w:hAnsi="Arial"/>
                <w:sz w:val="16"/>
                <w:szCs w:val="16"/>
                <w:color w:val="auto"/>
              </w:rPr>
              <w:t>50</w:t>
            </w:r>
          </w:p>
        </w:tc>
        <w:tc>
          <w:tcPr>
            <w:tcW w:w="440" w:type="dxa"/>
            <w:vAlign w:val="bottom"/>
            <w:tcBorders>
              <w:bottom w:val="single" w:sz="8" w:color="E5E5E5"/>
            </w:tcBorders>
          </w:tcPr>
          <w:p>
            <w:pPr>
              <w:spacing w:after="0"/>
              <w:rPr>
                <w:sz w:val="24"/>
                <w:szCs w:val="24"/>
                <w:color w:val="auto"/>
              </w:rPr>
            </w:pPr>
          </w:p>
        </w:tc>
        <w:tc>
          <w:tcPr>
            <w:tcW w:w="1060" w:type="dxa"/>
            <w:vAlign w:val="bottom"/>
            <w:tcBorders>
              <w:bottom w:val="single" w:sz="8" w:color="E5E5E5"/>
            </w:tcBorders>
          </w:tcPr>
          <w:p>
            <w:pPr>
              <w:jc w:val="right"/>
              <w:ind w:right="103"/>
              <w:spacing w:after="0"/>
              <w:rPr>
                <w:sz w:val="20"/>
                <w:szCs w:val="20"/>
                <w:color w:val="auto"/>
              </w:rPr>
            </w:pPr>
            <w:r>
              <w:rPr>
                <w:rFonts w:ascii="Arial" w:cs="Arial" w:eastAsia="Arial" w:hAnsi="Arial"/>
                <w:sz w:val="16"/>
                <w:szCs w:val="16"/>
                <w:color w:val="auto"/>
              </w:rPr>
              <w:t>200,000</w:t>
            </w:r>
          </w:p>
        </w:tc>
        <w:tc>
          <w:tcPr>
            <w:tcW w:w="420" w:type="dxa"/>
            <w:vAlign w:val="bottom"/>
            <w:tcBorders>
              <w:bottom w:val="single" w:sz="8" w:color="E5E5E5"/>
            </w:tcBorders>
          </w:tcPr>
          <w:p>
            <w:pPr>
              <w:spacing w:after="0"/>
              <w:rPr>
                <w:sz w:val="24"/>
                <w:szCs w:val="24"/>
                <w:color w:val="auto"/>
              </w:rPr>
            </w:pPr>
          </w:p>
        </w:tc>
        <w:tc>
          <w:tcPr>
            <w:tcW w:w="1300" w:type="dxa"/>
            <w:vAlign w:val="bottom"/>
            <w:tcBorders>
              <w:bottom w:val="single" w:sz="8" w:color="E5E5E5"/>
            </w:tcBorders>
          </w:tcPr>
          <w:p>
            <w:pPr>
              <w:jc w:val="right"/>
              <w:ind w:right="102"/>
              <w:spacing w:after="0"/>
              <w:rPr>
                <w:sz w:val="20"/>
                <w:szCs w:val="20"/>
                <w:color w:val="auto"/>
              </w:rPr>
            </w:pPr>
            <w:r>
              <w:rPr>
                <w:rFonts w:ascii="Arial" w:cs="Arial" w:eastAsia="Arial" w:hAnsi="Arial"/>
                <w:sz w:val="16"/>
                <w:szCs w:val="16"/>
                <w:color w:val="auto"/>
              </w:rPr>
              <w:t>103.0%</w:t>
            </w:r>
          </w:p>
        </w:tc>
        <w:tc>
          <w:tcPr>
            <w:tcW w:w="440" w:type="dxa"/>
            <w:vAlign w:val="bottom"/>
            <w:tcBorders>
              <w:bottom w:val="single" w:sz="8" w:color="E5E5E5"/>
            </w:tcBorders>
          </w:tcPr>
          <w:p>
            <w:pPr>
              <w:spacing w:after="0"/>
              <w:rPr>
                <w:sz w:val="24"/>
                <w:szCs w:val="24"/>
                <w:color w:val="auto"/>
              </w:rPr>
            </w:pPr>
          </w:p>
        </w:tc>
        <w:tc>
          <w:tcPr>
            <w:tcW w:w="980" w:type="dxa"/>
            <w:vAlign w:val="bottom"/>
            <w:tcBorders>
              <w:bottom w:val="single" w:sz="8" w:color="E5E5E5"/>
            </w:tcBorders>
          </w:tcPr>
          <w:p>
            <w:pPr>
              <w:jc w:val="right"/>
              <w:spacing w:after="0"/>
              <w:rPr>
                <w:sz w:val="20"/>
                <w:szCs w:val="20"/>
                <w:color w:val="auto"/>
              </w:rPr>
            </w:pPr>
            <w:r>
              <w:rPr>
                <w:rFonts w:ascii="Arial" w:cs="Arial" w:eastAsia="Arial" w:hAnsi="Arial"/>
                <w:sz w:val="16"/>
                <w:szCs w:val="16"/>
                <w:color w:val="auto"/>
              </w:rPr>
              <w:t>206,009</w:t>
            </w:r>
          </w:p>
        </w:tc>
        <w:tc>
          <w:tcPr>
            <w:tcW w:w="0" w:type="dxa"/>
            <w:vAlign w:val="bottom"/>
          </w:tcPr>
          <w:p>
            <w:pPr>
              <w:spacing w:after="0"/>
              <w:rPr>
                <w:sz w:val="1"/>
                <w:szCs w:val="1"/>
                <w:color w:val="auto"/>
              </w:rPr>
            </w:pPr>
          </w:p>
        </w:tc>
      </w:tr>
      <w:tr>
        <w:trPr>
          <w:trHeight w:val="197"/>
        </w:trPr>
        <w:tc>
          <w:tcPr>
            <w:tcW w:w="36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Thierry Mabru</w:t>
            </w:r>
          </w:p>
        </w:tc>
        <w:tc>
          <w:tcPr>
            <w:tcW w:w="104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2,600</w:t>
            </w:r>
          </w:p>
        </w:tc>
        <w:tc>
          <w:tcPr>
            <w:tcW w:w="42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rPr>
              <w:t>50</w:t>
            </w:r>
          </w:p>
        </w:tc>
        <w:tc>
          <w:tcPr>
            <w:tcW w:w="44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03"/>
              <w:spacing w:after="0"/>
              <w:rPr>
                <w:sz w:val="20"/>
                <w:szCs w:val="20"/>
                <w:color w:val="auto"/>
              </w:rPr>
            </w:pPr>
            <w:r>
              <w:rPr>
                <w:rFonts w:ascii="Arial" w:cs="Arial" w:eastAsia="Arial" w:hAnsi="Arial"/>
                <w:sz w:val="16"/>
                <w:szCs w:val="16"/>
                <w:color w:val="auto"/>
              </w:rPr>
              <w:t>130,000</w:t>
            </w:r>
          </w:p>
        </w:tc>
        <w:tc>
          <w:tcPr>
            <w:tcW w:w="42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36.0%</w:t>
            </w:r>
          </w:p>
        </w:tc>
        <w:tc>
          <w:tcPr>
            <w:tcW w:w="44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46,803</w:t>
            </w:r>
          </w:p>
        </w:tc>
        <w:tc>
          <w:tcPr>
            <w:tcW w:w="0" w:type="dxa"/>
            <w:vAlign w:val="bottom"/>
          </w:tcPr>
          <w:p>
            <w:pPr>
              <w:spacing w:after="0"/>
              <w:rPr>
                <w:sz w:val="1"/>
                <w:szCs w:val="1"/>
                <w:color w:val="auto"/>
              </w:rPr>
            </w:pPr>
          </w:p>
        </w:tc>
      </w:tr>
      <w:tr>
        <w:trPr>
          <w:trHeight w:val="100"/>
        </w:trPr>
        <w:tc>
          <w:tcPr>
            <w:tcW w:w="3600" w:type="dxa"/>
            <w:vAlign w:val="bottom"/>
            <w:tcBorders>
              <w:bottom w:val="single" w:sz="8" w:color="E52823"/>
            </w:tcBorders>
            <w:shd w:val="clear" w:color="auto" w:fill="E5E5E5"/>
          </w:tcPr>
          <w:p>
            <w:pPr>
              <w:spacing w:after="0"/>
              <w:rPr>
                <w:sz w:val="8"/>
                <w:szCs w:val="8"/>
                <w:color w:val="auto"/>
              </w:rPr>
            </w:pPr>
          </w:p>
        </w:tc>
        <w:tc>
          <w:tcPr>
            <w:tcW w:w="1040" w:type="dxa"/>
            <w:vAlign w:val="bottom"/>
            <w:tcBorders>
              <w:bottom w:val="single" w:sz="8" w:color="E52823"/>
            </w:tcBorders>
            <w:shd w:val="clear" w:color="auto" w:fill="E5E5E5"/>
          </w:tcPr>
          <w:p>
            <w:pPr>
              <w:spacing w:after="0"/>
              <w:rPr>
                <w:sz w:val="8"/>
                <w:szCs w:val="8"/>
                <w:color w:val="auto"/>
              </w:rPr>
            </w:pPr>
          </w:p>
        </w:tc>
        <w:tc>
          <w:tcPr>
            <w:tcW w:w="420" w:type="dxa"/>
            <w:vAlign w:val="bottom"/>
            <w:tcBorders>
              <w:bottom w:val="single" w:sz="8" w:color="E52823"/>
            </w:tcBorders>
            <w:shd w:val="clear" w:color="auto" w:fill="E5E5E5"/>
          </w:tcPr>
          <w:p>
            <w:pPr>
              <w:spacing w:after="0"/>
              <w:rPr>
                <w:sz w:val="8"/>
                <w:szCs w:val="8"/>
                <w:color w:val="auto"/>
              </w:rPr>
            </w:pPr>
          </w:p>
        </w:tc>
        <w:tc>
          <w:tcPr>
            <w:tcW w:w="1320" w:type="dxa"/>
            <w:vAlign w:val="bottom"/>
            <w:tcBorders>
              <w:bottom w:val="single" w:sz="8" w:color="E52823"/>
            </w:tcBorders>
            <w:shd w:val="clear" w:color="auto" w:fill="E5E5E5"/>
          </w:tcPr>
          <w:p>
            <w:pPr>
              <w:spacing w:after="0"/>
              <w:rPr>
                <w:sz w:val="8"/>
                <w:szCs w:val="8"/>
                <w:color w:val="auto"/>
              </w:rPr>
            </w:pPr>
          </w:p>
        </w:tc>
        <w:tc>
          <w:tcPr>
            <w:tcW w:w="440" w:type="dxa"/>
            <w:vAlign w:val="bottom"/>
            <w:tcBorders>
              <w:bottom w:val="single" w:sz="8" w:color="E52823"/>
            </w:tcBorders>
            <w:shd w:val="clear" w:color="auto" w:fill="E5E5E5"/>
          </w:tcPr>
          <w:p>
            <w:pPr>
              <w:spacing w:after="0"/>
              <w:rPr>
                <w:sz w:val="8"/>
                <w:szCs w:val="8"/>
                <w:color w:val="auto"/>
              </w:rPr>
            </w:pPr>
          </w:p>
        </w:tc>
        <w:tc>
          <w:tcPr>
            <w:tcW w:w="1060" w:type="dxa"/>
            <w:vAlign w:val="bottom"/>
            <w:tcBorders>
              <w:bottom w:val="single" w:sz="8" w:color="E52823"/>
            </w:tcBorders>
            <w:shd w:val="clear" w:color="auto" w:fill="E5E5E5"/>
          </w:tcPr>
          <w:p>
            <w:pPr>
              <w:spacing w:after="0"/>
              <w:rPr>
                <w:sz w:val="8"/>
                <w:szCs w:val="8"/>
                <w:color w:val="auto"/>
              </w:rPr>
            </w:pPr>
          </w:p>
        </w:tc>
        <w:tc>
          <w:tcPr>
            <w:tcW w:w="420" w:type="dxa"/>
            <w:vAlign w:val="bottom"/>
            <w:tcBorders>
              <w:bottom w:val="single" w:sz="8" w:color="E52823"/>
            </w:tcBorders>
            <w:shd w:val="clear" w:color="auto" w:fill="E5E5E5"/>
          </w:tcPr>
          <w:p>
            <w:pPr>
              <w:spacing w:after="0"/>
              <w:rPr>
                <w:sz w:val="8"/>
                <w:szCs w:val="8"/>
                <w:color w:val="auto"/>
              </w:rPr>
            </w:pPr>
          </w:p>
        </w:tc>
        <w:tc>
          <w:tcPr>
            <w:tcW w:w="1300" w:type="dxa"/>
            <w:vAlign w:val="bottom"/>
            <w:tcBorders>
              <w:bottom w:val="single" w:sz="8" w:color="E52823"/>
            </w:tcBorders>
            <w:shd w:val="clear" w:color="auto" w:fill="E5E5E5"/>
          </w:tcPr>
          <w:p>
            <w:pPr>
              <w:spacing w:after="0"/>
              <w:rPr>
                <w:sz w:val="8"/>
                <w:szCs w:val="8"/>
                <w:color w:val="auto"/>
              </w:rPr>
            </w:pPr>
          </w:p>
        </w:tc>
        <w:tc>
          <w:tcPr>
            <w:tcW w:w="440" w:type="dxa"/>
            <w:vAlign w:val="bottom"/>
            <w:tcBorders>
              <w:bottom w:val="single" w:sz="8" w:color="E52823"/>
            </w:tcBorders>
            <w:shd w:val="clear" w:color="auto" w:fill="E5E5E5"/>
          </w:tcPr>
          <w:p>
            <w:pPr>
              <w:spacing w:after="0"/>
              <w:rPr>
                <w:sz w:val="8"/>
                <w:szCs w:val="8"/>
                <w:color w:val="auto"/>
              </w:rPr>
            </w:pPr>
          </w:p>
        </w:tc>
        <w:tc>
          <w:tcPr>
            <w:tcW w:w="980" w:type="dxa"/>
            <w:vAlign w:val="bottom"/>
            <w:tcBorders>
              <w:bottom w:val="single" w:sz="8" w:color="E52823"/>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annualized target value of one Growth Plan unit (i.e., $100 unit value divided by 2), consistent with the Honeywell MDCC’s allocation of biennial awards.</w:t>
      </w:r>
    </w:p>
    <w:p>
      <w:pPr>
        <w:spacing w:after="0" w:line="66" w:lineRule="exact"/>
        <w:rPr>
          <w:rFonts w:ascii="Arial" w:cs="Arial" w:eastAsia="Arial" w:hAnsi="Arial"/>
          <w:sz w:val="13"/>
          <w:szCs w:val="13"/>
          <w:color w:val="auto"/>
        </w:rPr>
      </w:pPr>
    </w:p>
    <w:p>
      <w:pPr>
        <w:ind w:left="440" w:right="240" w:hanging="324"/>
        <w:spacing w:after="0" w:line="230" w:lineRule="auto"/>
        <w:tabs>
          <w:tab w:leader="none" w:pos="4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portion of the earned award under the biennial Growth Plan attributable to 2017. The full earned award is shown in the column to the right. 50% of the full earned award was paid in March 2018 and the remaining 50% was paid in March 2019, subject to active employment on the payment date.</w:t>
      </w:r>
    </w:p>
    <w:p>
      <w:pPr>
        <w:spacing w:after="0" w:line="64" w:lineRule="exact"/>
        <w:rPr>
          <w:rFonts w:ascii="Arial" w:cs="Arial" w:eastAsia="Arial" w:hAnsi="Arial"/>
          <w:sz w:val="13"/>
          <w:szCs w:val="13"/>
          <w:color w:val="auto"/>
        </w:rPr>
      </w:pPr>
    </w:p>
    <w:p>
      <w:pPr>
        <w:ind w:left="440" w:hanging="324"/>
        <w:spacing w:after="0"/>
        <w:tabs>
          <w:tab w:leader="none" w:pos="4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During the 2016-2017 performance cycle Mr. Maironi was serving under the Performance Materials &amp; Technology (PMT) SBG of Honeywell, the calculated payout of which was 103% of target.</w:t>
      </w:r>
    </w:p>
    <w:p>
      <w:pPr>
        <w:spacing w:after="0" w:line="194"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auto"/>
        </w:rPr>
        <w:t>Under the deferred payout feature of the prior Growth Plan, 50% of the earned amounts for the final performance cycle of January 1, 2016 through December 31, 2017 was paid in March 2018. The liability for the final earned payment for the 2016-2017 Growth Plan performance cycle was assumed by the Company and was paid to eligible executives in the first quarter of 2019, subject to each such executive remaining employed by us as of the date of payment. Because these amounts were earned and determinable in 2017, SEC rules do not require us to disclose in the Summary Compensation Table the payouts made in March 2018 or March 2019.</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Company Compensation Programs for Fiscal 2020</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Program Overview</w:t>
      </w:r>
    </w:p>
    <w:p>
      <w:pPr>
        <w:spacing w:after="0" w:line="214"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6"/>
          <w:szCs w:val="16"/>
          <w:color w:val="auto"/>
        </w:rPr>
        <w:t>As mentioned before in 2019 we started shareholder outreach to solicit feedback on compensation and governance matters. In response to feedback on our incentive measures and long-term vehicle mix, and considering compensation practices especially in our peer group, our 2020 program has evolved from our 2019 program to:</w:t>
      </w:r>
    </w:p>
    <w:p>
      <w:pPr>
        <w:spacing w:after="0" w:line="66" w:lineRule="exact"/>
        <w:rPr>
          <w:sz w:val="20"/>
          <w:szCs w:val="20"/>
          <w:color w:val="auto"/>
        </w:rPr>
      </w:pPr>
    </w:p>
    <w:p>
      <w:pPr>
        <w:ind w:left="340" w:hanging="224"/>
        <w:spacing w:after="0"/>
        <w:tabs>
          <w:tab w:leader="none" w:pos="340" w:val="left"/>
        </w:tabs>
        <w:numPr>
          <w:ilvl w:val="0"/>
          <w:numId w:val="40"/>
        </w:numPr>
        <w:rPr>
          <w:rFonts w:ascii="Arial" w:cs="Arial" w:eastAsia="Arial" w:hAnsi="Arial"/>
          <w:sz w:val="16"/>
          <w:szCs w:val="16"/>
          <w:color w:val="E52823"/>
        </w:rPr>
      </w:pPr>
      <w:r>
        <w:rPr>
          <w:rFonts w:ascii="Arial" w:cs="Arial" w:eastAsia="Arial" w:hAnsi="Arial"/>
          <w:sz w:val="16"/>
          <w:szCs w:val="16"/>
          <w:color w:val="auto"/>
        </w:rPr>
        <w:t>Differentiate the performance metrics used between the 2020 ICP and 2020-2022 Long-term Incentive Plan;</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40"/>
        </w:numPr>
        <w:rPr>
          <w:rFonts w:ascii="Arial" w:cs="Arial" w:eastAsia="Arial" w:hAnsi="Arial"/>
          <w:sz w:val="16"/>
          <w:szCs w:val="16"/>
          <w:color w:val="E52823"/>
        </w:rPr>
      </w:pPr>
      <w:r>
        <w:rPr>
          <w:rFonts w:ascii="Arial" w:cs="Arial" w:eastAsia="Arial" w:hAnsi="Arial"/>
          <w:sz w:val="16"/>
          <w:szCs w:val="16"/>
          <w:color w:val="auto"/>
        </w:rPr>
        <w:t>Shift the long-term vehicle mix to primarily PSUs; and</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40"/>
        </w:numPr>
        <w:rPr>
          <w:rFonts w:ascii="Arial" w:cs="Arial" w:eastAsia="Arial" w:hAnsi="Arial"/>
          <w:sz w:val="16"/>
          <w:szCs w:val="16"/>
          <w:color w:val="E52823"/>
        </w:rPr>
      </w:pPr>
      <w:r>
        <w:rPr>
          <w:rFonts w:ascii="Arial" w:cs="Arial" w:eastAsia="Arial" w:hAnsi="Arial"/>
          <w:sz w:val="16"/>
          <w:szCs w:val="16"/>
          <w:color w:val="auto"/>
        </w:rPr>
        <w:t>Include relative and absolute TSR in our PSUs to signify our commitment to our shareholders.</w:t>
      </w:r>
    </w:p>
    <w:p>
      <w:pPr>
        <w:spacing w:after="0" w:line="181"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auto"/>
        </w:rPr>
        <w:t>We believe these updated plans and metrics will best position the Company to execute our long-term strategy and to position us to be successful over the long term in delivering shareholder value.</w:t>
      </w:r>
    </w:p>
    <w:p>
      <w:pPr>
        <w:spacing w:after="0" w:line="155"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auto"/>
        </w:rPr>
        <w:t>These updated plans are described in further detail below. Since designing these plans, the global COVID-19 pandemic has had an impact on the automotive industry, and Garrett is continually monitoring the pandemic’s effects on the industry and the Company’s supply chain. The Compensation Committee established compensation plans for 2020 at a time when the impact of COVID-19 on the Company’s results was mostly unknown and acknowledged, at that time, that it would be necessary to review the incentive plans and the Company’s performance in light of the external environment during the course of, and following, 2020 and to utilize its business judgment in applying discretion to arrive at the appropriate outcome.</w:t>
      </w:r>
    </w:p>
    <w:p>
      <w:pPr>
        <w:spacing w:after="0" w:line="176"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In addition, in light of the uncertainties related to the COVID-19 pandemic, the Named Executive Officers agreed to reduce their annual base salaries by 20% for the second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35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2020 ICP Program</w:t>
      </w:r>
    </w:p>
    <w:p>
      <w:pPr>
        <w:spacing w:after="0" w:line="129" w:lineRule="exact"/>
        <w:rPr>
          <w:sz w:val="20"/>
          <w:szCs w:val="20"/>
          <w:color w:val="auto"/>
        </w:rPr>
      </w:pPr>
    </w:p>
    <w:p>
      <w:pPr>
        <w:ind w:left="120" w:right="280"/>
        <w:spacing w:after="0" w:line="251" w:lineRule="auto"/>
        <w:rPr>
          <w:sz w:val="20"/>
          <w:szCs w:val="20"/>
          <w:color w:val="auto"/>
        </w:rPr>
      </w:pPr>
      <w:r>
        <w:rPr>
          <w:rFonts w:ascii="Arial" w:cs="Arial" w:eastAsia="Arial" w:hAnsi="Arial"/>
          <w:sz w:val="16"/>
          <w:szCs w:val="16"/>
          <w:color w:val="auto"/>
        </w:rPr>
        <w:t>In 2020, we expect our ICP program will be based in part on the achievement of objective Company performance criteria, which will represent 75% of each award opportunity, and on the achievement of individual performance partially related to transformative goals, which will represent the remaining 25% of each award opportunity. The company performance goals for the 2020 ICP will be Adjusted EBITDA margin and Adjusted Free Cash Flow Conversion, weighted 40% and 60%, respectively, and will be based on the 2020 fiscal year performance period.</w:t>
      </w:r>
    </w:p>
    <w:p>
      <w:pPr>
        <w:spacing w:after="0" w:line="175"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We have placed greater emphasis on Adjusted EBITDA margin and Adjusted Free Cash Flow Conversion in lieu of Organic Revenue Growth to help ensure that the Company focuses in the near-term on generating higher margins than competitors and maximizing cash flow to deleverage and reinvest back into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126365</wp:posOffset>
            </wp:positionV>
            <wp:extent cx="3600450" cy="14655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0045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2020-2022 Long Term Incentive Plan (</w:t>
      </w:r>
      <w:r>
        <w:rPr>
          <w:rFonts w:ascii="Arial" w:cs="Arial" w:eastAsia="Arial" w:hAnsi="Arial"/>
          <w:sz w:val="16"/>
          <w:szCs w:val="16"/>
          <w:i w:val="1"/>
          <w:iCs w:val="1"/>
          <w:color w:val="auto"/>
        </w:rPr>
        <w:t>2020-2022 LTI Plan</w:t>
      </w:r>
      <w:r>
        <w:rPr>
          <w:rFonts w:ascii="Arial" w:cs="Arial" w:eastAsia="Arial" w:hAnsi="Arial"/>
          <w:sz w:val="16"/>
          <w:szCs w:val="16"/>
          <w:color w:val="auto"/>
        </w:rPr>
        <w:t>)</w:t>
      </w:r>
    </w:p>
    <w:p>
      <w:pPr>
        <w:spacing w:after="0" w:line="129"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Under our 2020-2022 Long-Term Incentive Plan (“2020-2022 LTI Plan”), the Compensation Committee has granted awards, 60% in the form of PSUs and 40% in the form of RSUs. For the 2020-2022 LTI Plan, we have increased the weighting of PSUs to 60% from 50% in order to further align our Named Executive Officers’ compensation with shareholder outcomes. As a result of this update, we have also eliminated the usage of stock options and increased the weighting of RSUs to 40% from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221615</wp:posOffset>
            </wp:positionV>
            <wp:extent cx="3848735" cy="14573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4873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0" w:right="280"/>
        <w:spacing w:after="0" w:line="251" w:lineRule="auto"/>
        <w:rPr>
          <w:sz w:val="20"/>
          <w:szCs w:val="20"/>
          <w:color w:val="auto"/>
        </w:rPr>
      </w:pPr>
      <w:r>
        <w:rPr>
          <w:rFonts w:ascii="Arial" w:cs="Arial" w:eastAsia="Arial" w:hAnsi="Arial"/>
          <w:sz w:val="16"/>
          <w:szCs w:val="16"/>
          <w:color w:val="auto"/>
        </w:rPr>
        <w:t>For the PSU awards under the 2020-2022 LTI Plan, we have updated the performance metrics to include Relative Organic Revenue Growth, Adjusted Free Cash Flow Conversion, and relative TSR, each weighted 30%, 30%, and 40% respectively. Additionally, the PSUs will be subject to an Absolute TSR modifier. The company performance goals for the PSUs under the 2020-2022 LTI Plan are based on a three-year performance period beginning January 1, 2020 and ending December 31, 2022. Achievement at or above maximum for each metric will be capped at 200% of target.</w:t>
      </w:r>
    </w:p>
    <w:p>
      <w:pPr>
        <w:spacing w:after="0" w:line="17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Company determined to include two relative measures – Relative Organic Revenue Growth, and Relative TSR – to emphasize peer outperformance in a competitive landscape. In addition, the introduction of TSR as 40% of the PSUs signifies our commitment to provide superior returns to our shareholders. Adjusted Free Cash Flow Conversion remains an important part of the PSUs to further emphasize deleveraging the Company over the long term. The Compensation Committee believes these metrics are aligned with feedback received from stockholder outreach discussions and are critical at this time for executing the Company’s near- and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36</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Further, specific to the 2020 award, we have added an Absolute TSR component that will deliver up to an incremental 50% of the target PSUs depending on the stock price at the end of the performance period such that the maximum number of PSUs that may be earned under the 2020-2022 LTI Plan will be at 250% of target. The Company determined that including an Absolute TSR component for 2020 will serve as a powerful means to incentivize share price appreciation back to and above the Company’s opening price per share of common stock on the date of the Spin-Off, October 1, 2018 (the “Spin-Off Price”). To that end, threshold performance to start earning a portion of the component starts at a 20% premium over the 30-day stock price average ($8.38) preceding the grant date, and the price to earn maximum for this component has been established at $20, approximately 14% higher than the Spin-Off Price and 139% higher than the 30-day average price on the date of grant. Payouts are linear between the threshold and maximum depending on the resulting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147320</wp:posOffset>
            </wp:positionV>
            <wp:extent cx="5083175" cy="14744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8317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6"/>
          <w:szCs w:val="16"/>
          <w:color w:val="auto"/>
        </w:rPr>
        <w:t>Our 2020 program has evolved from our 2019 program to differentiate the short- and long-term incentive programs measurement and to incorporate two relative metrics as part of the LTI Plan (Relative Organic Revenue Growth and Relative TSR), as well as to incorporate an Absolute TSR modifier. We will continue to review and design our compensation programs and amend as necessary to support our business strategy and organizational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6254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37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Matters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Tax and Accounting Considerations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409A of the Internal Revenue Code</w:t>
      </w:r>
    </w:p>
    <w:p>
      <w:pPr>
        <w:ind w:left="120"/>
        <w:spacing w:after="0" w:line="249" w:lineRule="auto"/>
        <w:rPr>
          <w:sz w:val="20"/>
          <w:szCs w:val="20"/>
          <w:color w:val="auto"/>
        </w:rPr>
      </w:pPr>
      <w:r>
        <w:rPr>
          <w:rFonts w:ascii="Arial" w:cs="Arial" w:eastAsia="Arial" w:hAnsi="Arial"/>
          <w:sz w:val="16"/>
          <w:szCs w:val="16"/>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of the Code.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280G of the Internal Revenue Code</w:t>
      </w:r>
    </w:p>
    <w:p>
      <w:pPr>
        <w:ind w:left="120" w:right="500"/>
        <w:spacing w:after="0" w:line="260" w:lineRule="auto"/>
        <w:rPr>
          <w:sz w:val="20"/>
          <w:szCs w:val="20"/>
          <w:color w:val="auto"/>
        </w:rPr>
      </w:pPr>
      <w:r>
        <w:rPr>
          <w:rFonts w:ascii="Arial" w:cs="Arial" w:eastAsia="Arial" w:hAnsi="Arial"/>
          <w:sz w:val="16"/>
          <w:szCs w:val="16"/>
          <w:color w:val="auto"/>
        </w:rPr>
        <w:t>Section 280G of the Code disallows a tax deduction with respect to excess parachute payments to certain executives of companies that undergo a change in control. In addition, Section 4999 of the Code imposes a 20% penalty on the individual receiving the excess payment.</w:t>
      </w:r>
    </w:p>
    <w:p>
      <w:pPr>
        <w:spacing w:after="0" w:line="195" w:lineRule="exact"/>
        <w:rPr>
          <w:sz w:val="20"/>
          <w:szCs w:val="20"/>
          <w:color w:val="auto"/>
        </w:rPr>
      </w:pPr>
    </w:p>
    <w:p>
      <w:pPr>
        <w:ind w:left="120" w:right="140"/>
        <w:spacing w:after="0" w:line="248" w:lineRule="auto"/>
        <w:rPr>
          <w:sz w:val="20"/>
          <w:szCs w:val="20"/>
          <w:color w:val="auto"/>
        </w:rPr>
      </w:pPr>
      <w:r>
        <w:rPr>
          <w:rFonts w:ascii="Arial" w:cs="Arial" w:eastAsia="Arial" w:hAnsi="Arial"/>
          <w:sz w:val="16"/>
          <w:szCs w:val="16"/>
          <w:color w:val="auto"/>
        </w:rPr>
        <w:t>Parachute payments are compensation that is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executive’s prior compensation. In approving the compensation arrangements for our Named Executive Officers in the future, the Compensation Committee will consider all elements of the cost to the Company of providing such compensation, including the potential impact of Section 280G of the Code. However, the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Standards</w:t>
      </w:r>
    </w:p>
    <w:p>
      <w:pPr>
        <w:ind w:left="120" w:right="40"/>
        <w:spacing w:after="0" w:line="248" w:lineRule="auto"/>
        <w:rPr>
          <w:sz w:val="20"/>
          <w:szCs w:val="20"/>
          <w:color w:val="auto"/>
        </w:rPr>
      </w:pPr>
      <w:r>
        <w:rPr>
          <w:rFonts w:ascii="Arial" w:cs="Arial" w:eastAsia="Arial" w:hAnsi="Arial"/>
          <w:sz w:val="16"/>
          <w:szCs w:val="16"/>
          <w:color w:val="auto"/>
        </w:rPr>
        <w:t>ASC Topic 718 requires us to calculate the grant date “fair value” of our stock-based awards using a variety of assumptions. ASC Topic 718 also requires us to recognize an expense for the fair value of equity-based compensation awards. Grants of restricted stock, RSUs and performance units under our equity incentive award plans will be accounted for under ASC Topic 718. We have adopted ASU 2016-09, Improvements to Employee Share-Based Payment Accounting, and elected to account for forfeitures of awards at the time of grant. The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Responsible Equity Grant Practices</w:t>
      </w:r>
    </w:p>
    <w:p>
      <w:pPr>
        <w:spacing w:after="0" w:line="196"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Our equity grant practices ensure all grants are made on fixed grant dates and at exercise prices or grant prices equal to the fair market value of our Common Stock on such dates. Equity grants are awarded under our stockholder-approved plans and we do not backdate, reprice or grant equity awards retroactively. Our stockholder-approved equity plans prohibit repricing of awards or exchanges of underwater options for cash or other securities without stockholder approval.</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Securities Trading Policy</w:t>
      </w:r>
    </w:p>
    <w:p>
      <w:pPr>
        <w:spacing w:after="0" w:line="196"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auto"/>
        </w:rPr>
        <w:t>Our policy on securities trading prohibits our directors, officers and employees from trading in our securities during certain designated blackout periods and otherwise while they are aware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38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Prohibition on Hedging and Pledging</w:t>
      </w:r>
    </w:p>
    <w:p>
      <w:pPr>
        <w:spacing w:after="0" w:line="209"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6"/>
          <w:szCs w:val="16"/>
          <w:color w:val="auto"/>
        </w:rPr>
        <w:t>Our securities trading policy also prohibits hedging by directors and executive officers, and their Related Prohibited Persons, and prohibits short sales, pledging and buying or selling puts, calls, options or other derivative securities of the Company by directors, officers and employees, and their Related Prohibited Persons. See “Prohibition of Hedging or Pledging the Company’s Securities” above for more information about the securities trading policy.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Clawback Policy</w:t>
      </w:r>
    </w:p>
    <w:p>
      <w:pPr>
        <w:spacing w:after="0" w:line="196"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In 2019, we adopted a Clawback Policy which requires certain cash and equity incentive compensation to be repaid to the Company by its executive officers in the event of the Company being required to prepare an accounting restatement as a result of intentional or grossly negligent misconduct by such executive officer. The Clawback Policy also authorizes the Board, or a designated committee, to recoup bonus or incentive compensation (whether cash-based or equity-based) such executive officer received during the three fiscal years preceding the year the restatement is determined to be required, to the extent such bonus or incentive compensation exceeds what the executive officer would have received based on an applicable restated performance measure or target.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Stock Ownership Guidelines and Broad-Based Stock Ownership</w:t>
      </w:r>
    </w:p>
    <w:p>
      <w:pPr>
        <w:spacing w:after="0" w:line="196"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In addition to the elements of executive officer compensation described above, we have adopted stock ownership guidelines pursuant to which our Named Executive Officers are required to hold a number of shares of our common stock having a market value equal to or greater than a multiple of each executive’s base salary. Until the applicable ownership guideline is achieved, each Named Executive Officer is required to retain at least 50% of the shares acquired from Company equity awards after payment (or withholding) of the exercise price, if applicable, and taxes. Once the applicable ownership guideline is achieved, the aforementioned retention ratio will no longer apply. If a Named Executive Officer’s share ownership subsequently falls back below the applicable ownership guideline and remains below the ownership guideline on a continuous basis for a period of more than 24 months, the Named Executive Officer will be required to comply again with the retention ratio until such time as the Named Executive Officer again achieves the ownership guidelines.</w:t>
      </w:r>
    </w:p>
    <w:p>
      <w:pPr>
        <w:spacing w:after="0" w:line="167"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auto"/>
        </w:rPr>
        <w:t>Our ownership guidelines are shown below. We believe the use of a retention ratio appropriately balances the need to work toward achieving these requirements with standard liquidity needs our Named Executive Officers may face. As of December 31, 2019, all of our Named Executive Officers met their share ownership requirements under our ownership guidelines.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2520" w:type="dxa"/>
            <w:vAlign w:val="bottom"/>
          </w:tcPr>
          <w:p>
            <w:pPr>
              <w:jc w:val="center"/>
              <w:ind w:left="882"/>
              <w:spacing w:after="0"/>
              <w:rPr>
                <w:sz w:val="20"/>
                <w:szCs w:val="20"/>
                <w:color w:val="auto"/>
              </w:rPr>
            </w:pPr>
            <w:r>
              <w:rPr>
                <w:rFonts w:ascii="Arial" w:cs="Arial" w:eastAsia="Arial" w:hAnsi="Arial"/>
                <w:sz w:val="14"/>
                <w:szCs w:val="14"/>
                <w:color w:val="auto"/>
              </w:rPr>
              <w:t>Ownership Guideline as</w:t>
            </w:r>
          </w:p>
        </w:tc>
      </w:tr>
      <w:tr>
        <w:trPr>
          <w:trHeight w:val="162"/>
        </w:trPr>
        <w:tc>
          <w:tcPr>
            <w:tcW w:w="8500" w:type="dxa"/>
            <w:vAlign w:val="bottom"/>
          </w:tcPr>
          <w:p>
            <w:pPr>
              <w:spacing w:after="0"/>
              <w:rPr>
                <w:sz w:val="14"/>
                <w:szCs w:val="14"/>
                <w:color w:val="auto"/>
              </w:rPr>
            </w:pPr>
          </w:p>
        </w:tc>
        <w:tc>
          <w:tcPr>
            <w:tcW w:w="2520" w:type="dxa"/>
            <w:vAlign w:val="bottom"/>
          </w:tcPr>
          <w:p>
            <w:pPr>
              <w:jc w:val="center"/>
              <w:ind w:left="902"/>
              <w:spacing w:after="0"/>
              <w:rPr>
                <w:sz w:val="20"/>
                <w:szCs w:val="20"/>
                <w:color w:val="auto"/>
              </w:rPr>
            </w:pPr>
            <w:r>
              <w:rPr>
                <w:rFonts w:ascii="Arial" w:cs="Arial" w:eastAsia="Arial" w:hAnsi="Arial"/>
                <w:sz w:val="14"/>
                <w:szCs w:val="14"/>
                <w:color w:val="auto"/>
              </w:rPr>
              <w:t>a Multiple of Base</w:t>
            </w:r>
          </w:p>
        </w:tc>
      </w:tr>
      <w:tr>
        <w:trPr>
          <w:trHeight w:val="172"/>
        </w:trPr>
        <w:tc>
          <w:tcPr>
            <w:tcW w:w="8500" w:type="dxa"/>
            <w:vAlign w:val="bottom"/>
          </w:tcPr>
          <w:p>
            <w:pPr>
              <w:ind w:left="60"/>
              <w:spacing w:after="0"/>
              <w:rPr>
                <w:sz w:val="20"/>
                <w:szCs w:val="20"/>
                <w:color w:val="auto"/>
              </w:rPr>
            </w:pPr>
            <w:r>
              <w:rPr>
                <w:rFonts w:ascii="Arial" w:cs="Arial" w:eastAsia="Arial" w:hAnsi="Arial"/>
                <w:sz w:val="14"/>
                <w:szCs w:val="14"/>
                <w:color w:val="auto"/>
              </w:rPr>
              <w:t>Named Executive Officer</w:t>
            </w:r>
          </w:p>
        </w:tc>
        <w:tc>
          <w:tcPr>
            <w:tcW w:w="2520" w:type="dxa"/>
            <w:vAlign w:val="bottom"/>
          </w:tcPr>
          <w:p>
            <w:pPr>
              <w:jc w:val="center"/>
              <w:ind w:left="882"/>
              <w:spacing w:after="0"/>
              <w:rPr>
                <w:sz w:val="20"/>
                <w:szCs w:val="20"/>
                <w:color w:val="auto"/>
              </w:rPr>
            </w:pPr>
            <w:r>
              <w:rPr>
                <w:rFonts w:ascii="Arial" w:cs="Arial" w:eastAsia="Arial" w:hAnsi="Arial"/>
                <w:sz w:val="14"/>
                <w:szCs w:val="14"/>
                <w:color w:val="auto"/>
              </w:rPr>
              <w:t>Salary</w:t>
            </w:r>
          </w:p>
        </w:tc>
      </w:tr>
      <w:tr>
        <w:trPr>
          <w:trHeight w:val="100"/>
        </w:trPr>
        <w:tc>
          <w:tcPr>
            <w:tcW w:w="85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r>
      <w:tr>
        <w:trPr>
          <w:trHeight w:val="210"/>
        </w:trPr>
        <w:tc>
          <w:tcPr>
            <w:tcW w:w="8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Olivier Rabiller</w:t>
            </w:r>
          </w:p>
        </w:tc>
        <w:tc>
          <w:tcPr>
            <w:tcW w:w="2520" w:type="dxa"/>
            <w:vAlign w:val="bottom"/>
            <w:shd w:val="clear" w:color="auto" w:fill="E5E5E5"/>
          </w:tcPr>
          <w:p>
            <w:pPr>
              <w:jc w:val="center"/>
              <w:ind w:left="882"/>
              <w:spacing w:after="0"/>
              <w:rPr>
                <w:sz w:val="20"/>
                <w:szCs w:val="20"/>
                <w:color w:val="auto"/>
              </w:rPr>
            </w:pPr>
            <w:r>
              <w:rPr>
                <w:rFonts w:ascii="Arial" w:cs="Arial" w:eastAsia="Arial" w:hAnsi="Arial"/>
                <w:sz w:val="16"/>
                <w:szCs w:val="16"/>
                <w:color w:val="auto"/>
                <w:w w:val="94"/>
              </w:rPr>
              <w:t>5x</w:t>
            </w:r>
          </w:p>
        </w:tc>
      </w:tr>
      <w:tr>
        <w:trPr>
          <w:trHeight w:val="100"/>
        </w:trPr>
        <w:tc>
          <w:tcPr>
            <w:tcW w:w="8500" w:type="dxa"/>
            <w:vAlign w:val="bottom"/>
            <w:shd w:val="clear" w:color="auto" w:fill="E5E5E5"/>
          </w:tcPr>
          <w:p>
            <w:pPr>
              <w:spacing w:after="0"/>
              <w:rPr>
                <w:sz w:val="8"/>
                <w:szCs w:val="8"/>
                <w:color w:val="auto"/>
              </w:rPr>
            </w:pPr>
          </w:p>
        </w:tc>
        <w:tc>
          <w:tcPr>
            <w:tcW w:w="2520" w:type="dxa"/>
            <w:vAlign w:val="bottom"/>
            <w:shd w:val="clear" w:color="auto" w:fill="E5E5E5"/>
          </w:tcPr>
          <w:p>
            <w:pPr>
              <w:spacing w:after="0"/>
              <w:rPr>
                <w:sz w:val="8"/>
                <w:szCs w:val="8"/>
                <w:color w:val="auto"/>
              </w:rPr>
            </w:pPr>
          </w:p>
        </w:tc>
      </w:tr>
      <w:tr>
        <w:trPr>
          <w:trHeight w:val="224"/>
        </w:trPr>
        <w:tc>
          <w:tcPr>
            <w:tcW w:w="8500" w:type="dxa"/>
            <w:vAlign w:val="bottom"/>
          </w:tcPr>
          <w:p>
            <w:pPr>
              <w:ind w:left="60"/>
              <w:spacing w:after="0"/>
              <w:rPr>
                <w:sz w:val="20"/>
                <w:szCs w:val="20"/>
                <w:color w:val="auto"/>
              </w:rPr>
            </w:pPr>
            <w:r>
              <w:rPr>
                <w:rFonts w:ascii="Arial" w:cs="Arial" w:eastAsia="Arial" w:hAnsi="Arial"/>
                <w:sz w:val="16"/>
                <w:szCs w:val="16"/>
                <w:color w:val="auto"/>
              </w:rPr>
              <w:t>Peter Bracke</w:t>
            </w:r>
          </w:p>
        </w:tc>
        <w:tc>
          <w:tcPr>
            <w:tcW w:w="2520" w:type="dxa"/>
            <w:vAlign w:val="bottom"/>
          </w:tcPr>
          <w:p>
            <w:pPr>
              <w:jc w:val="center"/>
              <w:ind w:left="882"/>
              <w:spacing w:after="0"/>
              <w:rPr>
                <w:sz w:val="20"/>
                <w:szCs w:val="20"/>
                <w:color w:val="auto"/>
              </w:rPr>
            </w:pPr>
            <w:r>
              <w:rPr>
                <w:rFonts w:ascii="Arial" w:cs="Arial" w:eastAsia="Arial" w:hAnsi="Arial"/>
                <w:sz w:val="16"/>
                <w:szCs w:val="16"/>
                <w:color w:val="auto"/>
                <w:w w:val="94"/>
              </w:rPr>
              <w:t>3x</w:t>
            </w:r>
          </w:p>
        </w:tc>
      </w:tr>
      <w:tr>
        <w:trPr>
          <w:trHeight w:val="100"/>
        </w:trPr>
        <w:tc>
          <w:tcPr>
            <w:tcW w:w="8500" w:type="dxa"/>
            <w:vAlign w:val="bottom"/>
          </w:tcPr>
          <w:p>
            <w:pPr>
              <w:spacing w:after="0"/>
              <w:rPr>
                <w:sz w:val="8"/>
                <w:szCs w:val="8"/>
                <w:color w:val="auto"/>
              </w:rPr>
            </w:pPr>
          </w:p>
        </w:tc>
        <w:tc>
          <w:tcPr>
            <w:tcW w:w="2520" w:type="dxa"/>
            <w:vAlign w:val="bottom"/>
          </w:tcPr>
          <w:p>
            <w:pPr>
              <w:spacing w:after="0"/>
              <w:rPr>
                <w:sz w:val="8"/>
                <w:szCs w:val="8"/>
                <w:color w:val="auto"/>
              </w:rPr>
            </w:pPr>
          </w:p>
        </w:tc>
      </w:tr>
      <w:tr>
        <w:trPr>
          <w:trHeight w:val="223"/>
        </w:trPr>
        <w:tc>
          <w:tcPr>
            <w:tcW w:w="8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Craig Balis</w:t>
            </w:r>
          </w:p>
        </w:tc>
        <w:tc>
          <w:tcPr>
            <w:tcW w:w="2520" w:type="dxa"/>
            <w:vAlign w:val="bottom"/>
            <w:shd w:val="clear" w:color="auto" w:fill="E5E5E5"/>
          </w:tcPr>
          <w:p>
            <w:pPr>
              <w:jc w:val="center"/>
              <w:ind w:left="882"/>
              <w:spacing w:after="0"/>
              <w:rPr>
                <w:sz w:val="20"/>
                <w:szCs w:val="20"/>
                <w:color w:val="auto"/>
              </w:rPr>
            </w:pPr>
            <w:r>
              <w:rPr>
                <w:rFonts w:ascii="Arial" w:cs="Arial" w:eastAsia="Arial" w:hAnsi="Arial"/>
                <w:sz w:val="16"/>
                <w:szCs w:val="16"/>
                <w:color w:val="auto"/>
                <w:w w:val="94"/>
              </w:rPr>
              <w:t>3x</w:t>
            </w:r>
          </w:p>
        </w:tc>
      </w:tr>
      <w:tr>
        <w:trPr>
          <w:trHeight w:val="101"/>
        </w:trPr>
        <w:tc>
          <w:tcPr>
            <w:tcW w:w="8500" w:type="dxa"/>
            <w:vAlign w:val="bottom"/>
            <w:shd w:val="clear" w:color="auto" w:fill="E5E5E5"/>
          </w:tcPr>
          <w:p>
            <w:pPr>
              <w:spacing w:after="0"/>
              <w:rPr>
                <w:sz w:val="8"/>
                <w:szCs w:val="8"/>
                <w:color w:val="auto"/>
              </w:rPr>
            </w:pPr>
          </w:p>
        </w:tc>
        <w:tc>
          <w:tcPr>
            <w:tcW w:w="2520" w:type="dxa"/>
            <w:vAlign w:val="bottom"/>
            <w:shd w:val="clear" w:color="auto" w:fill="E5E5E5"/>
          </w:tcPr>
          <w:p>
            <w:pPr>
              <w:spacing w:after="0"/>
              <w:rPr>
                <w:sz w:val="8"/>
                <w:szCs w:val="8"/>
                <w:color w:val="auto"/>
              </w:rPr>
            </w:pPr>
          </w:p>
        </w:tc>
      </w:tr>
      <w:tr>
        <w:trPr>
          <w:trHeight w:val="223"/>
        </w:trPr>
        <w:tc>
          <w:tcPr>
            <w:tcW w:w="8500" w:type="dxa"/>
            <w:vAlign w:val="bottom"/>
          </w:tcPr>
          <w:p>
            <w:pPr>
              <w:ind w:left="60"/>
              <w:spacing w:after="0"/>
              <w:rPr>
                <w:sz w:val="20"/>
                <w:szCs w:val="20"/>
                <w:color w:val="auto"/>
              </w:rPr>
            </w:pPr>
            <w:r>
              <w:rPr>
                <w:rFonts w:ascii="Arial" w:cs="Arial" w:eastAsia="Arial" w:hAnsi="Arial"/>
                <w:sz w:val="16"/>
                <w:szCs w:val="16"/>
                <w:color w:val="auto"/>
              </w:rPr>
              <w:t>Jérôme Maironi</w:t>
            </w:r>
          </w:p>
        </w:tc>
        <w:tc>
          <w:tcPr>
            <w:tcW w:w="2520" w:type="dxa"/>
            <w:vAlign w:val="bottom"/>
          </w:tcPr>
          <w:p>
            <w:pPr>
              <w:jc w:val="center"/>
              <w:ind w:left="882"/>
              <w:spacing w:after="0"/>
              <w:rPr>
                <w:sz w:val="20"/>
                <w:szCs w:val="20"/>
                <w:color w:val="auto"/>
              </w:rPr>
            </w:pPr>
            <w:r>
              <w:rPr>
                <w:rFonts w:ascii="Arial" w:cs="Arial" w:eastAsia="Arial" w:hAnsi="Arial"/>
                <w:sz w:val="16"/>
                <w:szCs w:val="16"/>
                <w:color w:val="auto"/>
                <w:w w:val="94"/>
              </w:rPr>
              <w:t>3x</w:t>
            </w:r>
          </w:p>
        </w:tc>
      </w:tr>
      <w:tr>
        <w:trPr>
          <w:trHeight w:val="100"/>
        </w:trPr>
        <w:tc>
          <w:tcPr>
            <w:tcW w:w="8500" w:type="dxa"/>
            <w:vAlign w:val="bottom"/>
          </w:tcPr>
          <w:p>
            <w:pPr>
              <w:spacing w:after="0"/>
              <w:rPr>
                <w:sz w:val="8"/>
                <w:szCs w:val="8"/>
                <w:color w:val="auto"/>
              </w:rPr>
            </w:pPr>
          </w:p>
        </w:tc>
        <w:tc>
          <w:tcPr>
            <w:tcW w:w="2520" w:type="dxa"/>
            <w:vAlign w:val="bottom"/>
          </w:tcPr>
          <w:p>
            <w:pPr>
              <w:spacing w:after="0"/>
              <w:rPr>
                <w:sz w:val="8"/>
                <w:szCs w:val="8"/>
                <w:color w:val="auto"/>
              </w:rPr>
            </w:pPr>
          </w:p>
        </w:tc>
      </w:tr>
      <w:tr>
        <w:trPr>
          <w:trHeight w:val="223"/>
        </w:trPr>
        <w:tc>
          <w:tcPr>
            <w:tcW w:w="8500" w:type="dxa"/>
            <w:vAlign w:val="bottom"/>
            <w:shd w:val="clear" w:color="auto" w:fill="E5E5E5"/>
          </w:tcPr>
          <w:p>
            <w:pPr>
              <w:ind w:left="60"/>
              <w:spacing w:after="0"/>
              <w:rPr>
                <w:sz w:val="20"/>
                <w:szCs w:val="20"/>
                <w:color w:val="auto"/>
              </w:rPr>
            </w:pPr>
            <w:r>
              <w:rPr>
                <w:rFonts w:ascii="Arial" w:cs="Arial" w:eastAsia="Arial" w:hAnsi="Arial"/>
                <w:sz w:val="16"/>
                <w:szCs w:val="16"/>
                <w:color w:val="auto"/>
              </w:rPr>
              <w:t>Thierry Mabru</w:t>
            </w:r>
          </w:p>
        </w:tc>
        <w:tc>
          <w:tcPr>
            <w:tcW w:w="2520" w:type="dxa"/>
            <w:vAlign w:val="bottom"/>
            <w:shd w:val="clear" w:color="auto" w:fill="E5E5E5"/>
          </w:tcPr>
          <w:p>
            <w:pPr>
              <w:jc w:val="center"/>
              <w:ind w:left="882"/>
              <w:spacing w:after="0"/>
              <w:rPr>
                <w:sz w:val="20"/>
                <w:szCs w:val="20"/>
                <w:color w:val="auto"/>
              </w:rPr>
            </w:pPr>
            <w:r>
              <w:rPr>
                <w:rFonts w:ascii="Arial" w:cs="Arial" w:eastAsia="Arial" w:hAnsi="Arial"/>
                <w:sz w:val="16"/>
                <w:szCs w:val="16"/>
                <w:color w:val="auto"/>
                <w:w w:val="94"/>
              </w:rPr>
              <w:t>2x</w:t>
            </w:r>
          </w:p>
        </w:tc>
      </w:tr>
      <w:tr>
        <w:trPr>
          <w:trHeight w:val="101"/>
        </w:trPr>
        <w:tc>
          <w:tcPr>
            <w:tcW w:w="8500" w:type="dxa"/>
            <w:vAlign w:val="bottom"/>
            <w:tcBorders>
              <w:bottom w:val="single" w:sz="8" w:color="E52823"/>
            </w:tcBorders>
            <w:shd w:val="clear" w:color="auto" w:fill="E5E5E5"/>
          </w:tcPr>
          <w:p>
            <w:pPr>
              <w:spacing w:after="0"/>
              <w:rPr>
                <w:sz w:val="8"/>
                <w:szCs w:val="8"/>
                <w:color w:val="auto"/>
              </w:rPr>
            </w:pPr>
          </w:p>
        </w:tc>
        <w:tc>
          <w:tcPr>
            <w:tcW w:w="2520" w:type="dxa"/>
            <w:vAlign w:val="bottom"/>
            <w:tcBorders>
              <w:bottom w:val="single" w:sz="8" w:color="E52823"/>
            </w:tcBorders>
            <w:shd w:val="clear" w:color="auto" w:fill="E5E5E5"/>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6995160" cy="6254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39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COMPENSATION COMMITTEE REPORT</w:t>
      </w:r>
    </w:p>
    <w:p>
      <w:pPr>
        <w:spacing w:after="0" w:line="218"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i w:val="1"/>
          <w:iCs w:val="1"/>
          <w:color w:val="auto"/>
        </w:rPr>
        <w:t>The information contained in this Report of the Compensation Committee shall not be deemed incorporated by reference in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“soliciting material” or “filed” with the SEC or subject to Regulation 14A or 14C, or to the liabilities of Section 18 of the Exchange Act (except to the extent that we specifically incorporate this information by reference).</w:t>
      </w:r>
    </w:p>
    <w:p>
      <w:pPr>
        <w:spacing w:after="0" w:line="159"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and, based on such review and discussions, recommended to the Board that the Compensation Discussion and Analysis be included in this proxy statement.</w:t>
      </w:r>
    </w:p>
    <w:p>
      <w:pPr>
        <w:spacing w:after="0" w:line="155"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COMPENSATION COMMITTEE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Carsten J. Reinhardt (Chair)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Carlos M. Cardoso</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Maura J. Clark</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Scott A. Tozier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6261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40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SUMMARY COMPENSATION TABLE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concerning the compensation of our Named Executive Officers for the year ended December 31, 2019.</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Pension Value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and</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Non-Equity</w:t>
            </w:r>
          </w:p>
        </w:tc>
        <w:tc>
          <w:tcPr>
            <w:tcW w:w="1120" w:type="dxa"/>
            <w:vAlign w:val="bottom"/>
          </w:tcPr>
          <w:p>
            <w:pPr>
              <w:jc w:val="center"/>
              <w:spacing w:after="0"/>
              <w:rPr>
                <w:sz w:val="20"/>
                <w:szCs w:val="20"/>
                <w:color w:val="auto"/>
              </w:rPr>
            </w:pPr>
            <w:r>
              <w:rPr>
                <w:rFonts w:ascii="Arial" w:cs="Arial" w:eastAsia="Arial" w:hAnsi="Arial"/>
                <w:sz w:val="14"/>
                <w:szCs w:val="14"/>
                <w:color w:val="auto"/>
              </w:rPr>
              <w:t>Nonqualified</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color w:val="auto"/>
              </w:rPr>
              <w:t>Deferred</w:t>
            </w:r>
          </w:p>
        </w:tc>
        <w:tc>
          <w:tcPr>
            <w:tcW w:w="1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center"/>
              <w:ind w:right="6"/>
              <w:spacing w:after="0"/>
              <w:rPr>
                <w:sz w:val="20"/>
                <w:szCs w:val="20"/>
                <w:color w:val="auto"/>
              </w:rPr>
            </w:pPr>
            <w:r>
              <w:rPr>
                <w:rFonts w:ascii="Arial" w:cs="Arial" w:eastAsia="Arial" w:hAnsi="Arial"/>
                <w:sz w:val="14"/>
                <w:szCs w:val="14"/>
                <w:color w:val="auto"/>
              </w:rPr>
              <w:t>Stock</w:t>
            </w:r>
          </w:p>
        </w:tc>
        <w:tc>
          <w:tcPr>
            <w:tcW w:w="800" w:type="dxa"/>
            <w:vAlign w:val="bottom"/>
          </w:tcPr>
          <w:p>
            <w:pPr>
              <w:jc w:val="center"/>
              <w:spacing w:after="0"/>
              <w:rPr>
                <w:sz w:val="20"/>
                <w:szCs w:val="20"/>
                <w:color w:val="auto"/>
              </w:rPr>
            </w:pPr>
            <w:r>
              <w:rPr>
                <w:rFonts w:ascii="Arial" w:cs="Arial" w:eastAsia="Arial" w:hAnsi="Arial"/>
                <w:sz w:val="14"/>
                <w:szCs w:val="14"/>
                <w:color w:val="auto"/>
              </w:rPr>
              <w:t>Option</w:t>
            </w:r>
          </w:p>
        </w:tc>
        <w:tc>
          <w:tcPr>
            <w:tcW w:w="1100" w:type="dxa"/>
            <w:vAlign w:val="bottom"/>
          </w:tcPr>
          <w:p>
            <w:pPr>
              <w:jc w:val="center"/>
              <w:spacing w:after="0"/>
              <w:rPr>
                <w:sz w:val="20"/>
                <w:szCs w:val="20"/>
                <w:color w:val="auto"/>
              </w:rPr>
            </w:pPr>
            <w:r>
              <w:rPr>
                <w:rFonts w:ascii="Arial" w:cs="Arial" w:eastAsia="Arial" w:hAnsi="Arial"/>
                <w:sz w:val="14"/>
                <w:szCs w:val="14"/>
                <w:color w:val="auto"/>
              </w:rPr>
              <w:t>Incentive Plan</w:t>
            </w:r>
          </w:p>
        </w:tc>
        <w:tc>
          <w:tcPr>
            <w:tcW w:w="112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500" w:type="dxa"/>
            <w:vAlign w:val="bottom"/>
          </w:tcPr>
          <w:p>
            <w:pPr>
              <w:spacing w:after="0" w:line="157" w:lineRule="exact"/>
              <w:rPr>
                <w:sz w:val="20"/>
                <w:szCs w:val="20"/>
                <w:color w:val="auto"/>
              </w:rPr>
            </w:pPr>
            <w:r>
              <w:rPr>
                <w:rFonts w:ascii="Arial" w:cs="Arial" w:eastAsia="Arial" w:hAnsi="Arial"/>
                <w:sz w:val="14"/>
                <w:szCs w:val="14"/>
                <w:color w:val="auto"/>
              </w:rPr>
              <w:t>Name and</w:t>
            </w:r>
          </w:p>
        </w:tc>
        <w:tc>
          <w:tcPr>
            <w:tcW w:w="780" w:type="dxa"/>
            <w:vAlign w:val="bottom"/>
            <w:vMerge w:val="restart"/>
          </w:tcPr>
          <w:p>
            <w:pPr>
              <w:jc w:val="right"/>
              <w:ind w:right="166"/>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86"/>
              <w:spacing w:after="0" w:line="157" w:lineRule="exact"/>
              <w:rPr>
                <w:sz w:val="20"/>
                <w:szCs w:val="20"/>
                <w:color w:val="auto"/>
              </w:rPr>
            </w:pPr>
            <w:r>
              <w:rPr>
                <w:rFonts w:ascii="Arial" w:cs="Arial" w:eastAsia="Arial" w:hAnsi="Arial"/>
                <w:sz w:val="14"/>
                <w:szCs w:val="14"/>
                <w:color w:val="auto"/>
              </w:rPr>
              <w:t>Salary</w:t>
            </w:r>
          </w:p>
        </w:tc>
        <w:tc>
          <w:tcPr>
            <w:tcW w:w="840" w:type="dxa"/>
            <w:vAlign w:val="bottom"/>
          </w:tcPr>
          <w:p>
            <w:pPr>
              <w:jc w:val="right"/>
              <w:ind w:right="186"/>
              <w:spacing w:after="0" w:line="157" w:lineRule="exact"/>
              <w:rPr>
                <w:sz w:val="20"/>
                <w:szCs w:val="20"/>
                <w:color w:val="auto"/>
              </w:rPr>
            </w:pPr>
            <w:r>
              <w:rPr>
                <w:rFonts w:ascii="Arial" w:cs="Arial" w:eastAsia="Arial" w:hAnsi="Arial"/>
                <w:sz w:val="14"/>
                <w:szCs w:val="14"/>
                <w:color w:val="auto"/>
              </w:rPr>
              <w:t>Bonus</w:t>
            </w:r>
          </w:p>
        </w:tc>
        <w:tc>
          <w:tcPr>
            <w:tcW w:w="960" w:type="dxa"/>
            <w:vAlign w:val="bottom"/>
          </w:tcPr>
          <w:p>
            <w:pPr>
              <w:jc w:val="center"/>
              <w:ind w:right="6"/>
              <w:spacing w:after="0" w:line="157" w:lineRule="exact"/>
              <w:rPr>
                <w:sz w:val="20"/>
                <w:szCs w:val="20"/>
                <w:color w:val="auto"/>
              </w:rPr>
            </w:pPr>
            <w:r>
              <w:rPr>
                <w:rFonts w:ascii="Arial" w:cs="Arial" w:eastAsia="Arial" w:hAnsi="Arial"/>
                <w:sz w:val="14"/>
                <w:szCs w:val="14"/>
                <w:color w:val="auto"/>
              </w:rPr>
              <w:t>Awards</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rPr>
              <w:t>Awards</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rPr>
              <w:t>Compensation</w:t>
            </w:r>
          </w:p>
        </w:tc>
        <w:tc>
          <w:tcPr>
            <w:tcW w:w="1120" w:type="dxa"/>
            <w:vAlign w:val="bottom"/>
          </w:tcPr>
          <w:p>
            <w:pPr>
              <w:jc w:val="center"/>
              <w:spacing w:after="0" w:line="157" w:lineRule="exact"/>
              <w:rPr>
                <w:sz w:val="20"/>
                <w:szCs w:val="20"/>
                <w:color w:val="auto"/>
              </w:rPr>
            </w:pPr>
            <w:r>
              <w:rPr>
                <w:rFonts w:ascii="Arial" w:cs="Arial" w:eastAsia="Arial" w:hAnsi="Arial"/>
                <w:sz w:val="14"/>
                <w:szCs w:val="14"/>
                <w:color w:val="auto"/>
              </w:rPr>
              <w:t>Earnings ($)</w:t>
            </w:r>
          </w:p>
        </w:tc>
        <w:tc>
          <w:tcPr>
            <w:tcW w:w="1180" w:type="dxa"/>
            <w:vAlign w:val="bottom"/>
          </w:tcPr>
          <w:p>
            <w:pPr>
              <w:jc w:val="center"/>
              <w:spacing w:after="0" w:line="157" w:lineRule="exact"/>
              <w:rPr>
                <w:sz w:val="20"/>
                <w:szCs w:val="20"/>
                <w:color w:val="auto"/>
              </w:rPr>
            </w:pPr>
            <w:r>
              <w:rPr>
                <w:rFonts w:ascii="Arial" w:cs="Arial" w:eastAsia="Arial" w:hAnsi="Arial"/>
                <w:sz w:val="14"/>
                <w:szCs w:val="14"/>
                <w:color w:val="auto"/>
              </w:rPr>
              <w:t>Compensation</w:t>
            </w:r>
          </w:p>
        </w:tc>
        <w:tc>
          <w:tcPr>
            <w:tcW w:w="920" w:type="dxa"/>
            <w:vAlign w:val="bottom"/>
            <w:vMerge w:val="restart"/>
          </w:tcPr>
          <w:p>
            <w:pPr>
              <w:jc w:val="right"/>
              <w:ind w:right="146"/>
              <w:spacing w:after="0"/>
              <w:rPr>
                <w:sz w:val="20"/>
                <w:szCs w:val="20"/>
                <w:color w:val="auto"/>
              </w:rPr>
            </w:pPr>
            <w:r>
              <w:rPr>
                <w:rFonts w:ascii="Arial" w:cs="Arial" w:eastAsia="Arial" w:hAnsi="Arial"/>
                <w:sz w:val="14"/>
                <w:szCs w:val="14"/>
                <w:color w:val="auto"/>
              </w:rPr>
              <w:t>Total ($)</w:t>
            </w:r>
          </w:p>
        </w:tc>
        <w:tc>
          <w:tcPr>
            <w:tcW w:w="0" w:type="dxa"/>
            <w:vAlign w:val="bottom"/>
          </w:tcPr>
          <w:p>
            <w:pPr>
              <w:spacing w:after="0"/>
              <w:rPr>
                <w:sz w:val="1"/>
                <w:szCs w:val="1"/>
                <w:color w:val="auto"/>
              </w:rPr>
            </w:pPr>
          </w:p>
        </w:tc>
      </w:tr>
      <w:tr>
        <w:trPr>
          <w:trHeight w:val="277"/>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Principal Position</w:t>
            </w:r>
          </w:p>
        </w:tc>
        <w:tc>
          <w:tcPr>
            <w:tcW w:w="7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jc w:val="right"/>
              <w:ind w:right="226"/>
              <w:spacing w:after="0" w:line="27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(1)</w:t>
            </w:r>
          </w:p>
        </w:tc>
        <w:tc>
          <w:tcPr>
            <w:tcW w:w="840" w:type="dxa"/>
            <w:vAlign w:val="bottom"/>
            <w:tcBorders>
              <w:bottom w:val="single" w:sz="8" w:color="auto"/>
            </w:tcBorders>
          </w:tcPr>
          <w:p>
            <w:pPr>
              <w:jc w:val="right"/>
              <w:ind w:right="226"/>
              <w:spacing w:after="0" w:line="270" w:lineRule="exact"/>
              <w:rPr>
                <w:sz w:val="20"/>
                <w:szCs w:val="20"/>
                <w:color w:val="auto"/>
              </w:rPr>
            </w:pPr>
            <w:r>
              <w:rPr>
                <w:rFonts w:ascii="Arial" w:cs="Arial" w:eastAsia="Arial" w:hAnsi="Arial"/>
                <w:sz w:val="14"/>
                <w:szCs w:val="14"/>
                <w:color w:val="auto"/>
              </w:rPr>
              <w:t>($)</w:t>
            </w:r>
            <w:r>
              <w:rPr>
                <w:rFonts w:ascii="Arial" w:cs="Arial" w:eastAsia="Arial" w:hAnsi="Arial"/>
                <w:sz w:val="24"/>
                <w:szCs w:val="24"/>
                <w:color w:val="auto"/>
                <w:vertAlign w:val="superscript"/>
              </w:rPr>
              <w:t>(2)</w:t>
            </w:r>
          </w:p>
        </w:tc>
        <w:tc>
          <w:tcPr>
            <w:tcW w:w="960" w:type="dxa"/>
            <w:vAlign w:val="bottom"/>
            <w:tcBorders>
              <w:bottom w:val="single" w:sz="8" w:color="auto"/>
            </w:tcBorders>
          </w:tcPr>
          <w:p>
            <w:pPr>
              <w:jc w:val="center"/>
              <w:ind w:right="6"/>
              <w:spacing w:after="0" w:line="270" w:lineRule="exact"/>
              <w:rPr>
                <w:sz w:val="20"/>
                <w:szCs w:val="20"/>
                <w:color w:val="auto"/>
              </w:rPr>
            </w:pPr>
            <w:r>
              <w:rPr>
                <w:rFonts w:ascii="Arial" w:cs="Arial" w:eastAsia="Arial" w:hAnsi="Arial"/>
                <w:sz w:val="14"/>
                <w:szCs w:val="14"/>
                <w:color w:val="auto"/>
                <w:w w:val="87"/>
              </w:rPr>
              <w:t>($)</w:t>
            </w:r>
            <w:r>
              <w:rPr>
                <w:rFonts w:ascii="Arial" w:cs="Arial" w:eastAsia="Arial" w:hAnsi="Arial"/>
                <w:sz w:val="24"/>
                <w:szCs w:val="24"/>
                <w:color w:val="auto"/>
                <w:w w:val="87"/>
                <w:vertAlign w:val="superscript"/>
              </w:rPr>
              <w:t>(3)</w:t>
            </w:r>
          </w:p>
        </w:tc>
        <w:tc>
          <w:tcPr>
            <w:tcW w:w="8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4"/>
                <w:szCs w:val="14"/>
                <w:color w:val="auto"/>
                <w:w w:val="87"/>
              </w:rPr>
              <w:t>($)</w:t>
            </w:r>
            <w:r>
              <w:rPr>
                <w:rFonts w:ascii="Arial" w:cs="Arial" w:eastAsia="Arial" w:hAnsi="Arial"/>
                <w:sz w:val="24"/>
                <w:szCs w:val="24"/>
                <w:color w:val="auto"/>
                <w:w w:val="87"/>
                <w:vertAlign w:val="superscript"/>
              </w:rPr>
              <w:t>(4)</w:t>
            </w:r>
          </w:p>
        </w:tc>
        <w:tc>
          <w:tcPr>
            <w:tcW w:w="11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4"/>
                <w:szCs w:val="14"/>
                <w:color w:val="auto"/>
                <w:w w:val="92"/>
              </w:rPr>
              <w:t>($)</w:t>
            </w:r>
            <w:r>
              <w:rPr>
                <w:rFonts w:ascii="Arial" w:cs="Arial" w:eastAsia="Arial" w:hAnsi="Arial"/>
                <w:sz w:val="24"/>
                <w:szCs w:val="24"/>
                <w:color w:val="auto"/>
                <w:w w:val="92"/>
                <w:vertAlign w:val="superscript"/>
              </w:rPr>
              <w:t>(5)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(6)</w:t>
            </w:r>
          </w:p>
        </w:tc>
        <w:tc>
          <w:tcPr>
            <w:tcW w:w="11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4"/>
                <w:szCs w:val="14"/>
                <w:color w:val="auto"/>
                <w:w w:val="87"/>
              </w:rPr>
              <w:t>($)</w:t>
            </w:r>
            <w:r>
              <w:rPr>
                <w:rFonts w:ascii="Arial" w:cs="Arial" w:eastAsia="Arial" w:hAnsi="Arial"/>
                <w:sz w:val="24"/>
                <w:szCs w:val="24"/>
                <w:color w:val="auto"/>
                <w:w w:val="87"/>
                <w:vertAlign w:val="superscript"/>
              </w:rPr>
              <w:t>(7)</w:t>
            </w: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00" w:type="dxa"/>
            <w:vAlign w:val="bottom"/>
            <w:shd w:val="clear" w:color="auto" w:fill="EDEDED"/>
          </w:tcPr>
          <w:p>
            <w:pPr>
              <w:ind w:left="60"/>
              <w:spacing w:after="0" w:line="159" w:lineRule="exact"/>
              <w:rPr>
                <w:sz w:val="20"/>
                <w:szCs w:val="20"/>
                <w:color w:val="auto"/>
              </w:rPr>
            </w:pPr>
            <w:r>
              <w:rPr>
                <w:rFonts w:ascii="Arial" w:cs="Arial" w:eastAsia="Arial" w:hAnsi="Arial"/>
                <w:sz w:val="14"/>
                <w:szCs w:val="14"/>
                <w:color w:val="auto"/>
              </w:rPr>
              <w:t>Olivier Rabiller</w:t>
            </w:r>
          </w:p>
        </w:tc>
        <w:tc>
          <w:tcPr>
            <w:tcW w:w="780" w:type="dxa"/>
            <w:vAlign w:val="bottom"/>
            <w:shd w:val="clear" w:color="auto" w:fill="EDEDED"/>
          </w:tcPr>
          <w:p>
            <w:pPr>
              <w:spacing w:after="0"/>
              <w:rPr>
                <w:sz w:val="13"/>
                <w:szCs w:val="13"/>
                <w:color w:val="auto"/>
              </w:rPr>
            </w:pPr>
          </w:p>
        </w:tc>
        <w:tc>
          <w:tcPr>
            <w:tcW w:w="820" w:type="dxa"/>
            <w:vAlign w:val="bottom"/>
            <w:shd w:val="clear" w:color="auto" w:fill="EDEDED"/>
          </w:tcPr>
          <w:p>
            <w:pPr>
              <w:spacing w:after="0"/>
              <w:rPr>
                <w:sz w:val="13"/>
                <w:szCs w:val="13"/>
                <w:color w:val="auto"/>
              </w:rPr>
            </w:pPr>
          </w:p>
        </w:tc>
        <w:tc>
          <w:tcPr>
            <w:tcW w:w="84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800" w:type="dxa"/>
            <w:vAlign w:val="bottom"/>
            <w:shd w:val="clear" w:color="auto" w:fill="EDEDED"/>
          </w:tcPr>
          <w:p>
            <w:pPr>
              <w:spacing w:after="0"/>
              <w:rPr>
                <w:sz w:val="13"/>
                <w:szCs w:val="13"/>
                <w:color w:val="auto"/>
              </w:rPr>
            </w:pPr>
          </w:p>
        </w:tc>
        <w:tc>
          <w:tcPr>
            <w:tcW w:w="1100" w:type="dxa"/>
            <w:vAlign w:val="bottom"/>
            <w:shd w:val="clear" w:color="auto" w:fill="EDEDED"/>
          </w:tcPr>
          <w:p>
            <w:pPr>
              <w:spacing w:after="0"/>
              <w:rPr>
                <w:sz w:val="13"/>
                <w:szCs w:val="13"/>
                <w:color w:val="auto"/>
              </w:rPr>
            </w:pPr>
          </w:p>
        </w:tc>
        <w:tc>
          <w:tcPr>
            <w:tcW w:w="1120" w:type="dxa"/>
            <w:vAlign w:val="bottom"/>
            <w:shd w:val="clear" w:color="auto" w:fill="EDEDED"/>
          </w:tcPr>
          <w:p>
            <w:pPr>
              <w:spacing w:after="0"/>
              <w:rPr>
                <w:sz w:val="13"/>
                <w:szCs w:val="13"/>
                <w:color w:val="auto"/>
              </w:rPr>
            </w:pPr>
          </w:p>
        </w:tc>
        <w:tc>
          <w:tcPr>
            <w:tcW w:w="1180" w:type="dxa"/>
            <w:vAlign w:val="bottom"/>
            <w:shd w:val="clear" w:color="auto" w:fill="EDEDED"/>
          </w:tcPr>
          <w:p>
            <w:pPr>
              <w:spacing w:after="0"/>
              <w:rPr>
                <w:sz w:val="13"/>
                <w:szCs w:val="13"/>
                <w:color w:val="auto"/>
              </w:rPr>
            </w:pPr>
          </w:p>
        </w:tc>
        <w:tc>
          <w:tcPr>
            <w:tcW w:w="9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EDEDED"/>
          </w:tcPr>
          <w:p>
            <w:pPr>
              <w:ind w:left="60"/>
              <w:spacing w:after="0" w:line="162" w:lineRule="exact"/>
              <w:rPr>
                <w:sz w:val="20"/>
                <w:szCs w:val="20"/>
                <w:color w:val="auto"/>
              </w:rPr>
            </w:pPr>
            <w:r>
              <w:rPr>
                <w:rFonts w:ascii="Arial" w:cs="Arial" w:eastAsia="Arial" w:hAnsi="Arial"/>
                <w:sz w:val="15"/>
                <w:szCs w:val="15"/>
                <w:color w:val="auto"/>
              </w:rPr>
              <w:t>President and Chief Executive</w:t>
            </w:r>
          </w:p>
        </w:tc>
        <w:tc>
          <w:tcPr>
            <w:tcW w:w="780" w:type="dxa"/>
            <w:vAlign w:val="bottom"/>
            <w:shd w:val="clear" w:color="auto" w:fill="EDEDED"/>
          </w:tcPr>
          <w:p>
            <w:pPr>
              <w:spacing w:after="0"/>
              <w:rPr>
                <w:sz w:val="14"/>
                <w:szCs w:val="14"/>
                <w:color w:val="auto"/>
              </w:rPr>
            </w:pPr>
          </w:p>
        </w:tc>
        <w:tc>
          <w:tcPr>
            <w:tcW w:w="820" w:type="dxa"/>
            <w:vAlign w:val="bottom"/>
            <w:shd w:val="clear" w:color="auto" w:fill="EDEDED"/>
          </w:tcPr>
          <w:p>
            <w:pPr>
              <w:spacing w:after="0"/>
              <w:rPr>
                <w:sz w:val="14"/>
                <w:szCs w:val="14"/>
                <w:color w:val="auto"/>
              </w:rPr>
            </w:pPr>
          </w:p>
        </w:tc>
        <w:tc>
          <w:tcPr>
            <w:tcW w:w="840" w:type="dxa"/>
            <w:vAlign w:val="bottom"/>
            <w:shd w:val="clear" w:color="auto" w:fill="EDEDED"/>
          </w:tcPr>
          <w:p>
            <w:pPr>
              <w:spacing w:after="0"/>
              <w:rPr>
                <w:sz w:val="14"/>
                <w:szCs w:val="14"/>
                <w:color w:val="auto"/>
              </w:rPr>
            </w:pPr>
          </w:p>
        </w:tc>
        <w:tc>
          <w:tcPr>
            <w:tcW w:w="960" w:type="dxa"/>
            <w:vAlign w:val="bottom"/>
            <w:shd w:val="clear" w:color="auto" w:fill="EDEDED"/>
          </w:tcPr>
          <w:p>
            <w:pPr>
              <w:spacing w:after="0"/>
              <w:rPr>
                <w:sz w:val="14"/>
                <w:szCs w:val="14"/>
                <w:color w:val="auto"/>
              </w:rPr>
            </w:pPr>
          </w:p>
        </w:tc>
        <w:tc>
          <w:tcPr>
            <w:tcW w:w="80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c>
          <w:tcPr>
            <w:tcW w:w="1120" w:type="dxa"/>
            <w:vAlign w:val="bottom"/>
            <w:shd w:val="clear" w:color="auto" w:fill="EDEDED"/>
          </w:tcPr>
          <w:p>
            <w:pPr>
              <w:spacing w:after="0"/>
              <w:rPr>
                <w:sz w:val="14"/>
                <w:szCs w:val="14"/>
                <w:color w:val="auto"/>
              </w:rPr>
            </w:pPr>
          </w:p>
        </w:tc>
        <w:tc>
          <w:tcPr>
            <w:tcW w:w="11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EDEDED"/>
          </w:tcPr>
          <w:p>
            <w:pPr>
              <w:ind w:left="60"/>
              <w:spacing w:after="0"/>
              <w:rPr>
                <w:sz w:val="20"/>
                <w:szCs w:val="20"/>
                <w:color w:val="auto"/>
              </w:rPr>
            </w:pPr>
            <w:r>
              <w:rPr>
                <w:rFonts w:ascii="Arial" w:cs="Arial" w:eastAsia="Arial" w:hAnsi="Arial"/>
                <w:sz w:val="15"/>
                <w:szCs w:val="15"/>
                <w:color w:val="auto"/>
              </w:rPr>
              <w:t>Officer</w:t>
            </w:r>
          </w:p>
        </w:tc>
        <w:tc>
          <w:tcPr>
            <w:tcW w:w="780" w:type="dxa"/>
            <w:vAlign w:val="bottom"/>
            <w:shd w:val="clear" w:color="auto" w:fill="EDEDED"/>
          </w:tcPr>
          <w:p>
            <w:pPr>
              <w:jc w:val="right"/>
              <w:ind w:right="86"/>
              <w:spacing w:after="0"/>
              <w:rPr>
                <w:sz w:val="20"/>
                <w:szCs w:val="20"/>
                <w:color w:val="auto"/>
              </w:rPr>
            </w:pPr>
            <w:r>
              <w:rPr>
                <w:rFonts w:ascii="Arial" w:cs="Arial" w:eastAsia="Arial" w:hAnsi="Arial"/>
                <w:sz w:val="15"/>
                <w:szCs w:val="15"/>
                <w:color w:val="auto"/>
              </w:rPr>
              <w:t>2019</w:t>
            </w:r>
          </w:p>
        </w:tc>
        <w:tc>
          <w:tcPr>
            <w:tcW w:w="820" w:type="dxa"/>
            <w:vAlign w:val="bottom"/>
            <w:shd w:val="clear" w:color="auto" w:fill="EDEDED"/>
          </w:tcPr>
          <w:p>
            <w:pPr>
              <w:jc w:val="right"/>
              <w:ind w:right="66"/>
              <w:spacing w:after="0"/>
              <w:rPr>
                <w:sz w:val="20"/>
                <w:szCs w:val="20"/>
                <w:color w:val="auto"/>
              </w:rPr>
            </w:pPr>
            <w:r>
              <w:rPr>
                <w:rFonts w:ascii="Arial" w:cs="Arial" w:eastAsia="Arial" w:hAnsi="Arial"/>
                <w:sz w:val="15"/>
                <w:szCs w:val="15"/>
                <w:color w:val="auto"/>
              </w:rPr>
              <w:t>897,923</w:t>
            </w:r>
          </w:p>
        </w:tc>
        <w:tc>
          <w:tcPr>
            <w:tcW w:w="840" w:type="dxa"/>
            <w:vAlign w:val="bottom"/>
            <w:shd w:val="clear" w:color="auto" w:fill="EDEDED"/>
          </w:tcPr>
          <w:p>
            <w:pPr>
              <w:jc w:val="right"/>
              <w:ind w:right="66"/>
              <w:spacing w:after="0"/>
              <w:rPr>
                <w:sz w:val="20"/>
                <w:szCs w:val="20"/>
                <w:color w:val="auto"/>
              </w:rPr>
            </w:pPr>
            <w:r>
              <w:rPr>
                <w:rFonts w:ascii="Arial" w:cs="Arial" w:eastAsia="Arial" w:hAnsi="Arial"/>
                <w:sz w:val="15"/>
                <w:szCs w:val="15"/>
                <w:color w:val="auto"/>
              </w:rPr>
              <w:t>276,011</w:t>
            </w:r>
          </w:p>
        </w:tc>
        <w:tc>
          <w:tcPr>
            <w:tcW w:w="960" w:type="dxa"/>
            <w:vAlign w:val="bottom"/>
            <w:shd w:val="clear" w:color="auto" w:fill="EDEDED"/>
          </w:tcPr>
          <w:p>
            <w:pPr>
              <w:jc w:val="right"/>
              <w:ind w:right="46"/>
              <w:spacing w:after="0"/>
              <w:rPr>
                <w:sz w:val="20"/>
                <w:szCs w:val="20"/>
                <w:color w:val="auto"/>
              </w:rPr>
            </w:pPr>
            <w:r>
              <w:rPr>
                <w:rFonts w:ascii="Arial" w:cs="Arial" w:eastAsia="Arial" w:hAnsi="Arial"/>
                <w:sz w:val="15"/>
                <w:szCs w:val="15"/>
                <w:color w:val="auto"/>
              </w:rPr>
              <w:t>2,830,817</w:t>
            </w:r>
          </w:p>
        </w:tc>
        <w:tc>
          <w:tcPr>
            <w:tcW w:w="800" w:type="dxa"/>
            <w:vAlign w:val="bottom"/>
            <w:shd w:val="clear" w:color="auto" w:fill="EDEDED"/>
          </w:tcPr>
          <w:p>
            <w:pPr>
              <w:jc w:val="right"/>
              <w:ind w:right="6"/>
              <w:spacing w:after="0"/>
              <w:rPr>
                <w:sz w:val="20"/>
                <w:szCs w:val="20"/>
                <w:color w:val="auto"/>
              </w:rPr>
            </w:pPr>
            <w:r>
              <w:rPr>
                <w:rFonts w:ascii="Arial" w:cs="Arial" w:eastAsia="Arial" w:hAnsi="Arial"/>
                <w:sz w:val="15"/>
                <w:szCs w:val="15"/>
                <w:color w:val="auto"/>
              </w:rPr>
              <w:t>790,273</w:t>
            </w:r>
          </w:p>
        </w:tc>
        <w:tc>
          <w:tcPr>
            <w:tcW w:w="1100" w:type="dxa"/>
            <w:vAlign w:val="bottom"/>
            <w:shd w:val="clear" w:color="auto" w:fill="EDEDED"/>
          </w:tcPr>
          <w:p>
            <w:pPr>
              <w:jc w:val="right"/>
              <w:ind w:right="26"/>
              <w:spacing w:after="0"/>
              <w:rPr>
                <w:sz w:val="20"/>
                <w:szCs w:val="20"/>
                <w:color w:val="auto"/>
              </w:rPr>
            </w:pPr>
            <w:r>
              <w:rPr>
                <w:rFonts w:ascii="Arial" w:cs="Arial" w:eastAsia="Arial" w:hAnsi="Arial"/>
                <w:sz w:val="15"/>
                <w:szCs w:val="15"/>
                <w:color w:val="auto"/>
              </w:rPr>
              <w:t>452,735</w:t>
            </w:r>
          </w:p>
        </w:tc>
        <w:tc>
          <w:tcPr>
            <w:tcW w:w="1120" w:type="dxa"/>
            <w:vAlign w:val="bottom"/>
            <w:shd w:val="clear" w:color="auto" w:fill="EDEDED"/>
          </w:tcPr>
          <w:p>
            <w:pPr>
              <w:jc w:val="right"/>
              <w:ind w:right="67"/>
              <w:spacing w:after="0"/>
              <w:rPr>
                <w:sz w:val="20"/>
                <w:szCs w:val="20"/>
                <w:color w:val="auto"/>
              </w:rPr>
            </w:pPr>
            <w:r>
              <w:rPr>
                <w:rFonts w:ascii="Arial" w:cs="Arial" w:eastAsia="Arial" w:hAnsi="Arial"/>
                <w:sz w:val="15"/>
                <w:szCs w:val="15"/>
                <w:color w:val="auto"/>
              </w:rPr>
              <w:t>92,521</w:t>
            </w:r>
          </w:p>
        </w:tc>
        <w:tc>
          <w:tcPr>
            <w:tcW w:w="1180" w:type="dxa"/>
            <w:vAlign w:val="bottom"/>
            <w:shd w:val="clear" w:color="auto" w:fill="EDEDED"/>
          </w:tcPr>
          <w:p>
            <w:pPr>
              <w:jc w:val="right"/>
              <w:ind w:right="106"/>
              <w:spacing w:after="0"/>
              <w:rPr>
                <w:sz w:val="20"/>
                <w:szCs w:val="20"/>
                <w:color w:val="auto"/>
              </w:rPr>
            </w:pPr>
            <w:r>
              <w:rPr>
                <w:rFonts w:ascii="Arial" w:cs="Arial" w:eastAsia="Arial" w:hAnsi="Arial"/>
                <w:sz w:val="15"/>
                <w:szCs w:val="15"/>
                <w:color w:val="auto"/>
              </w:rPr>
              <w:t>29,221</w:t>
            </w:r>
          </w:p>
        </w:tc>
        <w:tc>
          <w:tcPr>
            <w:tcW w:w="920" w:type="dxa"/>
            <w:vAlign w:val="bottom"/>
            <w:shd w:val="clear" w:color="auto" w:fill="EDEDED"/>
          </w:tcPr>
          <w:p>
            <w:pPr>
              <w:jc w:val="right"/>
              <w:ind w:right="26"/>
              <w:spacing w:after="0"/>
              <w:rPr>
                <w:sz w:val="20"/>
                <w:szCs w:val="20"/>
                <w:color w:val="auto"/>
              </w:rPr>
            </w:pPr>
            <w:r>
              <w:rPr>
                <w:rFonts w:ascii="Arial" w:cs="Arial" w:eastAsia="Arial" w:hAnsi="Arial"/>
                <w:sz w:val="15"/>
                <w:szCs w:val="15"/>
                <w:color w:val="auto"/>
              </w:rPr>
              <w:t>5,369,501</w:t>
            </w:r>
          </w:p>
        </w:tc>
        <w:tc>
          <w:tcPr>
            <w:tcW w:w="0" w:type="dxa"/>
            <w:vAlign w:val="bottom"/>
          </w:tcPr>
          <w:p>
            <w:pPr>
              <w:spacing w:after="0"/>
              <w:rPr>
                <w:sz w:val="1"/>
                <w:szCs w:val="1"/>
                <w:color w:val="auto"/>
              </w:rPr>
            </w:pPr>
          </w:p>
        </w:tc>
      </w:tr>
      <w:tr>
        <w:trPr>
          <w:trHeight w:val="258"/>
        </w:trPr>
        <w:tc>
          <w:tcPr>
            <w:tcW w:w="2500" w:type="dxa"/>
            <w:vAlign w:val="bottom"/>
            <w:tcBorders>
              <w:bottom w:val="single" w:sz="8" w:color="EDEDED"/>
            </w:tcBorders>
            <w:shd w:val="clear" w:color="auto" w:fill="EDEDED"/>
          </w:tcPr>
          <w:p>
            <w:pPr>
              <w:spacing w:after="0"/>
              <w:rPr>
                <w:sz w:val="22"/>
                <w:szCs w:val="22"/>
                <w:color w:val="auto"/>
              </w:rPr>
            </w:pPr>
          </w:p>
        </w:tc>
        <w:tc>
          <w:tcPr>
            <w:tcW w:w="780" w:type="dxa"/>
            <w:vAlign w:val="bottom"/>
            <w:tcBorders>
              <w:bottom w:val="single" w:sz="8" w:color="EDEDED"/>
            </w:tcBorders>
            <w:shd w:val="clear" w:color="auto" w:fill="EDEDED"/>
          </w:tcPr>
          <w:p>
            <w:pPr>
              <w:jc w:val="right"/>
              <w:ind w:right="86"/>
              <w:spacing w:after="0"/>
              <w:rPr>
                <w:sz w:val="20"/>
                <w:szCs w:val="20"/>
                <w:color w:val="auto"/>
              </w:rPr>
            </w:pPr>
            <w:r>
              <w:rPr>
                <w:rFonts w:ascii="Arial" w:cs="Arial" w:eastAsia="Arial" w:hAnsi="Arial"/>
                <w:sz w:val="14"/>
                <w:szCs w:val="14"/>
                <w:color w:val="auto"/>
              </w:rPr>
              <w:t>2018</w:t>
            </w:r>
          </w:p>
        </w:tc>
        <w:tc>
          <w:tcPr>
            <w:tcW w:w="82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4"/>
                <w:szCs w:val="14"/>
                <w:color w:val="auto"/>
              </w:rPr>
              <w:t>639,476</w:t>
            </w:r>
          </w:p>
        </w:tc>
        <w:tc>
          <w:tcPr>
            <w:tcW w:w="84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4"/>
                <w:szCs w:val="14"/>
                <w:color w:val="auto"/>
              </w:rPr>
              <w:t>597,178</w:t>
            </w:r>
          </w:p>
        </w:tc>
        <w:tc>
          <w:tcPr>
            <w:tcW w:w="960" w:type="dxa"/>
            <w:vAlign w:val="bottom"/>
            <w:tcBorders>
              <w:bottom w:val="single" w:sz="8" w:color="EDEDED"/>
            </w:tcBorders>
            <w:shd w:val="clear" w:color="auto" w:fill="EDEDED"/>
          </w:tcPr>
          <w:p>
            <w:pPr>
              <w:jc w:val="right"/>
              <w:ind w:right="46"/>
              <w:spacing w:after="0"/>
              <w:rPr>
                <w:sz w:val="20"/>
                <w:szCs w:val="20"/>
                <w:color w:val="auto"/>
              </w:rPr>
            </w:pPr>
            <w:r>
              <w:rPr>
                <w:rFonts w:ascii="Arial" w:cs="Arial" w:eastAsia="Arial" w:hAnsi="Arial"/>
                <w:sz w:val="14"/>
                <w:szCs w:val="14"/>
                <w:color w:val="auto"/>
              </w:rPr>
              <w:t>5,251,916</w:t>
            </w:r>
          </w:p>
        </w:tc>
        <w:tc>
          <w:tcPr>
            <w:tcW w:w="80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4"/>
                <w:szCs w:val="14"/>
                <w:color w:val="auto"/>
              </w:rPr>
              <w:t>373,670</w:t>
            </w:r>
          </w:p>
        </w:tc>
        <w:tc>
          <w:tcPr>
            <w:tcW w:w="1100" w:type="dxa"/>
            <w:vAlign w:val="bottom"/>
            <w:tcBorders>
              <w:bottom w:val="single" w:sz="8" w:color="EDEDED"/>
            </w:tcBorders>
            <w:shd w:val="clear" w:color="auto" w:fill="EDEDED"/>
          </w:tcPr>
          <w:p>
            <w:pPr>
              <w:jc w:val="right"/>
              <w:ind w:right="26"/>
              <w:spacing w:after="0"/>
              <w:rPr>
                <w:sz w:val="20"/>
                <w:szCs w:val="20"/>
                <w:color w:val="auto"/>
              </w:rPr>
            </w:pPr>
            <w:r>
              <w:rPr>
                <w:rFonts w:ascii="Arial" w:cs="Arial" w:eastAsia="Arial" w:hAnsi="Arial"/>
                <w:sz w:val="14"/>
                <w:szCs w:val="14"/>
                <w:color w:val="auto"/>
              </w:rPr>
              <w:t>418,942</w:t>
            </w:r>
          </w:p>
        </w:tc>
        <w:tc>
          <w:tcPr>
            <w:tcW w:w="1120" w:type="dxa"/>
            <w:vAlign w:val="bottom"/>
            <w:tcBorders>
              <w:bottom w:val="single" w:sz="8" w:color="EDEDED"/>
            </w:tcBorders>
            <w:shd w:val="clear" w:color="auto" w:fill="EDEDED"/>
          </w:tcPr>
          <w:p>
            <w:pPr>
              <w:jc w:val="right"/>
              <w:ind w:right="67"/>
              <w:spacing w:after="0"/>
              <w:rPr>
                <w:sz w:val="20"/>
                <w:szCs w:val="20"/>
                <w:color w:val="auto"/>
              </w:rPr>
            </w:pPr>
            <w:r>
              <w:rPr>
                <w:rFonts w:ascii="Arial" w:cs="Arial" w:eastAsia="Arial" w:hAnsi="Arial"/>
                <w:sz w:val="14"/>
                <w:szCs w:val="14"/>
                <w:color w:val="auto"/>
              </w:rPr>
              <w:t>127,988</w:t>
            </w:r>
          </w:p>
        </w:tc>
        <w:tc>
          <w:tcPr>
            <w:tcW w:w="1180" w:type="dxa"/>
            <w:vAlign w:val="bottom"/>
            <w:tcBorders>
              <w:bottom w:val="single" w:sz="8" w:color="EDEDED"/>
            </w:tcBorders>
            <w:shd w:val="clear" w:color="auto" w:fill="EDEDED"/>
          </w:tcPr>
          <w:p>
            <w:pPr>
              <w:jc w:val="right"/>
              <w:ind w:right="106"/>
              <w:spacing w:after="0"/>
              <w:rPr>
                <w:sz w:val="20"/>
                <w:szCs w:val="20"/>
                <w:color w:val="auto"/>
              </w:rPr>
            </w:pPr>
            <w:r>
              <w:rPr>
                <w:rFonts w:ascii="Arial" w:cs="Arial" w:eastAsia="Arial" w:hAnsi="Arial"/>
                <w:sz w:val="14"/>
                <w:szCs w:val="14"/>
                <w:color w:val="auto"/>
              </w:rPr>
              <w:t>25,053</w:t>
            </w:r>
          </w:p>
        </w:tc>
        <w:tc>
          <w:tcPr>
            <w:tcW w:w="9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4"/>
                <w:szCs w:val="14"/>
                <w:color w:val="auto"/>
              </w:rPr>
              <w:t>7,434,223</w:t>
            </w:r>
          </w:p>
        </w:tc>
        <w:tc>
          <w:tcPr>
            <w:tcW w:w="0" w:type="dxa"/>
            <w:vAlign w:val="bottom"/>
          </w:tcPr>
          <w:p>
            <w:pPr>
              <w:spacing w:after="0"/>
              <w:rPr>
                <w:sz w:val="1"/>
                <w:szCs w:val="1"/>
                <w:color w:val="auto"/>
              </w:rPr>
            </w:pPr>
          </w:p>
        </w:tc>
      </w:tr>
      <w:tr>
        <w:trPr>
          <w:trHeight w:val="159"/>
        </w:trPr>
        <w:tc>
          <w:tcPr>
            <w:tcW w:w="2500" w:type="dxa"/>
            <w:vAlign w:val="bottom"/>
          </w:tcPr>
          <w:p>
            <w:pPr>
              <w:ind w:left="60"/>
              <w:spacing w:after="0" w:line="159" w:lineRule="exact"/>
              <w:rPr>
                <w:sz w:val="20"/>
                <w:szCs w:val="20"/>
                <w:color w:val="auto"/>
              </w:rPr>
            </w:pPr>
            <w:r>
              <w:rPr>
                <w:rFonts w:ascii="Arial" w:cs="Arial" w:eastAsia="Arial" w:hAnsi="Arial"/>
                <w:sz w:val="14"/>
                <w:szCs w:val="14"/>
                <w:color w:val="auto"/>
              </w:rPr>
              <w:t>Alessandro Gili</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60"/>
              <w:spacing w:after="0" w:line="162" w:lineRule="exact"/>
              <w:rPr>
                <w:sz w:val="20"/>
                <w:szCs w:val="20"/>
                <w:color w:val="auto"/>
              </w:rPr>
            </w:pPr>
            <w:r>
              <w:rPr>
                <w:rFonts w:ascii="Arial" w:cs="Arial" w:eastAsia="Arial" w:hAnsi="Arial"/>
                <w:sz w:val="15"/>
                <w:szCs w:val="15"/>
                <w:color w:val="auto"/>
              </w:rPr>
              <w:t>Former Senior Vice President and</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60"/>
              <w:spacing w:after="0"/>
              <w:rPr>
                <w:sz w:val="20"/>
                <w:szCs w:val="20"/>
                <w:color w:val="auto"/>
              </w:rPr>
            </w:pPr>
            <w:r>
              <w:rPr>
                <w:rFonts w:ascii="Arial" w:cs="Arial" w:eastAsia="Arial" w:hAnsi="Arial"/>
                <w:sz w:val="15"/>
                <w:szCs w:val="15"/>
                <w:color w:val="auto"/>
              </w:rPr>
              <w:t>Chief Financial Officer</w:t>
            </w: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2019</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546,859</w:t>
            </w:r>
          </w:p>
        </w:tc>
        <w:tc>
          <w:tcPr>
            <w:tcW w:w="8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1,498,021</w:t>
            </w: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250,250</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80,023</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38,086</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2,413,239</w:t>
            </w:r>
          </w:p>
        </w:tc>
        <w:tc>
          <w:tcPr>
            <w:tcW w:w="0" w:type="dxa"/>
            <w:vAlign w:val="bottom"/>
          </w:tcPr>
          <w:p>
            <w:pPr>
              <w:spacing w:after="0"/>
              <w:rPr>
                <w:sz w:val="1"/>
                <w:szCs w:val="1"/>
                <w:color w:val="auto"/>
              </w:rPr>
            </w:pPr>
          </w:p>
        </w:tc>
      </w:tr>
      <w:tr>
        <w:trPr>
          <w:trHeight w:val="225"/>
        </w:trPr>
        <w:tc>
          <w:tcPr>
            <w:tcW w:w="250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2018</w:t>
            </w:r>
          </w:p>
        </w:tc>
        <w:tc>
          <w:tcPr>
            <w:tcW w:w="820" w:type="dxa"/>
            <w:vAlign w:val="bottom"/>
          </w:tcPr>
          <w:p>
            <w:pPr>
              <w:jc w:val="right"/>
              <w:ind w:right="66"/>
              <w:spacing w:after="0"/>
              <w:rPr>
                <w:sz w:val="20"/>
                <w:szCs w:val="20"/>
                <w:color w:val="auto"/>
              </w:rPr>
            </w:pPr>
            <w:r>
              <w:rPr>
                <w:rFonts w:ascii="Arial" w:cs="Arial" w:eastAsia="Arial" w:hAnsi="Arial"/>
                <w:sz w:val="14"/>
                <w:szCs w:val="14"/>
                <w:color w:val="auto"/>
              </w:rPr>
              <w:t>316,198</w:t>
            </w:r>
          </w:p>
        </w:tc>
        <w:tc>
          <w:tcPr>
            <w:tcW w:w="840" w:type="dxa"/>
            <w:vAlign w:val="bottom"/>
          </w:tcPr>
          <w:p>
            <w:pPr>
              <w:jc w:val="right"/>
              <w:ind w:right="66"/>
              <w:spacing w:after="0"/>
              <w:rPr>
                <w:sz w:val="20"/>
                <w:szCs w:val="20"/>
                <w:color w:val="auto"/>
              </w:rPr>
            </w:pPr>
            <w:r>
              <w:rPr>
                <w:rFonts w:ascii="Arial" w:cs="Arial" w:eastAsia="Arial" w:hAnsi="Arial"/>
                <w:sz w:val="14"/>
                <w:szCs w:val="14"/>
                <w:color w:val="auto"/>
              </w:rPr>
              <w:t>148,311</w:t>
            </w:r>
          </w:p>
        </w:tc>
        <w:tc>
          <w:tcPr>
            <w:tcW w:w="960" w:type="dxa"/>
            <w:vAlign w:val="bottom"/>
          </w:tcPr>
          <w:p>
            <w:pPr>
              <w:jc w:val="right"/>
              <w:ind w:right="46"/>
              <w:spacing w:after="0"/>
              <w:rPr>
                <w:sz w:val="20"/>
                <w:szCs w:val="20"/>
                <w:color w:val="auto"/>
              </w:rPr>
            </w:pPr>
            <w:r>
              <w:rPr>
                <w:rFonts w:ascii="Arial" w:cs="Arial" w:eastAsia="Arial" w:hAnsi="Arial"/>
                <w:sz w:val="14"/>
                <w:szCs w:val="14"/>
                <w:color w:val="auto"/>
              </w:rPr>
              <w:t>3,331,519</w:t>
            </w:r>
          </w:p>
        </w:tc>
        <w:tc>
          <w:tcPr>
            <w:tcW w:w="800" w:type="dxa"/>
            <w:vAlign w:val="bottom"/>
          </w:tcPr>
          <w:p>
            <w:pPr>
              <w:jc w:val="right"/>
              <w:ind w:right="6"/>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
              <w:spacing w:after="0"/>
              <w:rPr>
                <w:sz w:val="20"/>
                <w:szCs w:val="20"/>
                <w:color w:val="auto"/>
              </w:rPr>
            </w:pPr>
            <w:r>
              <w:rPr>
                <w:rFonts w:ascii="Arial" w:cs="Arial" w:eastAsia="Arial" w:hAnsi="Arial"/>
                <w:sz w:val="14"/>
                <w:szCs w:val="14"/>
                <w:color w:val="auto"/>
              </w:rPr>
              <w:t>360,398</w:t>
            </w: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27,141</w:t>
            </w:r>
          </w:p>
        </w:tc>
        <w:tc>
          <w:tcPr>
            <w:tcW w:w="1180" w:type="dxa"/>
            <w:vAlign w:val="bottom"/>
          </w:tcPr>
          <w:p>
            <w:pPr>
              <w:jc w:val="right"/>
              <w:ind w:right="106"/>
              <w:spacing w:after="0"/>
              <w:rPr>
                <w:sz w:val="20"/>
                <w:szCs w:val="20"/>
                <w:color w:val="auto"/>
              </w:rPr>
            </w:pPr>
            <w:r>
              <w:rPr>
                <w:rFonts w:ascii="Arial" w:cs="Arial" w:eastAsia="Arial" w:hAnsi="Arial"/>
                <w:sz w:val="14"/>
                <w:szCs w:val="14"/>
                <w:color w:val="auto"/>
              </w:rPr>
              <w:t>153,374</w:t>
            </w:r>
          </w:p>
        </w:tc>
        <w:tc>
          <w:tcPr>
            <w:tcW w:w="920" w:type="dxa"/>
            <w:vAlign w:val="bottom"/>
          </w:tcPr>
          <w:p>
            <w:pPr>
              <w:jc w:val="right"/>
              <w:ind w:right="6"/>
              <w:spacing w:after="0"/>
              <w:rPr>
                <w:sz w:val="20"/>
                <w:szCs w:val="20"/>
                <w:color w:val="auto"/>
              </w:rPr>
            </w:pPr>
            <w:r>
              <w:rPr>
                <w:rFonts w:ascii="Arial" w:cs="Arial" w:eastAsia="Arial" w:hAnsi="Arial"/>
                <w:sz w:val="14"/>
                <w:szCs w:val="14"/>
                <w:color w:val="auto"/>
              </w:rPr>
              <w:t>4,336,941</w:t>
            </w:r>
          </w:p>
        </w:tc>
        <w:tc>
          <w:tcPr>
            <w:tcW w:w="0" w:type="dxa"/>
            <w:vAlign w:val="bottom"/>
          </w:tcPr>
          <w:p>
            <w:pPr>
              <w:spacing w:after="0"/>
              <w:rPr>
                <w:sz w:val="1"/>
                <w:szCs w:val="1"/>
                <w:color w:val="auto"/>
              </w:rPr>
            </w:pPr>
          </w:p>
        </w:tc>
      </w:tr>
      <w:tr>
        <w:trPr>
          <w:trHeight w:val="53"/>
        </w:trPr>
        <w:tc>
          <w:tcPr>
            <w:tcW w:w="2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500" w:type="dxa"/>
            <w:vAlign w:val="bottom"/>
            <w:shd w:val="clear" w:color="auto" w:fill="EDEDED"/>
          </w:tcPr>
          <w:p>
            <w:pPr>
              <w:ind w:left="60"/>
              <w:spacing w:after="0" w:line="159" w:lineRule="exact"/>
              <w:rPr>
                <w:sz w:val="20"/>
                <w:szCs w:val="20"/>
                <w:color w:val="auto"/>
              </w:rPr>
            </w:pPr>
            <w:r>
              <w:rPr>
                <w:rFonts w:ascii="Arial" w:cs="Arial" w:eastAsia="Arial" w:hAnsi="Arial"/>
                <w:sz w:val="14"/>
                <w:szCs w:val="14"/>
                <w:color w:val="auto"/>
              </w:rPr>
              <w:t>Peter Bracke,</w:t>
            </w:r>
          </w:p>
        </w:tc>
        <w:tc>
          <w:tcPr>
            <w:tcW w:w="780" w:type="dxa"/>
            <w:vAlign w:val="bottom"/>
            <w:shd w:val="clear" w:color="auto" w:fill="EDEDED"/>
          </w:tcPr>
          <w:p>
            <w:pPr>
              <w:spacing w:after="0"/>
              <w:rPr>
                <w:sz w:val="13"/>
                <w:szCs w:val="13"/>
                <w:color w:val="auto"/>
              </w:rPr>
            </w:pPr>
          </w:p>
        </w:tc>
        <w:tc>
          <w:tcPr>
            <w:tcW w:w="820" w:type="dxa"/>
            <w:vAlign w:val="bottom"/>
            <w:shd w:val="clear" w:color="auto" w:fill="EDEDED"/>
          </w:tcPr>
          <w:p>
            <w:pPr>
              <w:spacing w:after="0"/>
              <w:rPr>
                <w:sz w:val="13"/>
                <w:szCs w:val="13"/>
                <w:color w:val="auto"/>
              </w:rPr>
            </w:pPr>
          </w:p>
        </w:tc>
        <w:tc>
          <w:tcPr>
            <w:tcW w:w="84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800" w:type="dxa"/>
            <w:vAlign w:val="bottom"/>
            <w:shd w:val="clear" w:color="auto" w:fill="EDEDED"/>
          </w:tcPr>
          <w:p>
            <w:pPr>
              <w:spacing w:after="0"/>
              <w:rPr>
                <w:sz w:val="13"/>
                <w:szCs w:val="13"/>
                <w:color w:val="auto"/>
              </w:rPr>
            </w:pPr>
          </w:p>
        </w:tc>
        <w:tc>
          <w:tcPr>
            <w:tcW w:w="1100" w:type="dxa"/>
            <w:vAlign w:val="bottom"/>
            <w:shd w:val="clear" w:color="auto" w:fill="EDEDED"/>
          </w:tcPr>
          <w:p>
            <w:pPr>
              <w:spacing w:after="0"/>
              <w:rPr>
                <w:sz w:val="13"/>
                <w:szCs w:val="13"/>
                <w:color w:val="auto"/>
              </w:rPr>
            </w:pPr>
          </w:p>
        </w:tc>
        <w:tc>
          <w:tcPr>
            <w:tcW w:w="1120" w:type="dxa"/>
            <w:vAlign w:val="bottom"/>
            <w:shd w:val="clear" w:color="auto" w:fill="EDEDED"/>
          </w:tcPr>
          <w:p>
            <w:pPr>
              <w:spacing w:after="0"/>
              <w:rPr>
                <w:sz w:val="13"/>
                <w:szCs w:val="13"/>
                <w:color w:val="auto"/>
              </w:rPr>
            </w:pPr>
          </w:p>
        </w:tc>
        <w:tc>
          <w:tcPr>
            <w:tcW w:w="1180" w:type="dxa"/>
            <w:vAlign w:val="bottom"/>
            <w:shd w:val="clear" w:color="auto" w:fill="EDEDED"/>
          </w:tcPr>
          <w:p>
            <w:pPr>
              <w:spacing w:after="0"/>
              <w:rPr>
                <w:sz w:val="13"/>
                <w:szCs w:val="13"/>
                <w:color w:val="auto"/>
              </w:rPr>
            </w:pPr>
          </w:p>
        </w:tc>
        <w:tc>
          <w:tcPr>
            <w:tcW w:w="9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EDEDED"/>
          </w:tcPr>
          <w:p>
            <w:pPr>
              <w:ind w:left="60"/>
              <w:spacing w:after="0" w:line="162" w:lineRule="exact"/>
              <w:rPr>
                <w:sz w:val="20"/>
                <w:szCs w:val="20"/>
                <w:color w:val="auto"/>
              </w:rPr>
            </w:pPr>
            <w:r>
              <w:rPr>
                <w:rFonts w:ascii="Arial" w:cs="Arial" w:eastAsia="Arial" w:hAnsi="Arial"/>
                <w:sz w:val="15"/>
                <w:szCs w:val="15"/>
                <w:color w:val="auto"/>
              </w:rPr>
              <w:t>Vice President and Interim Chief</w:t>
            </w:r>
          </w:p>
        </w:tc>
        <w:tc>
          <w:tcPr>
            <w:tcW w:w="780" w:type="dxa"/>
            <w:vAlign w:val="bottom"/>
            <w:shd w:val="clear" w:color="auto" w:fill="EDEDED"/>
          </w:tcPr>
          <w:p>
            <w:pPr>
              <w:spacing w:after="0"/>
              <w:rPr>
                <w:sz w:val="14"/>
                <w:szCs w:val="14"/>
                <w:color w:val="auto"/>
              </w:rPr>
            </w:pPr>
          </w:p>
        </w:tc>
        <w:tc>
          <w:tcPr>
            <w:tcW w:w="820" w:type="dxa"/>
            <w:vAlign w:val="bottom"/>
            <w:shd w:val="clear" w:color="auto" w:fill="EDEDED"/>
          </w:tcPr>
          <w:p>
            <w:pPr>
              <w:spacing w:after="0"/>
              <w:rPr>
                <w:sz w:val="14"/>
                <w:szCs w:val="14"/>
                <w:color w:val="auto"/>
              </w:rPr>
            </w:pPr>
          </w:p>
        </w:tc>
        <w:tc>
          <w:tcPr>
            <w:tcW w:w="840" w:type="dxa"/>
            <w:vAlign w:val="bottom"/>
            <w:shd w:val="clear" w:color="auto" w:fill="EDEDED"/>
          </w:tcPr>
          <w:p>
            <w:pPr>
              <w:spacing w:after="0"/>
              <w:rPr>
                <w:sz w:val="14"/>
                <w:szCs w:val="14"/>
                <w:color w:val="auto"/>
              </w:rPr>
            </w:pPr>
          </w:p>
        </w:tc>
        <w:tc>
          <w:tcPr>
            <w:tcW w:w="960" w:type="dxa"/>
            <w:vAlign w:val="bottom"/>
            <w:shd w:val="clear" w:color="auto" w:fill="EDEDED"/>
          </w:tcPr>
          <w:p>
            <w:pPr>
              <w:spacing w:after="0"/>
              <w:rPr>
                <w:sz w:val="14"/>
                <w:szCs w:val="14"/>
                <w:color w:val="auto"/>
              </w:rPr>
            </w:pPr>
          </w:p>
        </w:tc>
        <w:tc>
          <w:tcPr>
            <w:tcW w:w="80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c>
          <w:tcPr>
            <w:tcW w:w="1120" w:type="dxa"/>
            <w:vAlign w:val="bottom"/>
            <w:shd w:val="clear" w:color="auto" w:fill="EDEDED"/>
          </w:tcPr>
          <w:p>
            <w:pPr>
              <w:spacing w:after="0"/>
              <w:rPr>
                <w:sz w:val="14"/>
                <w:szCs w:val="14"/>
                <w:color w:val="auto"/>
              </w:rPr>
            </w:pPr>
          </w:p>
        </w:tc>
        <w:tc>
          <w:tcPr>
            <w:tcW w:w="11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5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5"/>
                <w:szCs w:val="15"/>
                <w:color w:val="auto"/>
              </w:rPr>
              <w:t>Financial Officer</w:t>
            </w:r>
          </w:p>
        </w:tc>
        <w:tc>
          <w:tcPr>
            <w:tcW w:w="780" w:type="dxa"/>
            <w:vAlign w:val="bottom"/>
            <w:tcBorders>
              <w:bottom w:val="single" w:sz="8" w:color="EDEDED"/>
            </w:tcBorders>
            <w:shd w:val="clear" w:color="auto" w:fill="EDEDED"/>
          </w:tcPr>
          <w:p>
            <w:pPr>
              <w:jc w:val="right"/>
              <w:ind w:right="86"/>
              <w:spacing w:after="0"/>
              <w:rPr>
                <w:sz w:val="20"/>
                <w:szCs w:val="20"/>
                <w:color w:val="auto"/>
              </w:rPr>
            </w:pPr>
            <w:r>
              <w:rPr>
                <w:rFonts w:ascii="Arial" w:cs="Arial" w:eastAsia="Arial" w:hAnsi="Arial"/>
                <w:sz w:val="15"/>
                <w:szCs w:val="15"/>
                <w:color w:val="auto"/>
              </w:rPr>
              <w:t>2019</w:t>
            </w:r>
          </w:p>
        </w:tc>
        <w:tc>
          <w:tcPr>
            <w:tcW w:w="82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5"/>
                <w:szCs w:val="15"/>
                <w:color w:val="auto"/>
              </w:rPr>
              <w:t>392,552</w:t>
            </w:r>
          </w:p>
        </w:tc>
        <w:tc>
          <w:tcPr>
            <w:tcW w:w="84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5"/>
                <w:szCs w:val="15"/>
                <w:color w:val="auto"/>
              </w:rPr>
              <w:t>110,668</w:t>
            </w:r>
          </w:p>
        </w:tc>
        <w:tc>
          <w:tcPr>
            <w:tcW w:w="960" w:type="dxa"/>
            <w:vAlign w:val="bottom"/>
            <w:tcBorders>
              <w:bottom w:val="single" w:sz="8" w:color="EDEDED"/>
            </w:tcBorders>
            <w:shd w:val="clear" w:color="auto" w:fill="EDEDED"/>
          </w:tcPr>
          <w:p>
            <w:pPr>
              <w:jc w:val="right"/>
              <w:ind w:right="46"/>
              <w:spacing w:after="0"/>
              <w:rPr>
                <w:sz w:val="20"/>
                <w:szCs w:val="20"/>
                <w:color w:val="auto"/>
              </w:rPr>
            </w:pPr>
            <w:r>
              <w:rPr>
                <w:rFonts w:ascii="Arial" w:cs="Arial" w:eastAsia="Arial" w:hAnsi="Arial"/>
                <w:sz w:val="15"/>
                <w:szCs w:val="15"/>
                <w:color w:val="auto"/>
              </w:rPr>
              <w:t>472,177</w:t>
            </w:r>
          </w:p>
        </w:tc>
        <w:tc>
          <w:tcPr>
            <w:tcW w:w="80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5"/>
                <w:szCs w:val="15"/>
                <w:color w:val="auto"/>
              </w:rPr>
              <w:t>91,313</w:t>
            </w:r>
          </w:p>
        </w:tc>
        <w:tc>
          <w:tcPr>
            <w:tcW w:w="1100" w:type="dxa"/>
            <w:vAlign w:val="bottom"/>
            <w:tcBorders>
              <w:bottom w:val="single" w:sz="8" w:color="EDEDED"/>
            </w:tcBorders>
            <w:shd w:val="clear" w:color="auto" w:fill="EDEDED"/>
          </w:tcPr>
          <w:p>
            <w:pPr>
              <w:jc w:val="right"/>
              <w:ind w:right="26"/>
              <w:spacing w:after="0"/>
              <w:rPr>
                <w:sz w:val="20"/>
                <w:szCs w:val="20"/>
                <w:color w:val="auto"/>
              </w:rPr>
            </w:pPr>
            <w:r>
              <w:rPr>
                <w:rFonts w:ascii="Arial" w:cs="Arial" w:eastAsia="Arial" w:hAnsi="Arial"/>
                <w:sz w:val="15"/>
                <w:szCs w:val="15"/>
                <w:color w:val="auto"/>
              </w:rPr>
              <w:t>80,177</w:t>
            </w:r>
          </w:p>
        </w:tc>
        <w:tc>
          <w:tcPr>
            <w:tcW w:w="1120" w:type="dxa"/>
            <w:vAlign w:val="bottom"/>
            <w:tcBorders>
              <w:bottom w:val="single" w:sz="8" w:color="EDEDED"/>
            </w:tcBorders>
            <w:shd w:val="clear" w:color="auto" w:fill="EDEDED"/>
          </w:tcPr>
          <w:p>
            <w:pPr>
              <w:jc w:val="right"/>
              <w:ind w:right="67"/>
              <w:spacing w:after="0"/>
              <w:rPr>
                <w:sz w:val="20"/>
                <w:szCs w:val="20"/>
                <w:color w:val="auto"/>
              </w:rPr>
            </w:pPr>
            <w:r>
              <w:rPr>
                <w:rFonts w:ascii="Arial" w:cs="Arial" w:eastAsia="Arial" w:hAnsi="Arial"/>
                <w:sz w:val="15"/>
                <w:szCs w:val="15"/>
                <w:color w:val="auto"/>
              </w:rPr>
              <w:t>65,444</w:t>
            </w:r>
          </w:p>
        </w:tc>
        <w:tc>
          <w:tcPr>
            <w:tcW w:w="1180" w:type="dxa"/>
            <w:vAlign w:val="bottom"/>
            <w:tcBorders>
              <w:bottom w:val="single" w:sz="8" w:color="EDEDED"/>
            </w:tcBorders>
            <w:shd w:val="clear" w:color="auto" w:fill="EDEDED"/>
          </w:tcPr>
          <w:p>
            <w:pPr>
              <w:jc w:val="right"/>
              <w:ind w:right="106"/>
              <w:spacing w:after="0"/>
              <w:rPr>
                <w:sz w:val="20"/>
                <w:szCs w:val="20"/>
                <w:color w:val="auto"/>
              </w:rPr>
            </w:pPr>
            <w:r>
              <w:rPr>
                <w:rFonts w:ascii="Arial" w:cs="Arial" w:eastAsia="Arial" w:hAnsi="Arial"/>
                <w:sz w:val="15"/>
                <w:szCs w:val="15"/>
                <w:color w:val="auto"/>
              </w:rPr>
              <w:t>21,505</w:t>
            </w:r>
          </w:p>
        </w:tc>
        <w:tc>
          <w:tcPr>
            <w:tcW w:w="920" w:type="dxa"/>
            <w:vAlign w:val="bottom"/>
            <w:tcBorders>
              <w:bottom w:val="single" w:sz="8" w:color="EDEDED"/>
            </w:tcBorders>
            <w:shd w:val="clear" w:color="auto" w:fill="EDEDED"/>
          </w:tcPr>
          <w:p>
            <w:pPr>
              <w:jc w:val="right"/>
              <w:ind w:right="26"/>
              <w:spacing w:after="0"/>
              <w:rPr>
                <w:sz w:val="20"/>
                <w:szCs w:val="20"/>
                <w:color w:val="auto"/>
              </w:rPr>
            </w:pPr>
            <w:r>
              <w:rPr>
                <w:rFonts w:ascii="Arial" w:cs="Arial" w:eastAsia="Arial" w:hAnsi="Arial"/>
                <w:sz w:val="15"/>
                <w:szCs w:val="15"/>
                <w:color w:val="auto"/>
              </w:rPr>
              <w:t>1,233,836</w:t>
            </w:r>
          </w:p>
        </w:tc>
        <w:tc>
          <w:tcPr>
            <w:tcW w:w="0" w:type="dxa"/>
            <w:vAlign w:val="bottom"/>
          </w:tcPr>
          <w:p>
            <w:pPr>
              <w:spacing w:after="0"/>
              <w:rPr>
                <w:sz w:val="1"/>
                <w:szCs w:val="1"/>
                <w:color w:val="auto"/>
              </w:rPr>
            </w:pPr>
          </w:p>
        </w:tc>
      </w:tr>
      <w:tr>
        <w:trPr>
          <w:trHeight w:val="159"/>
        </w:trPr>
        <w:tc>
          <w:tcPr>
            <w:tcW w:w="2500" w:type="dxa"/>
            <w:vAlign w:val="bottom"/>
          </w:tcPr>
          <w:p>
            <w:pPr>
              <w:ind w:left="60"/>
              <w:spacing w:after="0" w:line="159" w:lineRule="exact"/>
              <w:rPr>
                <w:sz w:val="20"/>
                <w:szCs w:val="20"/>
                <w:color w:val="auto"/>
              </w:rPr>
            </w:pPr>
            <w:r>
              <w:rPr>
                <w:rFonts w:ascii="Arial" w:cs="Arial" w:eastAsia="Arial" w:hAnsi="Arial"/>
                <w:sz w:val="14"/>
                <w:szCs w:val="14"/>
                <w:color w:val="auto"/>
              </w:rPr>
              <w:t>Craig Balis</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60"/>
              <w:spacing w:after="0" w:line="162" w:lineRule="exact"/>
              <w:rPr>
                <w:sz w:val="20"/>
                <w:szCs w:val="20"/>
                <w:color w:val="auto"/>
              </w:rPr>
            </w:pPr>
            <w:r>
              <w:rPr>
                <w:rFonts w:ascii="Arial" w:cs="Arial" w:eastAsia="Arial" w:hAnsi="Arial"/>
                <w:sz w:val="15"/>
                <w:szCs w:val="15"/>
                <w:color w:val="auto"/>
              </w:rPr>
              <w:t>Senior Vice President and Chief</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60"/>
              <w:spacing w:after="0"/>
              <w:rPr>
                <w:sz w:val="20"/>
                <w:szCs w:val="20"/>
                <w:color w:val="auto"/>
              </w:rPr>
            </w:pPr>
            <w:r>
              <w:rPr>
                <w:rFonts w:ascii="Arial" w:cs="Arial" w:eastAsia="Arial" w:hAnsi="Arial"/>
                <w:sz w:val="15"/>
                <w:szCs w:val="15"/>
                <w:color w:val="auto"/>
              </w:rPr>
              <w:t>Technology Officer</w:t>
            </w: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2019</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402,431</w:t>
            </w:r>
          </w:p>
        </w:tc>
        <w:tc>
          <w:tcPr>
            <w:tcW w:w="840" w:type="dxa"/>
            <w:vAlign w:val="bottom"/>
          </w:tcPr>
          <w:p>
            <w:pPr>
              <w:jc w:val="right"/>
              <w:ind w:right="66"/>
              <w:spacing w:after="0"/>
              <w:rPr>
                <w:sz w:val="20"/>
                <w:szCs w:val="20"/>
                <w:color w:val="auto"/>
              </w:rPr>
            </w:pPr>
            <w:r>
              <w:rPr>
                <w:rFonts w:ascii="Arial" w:cs="Arial" w:eastAsia="Arial" w:hAnsi="Arial"/>
                <w:sz w:val="15"/>
                <w:szCs w:val="15"/>
                <w:color w:val="auto"/>
              </w:rPr>
              <w:t>158,707</w:t>
            </w: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852,143</w:t>
            </w: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200,710</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76,793</w:t>
            </w: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78,306</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139,763</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1,908,853</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2018</w:t>
            </w:r>
          </w:p>
        </w:tc>
        <w:tc>
          <w:tcPr>
            <w:tcW w:w="820" w:type="dxa"/>
            <w:vAlign w:val="bottom"/>
          </w:tcPr>
          <w:p>
            <w:pPr>
              <w:jc w:val="right"/>
              <w:ind w:right="66"/>
              <w:spacing w:after="0"/>
              <w:rPr>
                <w:sz w:val="20"/>
                <w:szCs w:val="20"/>
                <w:color w:val="auto"/>
              </w:rPr>
            </w:pPr>
            <w:r>
              <w:rPr>
                <w:rFonts w:ascii="Arial" w:cs="Arial" w:eastAsia="Arial" w:hAnsi="Arial"/>
                <w:sz w:val="14"/>
                <w:szCs w:val="14"/>
                <w:color w:val="auto"/>
              </w:rPr>
              <w:t>390,764</w:t>
            </w:r>
          </w:p>
        </w:tc>
        <w:tc>
          <w:tcPr>
            <w:tcW w:w="840" w:type="dxa"/>
            <w:vAlign w:val="bottom"/>
          </w:tcPr>
          <w:p>
            <w:pPr>
              <w:jc w:val="right"/>
              <w:ind w:right="66"/>
              <w:spacing w:after="0"/>
              <w:rPr>
                <w:sz w:val="20"/>
                <w:szCs w:val="20"/>
                <w:color w:val="auto"/>
              </w:rPr>
            </w:pPr>
            <w:r>
              <w:rPr>
                <w:rFonts w:ascii="Arial" w:cs="Arial" w:eastAsia="Arial" w:hAnsi="Arial"/>
                <w:sz w:val="14"/>
                <w:szCs w:val="14"/>
                <w:color w:val="auto"/>
              </w:rPr>
              <w:t>272,095</w:t>
            </w:r>
          </w:p>
        </w:tc>
        <w:tc>
          <w:tcPr>
            <w:tcW w:w="960" w:type="dxa"/>
            <w:vAlign w:val="bottom"/>
          </w:tcPr>
          <w:p>
            <w:pPr>
              <w:jc w:val="right"/>
              <w:ind w:right="46"/>
              <w:spacing w:after="0"/>
              <w:rPr>
                <w:sz w:val="20"/>
                <w:szCs w:val="20"/>
                <w:color w:val="auto"/>
              </w:rPr>
            </w:pPr>
            <w:r>
              <w:rPr>
                <w:rFonts w:ascii="Arial" w:cs="Arial" w:eastAsia="Arial" w:hAnsi="Arial"/>
                <w:sz w:val="14"/>
                <w:szCs w:val="14"/>
                <w:color w:val="auto"/>
              </w:rPr>
              <w:t>1,030,513</w:t>
            </w:r>
          </w:p>
        </w:tc>
        <w:tc>
          <w:tcPr>
            <w:tcW w:w="800" w:type="dxa"/>
            <w:vAlign w:val="bottom"/>
          </w:tcPr>
          <w:p>
            <w:pPr>
              <w:jc w:val="right"/>
              <w:ind w:right="6"/>
              <w:spacing w:after="0"/>
              <w:rPr>
                <w:sz w:val="20"/>
                <w:szCs w:val="20"/>
                <w:color w:val="auto"/>
              </w:rPr>
            </w:pPr>
            <w:r>
              <w:rPr>
                <w:rFonts w:ascii="Arial" w:cs="Arial" w:eastAsia="Arial" w:hAnsi="Arial"/>
                <w:sz w:val="14"/>
                <w:szCs w:val="14"/>
                <w:color w:val="auto"/>
              </w:rPr>
              <w:t>279,070</w:t>
            </w:r>
          </w:p>
        </w:tc>
        <w:tc>
          <w:tcPr>
            <w:tcW w:w="1100" w:type="dxa"/>
            <w:vAlign w:val="bottom"/>
          </w:tcPr>
          <w:p>
            <w:pPr>
              <w:jc w:val="right"/>
              <w:ind w:right="26"/>
              <w:spacing w:after="0"/>
              <w:rPr>
                <w:sz w:val="20"/>
                <w:szCs w:val="20"/>
                <w:color w:val="auto"/>
              </w:rPr>
            </w:pPr>
            <w:r>
              <w:rPr>
                <w:rFonts w:ascii="Arial" w:cs="Arial" w:eastAsia="Arial" w:hAnsi="Arial"/>
                <w:sz w:val="14"/>
                <w:szCs w:val="14"/>
                <w:color w:val="auto"/>
              </w:rPr>
              <w:t>153,340</w:t>
            </w: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187,932</w:t>
            </w:r>
          </w:p>
        </w:tc>
        <w:tc>
          <w:tcPr>
            <w:tcW w:w="1180" w:type="dxa"/>
            <w:vAlign w:val="bottom"/>
          </w:tcPr>
          <w:p>
            <w:pPr>
              <w:jc w:val="right"/>
              <w:ind w:right="106"/>
              <w:spacing w:after="0"/>
              <w:rPr>
                <w:sz w:val="20"/>
                <w:szCs w:val="20"/>
                <w:color w:val="auto"/>
              </w:rPr>
            </w:pPr>
            <w:r>
              <w:rPr>
                <w:rFonts w:ascii="Arial" w:cs="Arial" w:eastAsia="Arial" w:hAnsi="Arial"/>
                <w:sz w:val="14"/>
                <w:szCs w:val="14"/>
                <w:color w:val="auto"/>
              </w:rPr>
              <w:t>106,704</w:t>
            </w:r>
          </w:p>
        </w:tc>
        <w:tc>
          <w:tcPr>
            <w:tcW w:w="920" w:type="dxa"/>
            <w:vAlign w:val="bottom"/>
          </w:tcPr>
          <w:p>
            <w:pPr>
              <w:jc w:val="right"/>
              <w:ind w:right="6"/>
              <w:spacing w:after="0"/>
              <w:rPr>
                <w:sz w:val="20"/>
                <w:szCs w:val="20"/>
                <w:color w:val="auto"/>
              </w:rPr>
            </w:pPr>
            <w:r>
              <w:rPr>
                <w:rFonts w:ascii="Arial" w:cs="Arial" w:eastAsia="Arial" w:hAnsi="Arial"/>
                <w:sz w:val="14"/>
                <w:szCs w:val="14"/>
                <w:color w:val="auto"/>
              </w:rPr>
              <w:t>2,420,418</w:t>
            </w:r>
          </w:p>
        </w:tc>
        <w:tc>
          <w:tcPr>
            <w:tcW w:w="0" w:type="dxa"/>
            <w:vAlign w:val="bottom"/>
          </w:tcPr>
          <w:p>
            <w:pPr>
              <w:spacing w:after="0"/>
              <w:rPr>
                <w:sz w:val="1"/>
                <w:szCs w:val="1"/>
                <w:color w:val="auto"/>
              </w:rPr>
            </w:pPr>
          </w:p>
        </w:tc>
      </w:tr>
      <w:tr>
        <w:trPr>
          <w:trHeight w:val="53"/>
        </w:trPr>
        <w:tc>
          <w:tcPr>
            <w:tcW w:w="2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500" w:type="dxa"/>
            <w:vAlign w:val="bottom"/>
            <w:shd w:val="clear" w:color="auto" w:fill="EDEDED"/>
          </w:tcPr>
          <w:p>
            <w:pPr>
              <w:ind w:left="60"/>
              <w:spacing w:after="0" w:line="159" w:lineRule="exact"/>
              <w:rPr>
                <w:sz w:val="20"/>
                <w:szCs w:val="20"/>
                <w:color w:val="auto"/>
              </w:rPr>
            </w:pPr>
            <w:r>
              <w:rPr>
                <w:rFonts w:ascii="Arial" w:cs="Arial" w:eastAsia="Arial" w:hAnsi="Arial"/>
                <w:sz w:val="14"/>
                <w:szCs w:val="14"/>
                <w:color w:val="auto"/>
              </w:rPr>
              <w:t>Jérôme Maironi</w:t>
            </w:r>
          </w:p>
        </w:tc>
        <w:tc>
          <w:tcPr>
            <w:tcW w:w="780" w:type="dxa"/>
            <w:vAlign w:val="bottom"/>
            <w:shd w:val="clear" w:color="auto" w:fill="EDEDED"/>
          </w:tcPr>
          <w:p>
            <w:pPr>
              <w:spacing w:after="0"/>
              <w:rPr>
                <w:sz w:val="13"/>
                <w:szCs w:val="13"/>
                <w:color w:val="auto"/>
              </w:rPr>
            </w:pPr>
          </w:p>
        </w:tc>
        <w:tc>
          <w:tcPr>
            <w:tcW w:w="820" w:type="dxa"/>
            <w:vAlign w:val="bottom"/>
            <w:shd w:val="clear" w:color="auto" w:fill="EDEDED"/>
          </w:tcPr>
          <w:p>
            <w:pPr>
              <w:spacing w:after="0"/>
              <w:rPr>
                <w:sz w:val="13"/>
                <w:szCs w:val="13"/>
                <w:color w:val="auto"/>
              </w:rPr>
            </w:pPr>
          </w:p>
        </w:tc>
        <w:tc>
          <w:tcPr>
            <w:tcW w:w="840" w:type="dxa"/>
            <w:vAlign w:val="bottom"/>
            <w:shd w:val="clear" w:color="auto" w:fill="EDEDED"/>
          </w:tcPr>
          <w:p>
            <w:pPr>
              <w:spacing w:after="0"/>
              <w:rPr>
                <w:sz w:val="13"/>
                <w:szCs w:val="13"/>
                <w:color w:val="auto"/>
              </w:rPr>
            </w:pPr>
          </w:p>
        </w:tc>
        <w:tc>
          <w:tcPr>
            <w:tcW w:w="960" w:type="dxa"/>
            <w:vAlign w:val="bottom"/>
            <w:shd w:val="clear" w:color="auto" w:fill="EDEDED"/>
          </w:tcPr>
          <w:p>
            <w:pPr>
              <w:spacing w:after="0"/>
              <w:rPr>
                <w:sz w:val="13"/>
                <w:szCs w:val="13"/>
                <w:color w:val="auto"/>
              </w:rPr>
            </w:pPr>
          </w:p>
        </w:tc>
        <w:tc>
          <w:tcPr>
            <w:tcW w:w="800" w:type="dxa"/>
            <w:vAlign w:val="bottom"/>
            <w:shd w:val="clear" w:color="auto" w:fill="EDEDED"/>
          </w:tcPr>
          <w:p>
            <w:pPr>
              <w:spacing w:after="0"/>
              <w:rPr>
                <w:sz w:val="13"/>
                <w:szCs w:val="13"/>
                <w:color w:val="auto"/>
              </w:rPr>
            </w:pPr>
          </w:p>
        </w:tc>
        <w:tc>
          <w:tcPr>
            <w:tcW w:w="1100" w:type="dxa"/>
            <w:vAlign w:val="bottom"/>
            <w:shd w:val="clear" w:color="auto" w:fill="EDEDED"/>
          </w:tcPr>
          <w:p>
            <w:pPr>
              <w:spacing w:after="0"/>
              <w:rPr>
                <w:sz w:val="13"/>
                <w:szCs w:val="13"/>
                <w:color w:val="auto"/>
              </w:rPr>
            </w:pPr>
          </w:p>
        </w:tc>
        <w:tc>
          <w:tcPr>
            <w:tcW w:w="1120" w:type="dxa"/>
            <w:vAlign w:val="bottom"/>
            <w:shd w:val="clear" w:color="auto" w:fill="EDEDED"/>
          </w:tcPr>
          <w:p>
            <w:pPr>
              <w:spacing w:after="0"/>
              <w:rPr>
                <w:sz w:val="13"/>
                <w:szCs w:val="13"/>
                <w:color w:val="auto"/>
              </w:rPr>
            </w:pPr>
          </w:p>
        </w:tc>
        <w:tc>
          <w:tcPr>
            <w:tcW w:w="1180" w:type="dxa"/>
            <w:vAlign w:val="bottom"/>
            <w:shd w:val="clear" w:color="auto" w:fill="EDEDED"/>
          </w:tcPr>
          <w:p>
            <w:pPr>
              <w:spacing w:after="0"/>
              <w:rPr>
                <w:sz w:val="13"/>
                <w:szCs w:val="13"/>
                <w:color w:val="auto"/>
              </w:rPr>
            </w:pPr>
          </w:p>
        </w:tc>
        <w:tc>
          <w:tcPr>
            <w:tcW w:w="9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EDEDED"/>
          </w:tcPr>
          <w:p>
            <w:pPr>
              <w:ind w:left="60"/>
              <w:spacing w:after="0" w:line="162" w:lineRule="exact"/>
              <w:rPr>
                <w:sz w:val="20"/>
                <w:szCs w:val="20"/>
                <w:color w:val="auto"/>
              </w:rPr>
            </w:pPr>
            <w:r>
              <w:rPr>
                <w:rFonts w:ascii="Arial" w:cs="Arial" w:eastAsia="Arial" w:hAnsi="Arial"/>
                <w:sz w:val="15"/>
                <w:szCs w:val="15"/>
                <w:color w:val="auto"/>
              </w:rPr>
              <w:t>Senior Vice President, General</w:t>
            </w:r>
          </w:p>
        </w:tc>
        <w:tc>
          <w:tcPr>
            <w:tcW w:w="780" w:type="dxa"/>
            <w:vAlign w:val="bottom"/>
            <w:shd w:val="clear" w:color="auto" w:fill="EDEDED"/>
          </w:tcPr>
          <w:p>
            <w:pPr>
              <w:spacing w:after="0"/>
              <w:rPr>
                <w:sz w:val="14"/>
                <w:szCs w:val="14"/>
                <w:color w:val="auto"/>
              </w:rPr>
            </w:pPr>
          </w:p>
        </w:tc>
        <w:tc>
          <w:tcPr>
            <w:tcW w:w="820" w:type="dxa"/>
            <w:vAlign w:val="bottom"/>
            <w:shd w:val="clear" w:color="auto" w:fill="EDEDED"/>
          </w:tcPr>
          <w:p>
            <w:pPr>
              <w:spacing w:after="0"/>
              <w:rPr>
                <w:sz w:val="14"/>
                <w:szCs w:val="14"/>
                <w:color w:val="auto"/>
              </w:rPr>
            </w:pPr>
          </w:p>
        </w:tc>
        <w:tc>
          <w:tcPr>
            <w:tcW w:w="840" w:type="dxa"/>
            <w:vAlign w:val="bottom"/>
            <w:shd w:val="clear" w:color="auto" w:fill="EDEDED"/>
          </w:tcPr>
          <w:p>
            <w:pPr>
              <w:spacing w:after="0"/>
              <w:rPr>
                <w:sz w:val="14"/>
                <w:szCs w:val="14"/>
                <w:color w:val="auto"/>
              </w:rPr>
            </w:pPr>
          </w:p>
        </w:tc>
        <w:tc>
          <w:tcPr>
            <w:tcW w:w="960" w:type="dxa"/>
            <w:vAlign w:val="bottom"/>
            <w:shd w:val="clear" w:color="auto" w:fill="EDEDED"/>
          </w:tcPr>
          <w:p>
            <w:pPr>
              <w:spacing w:after="0"/>
              <w:rPr>
                <w:sz w:val="14"/>
                <w:szCs w:val="14"/>
                <w:color w:val="auto"/>
              </w:rPr>
            </w:pPr>
          </w:p>
        </w:tc>
        <w:tc>
          <w:tcPr>
            <w:tcW w:w="80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c>
          <w:tcPr>
            <w:tcW w:w="1120" w:type="dxa"/>
            <w:vAlign w:val="bottom"/>
            <w:shd w:val="clear" w:color="auto" w:fill="EDEDED"/>
          </w:tcPr>
          <w:p>
            <w:pPr>
              <w:spacing w:after="0"/>
              <w:rPr>
                <w:sz w:val="14"/>
                <w:szCs w:val="14"/>
                <w:color w:val="auto"/>
              </w:rPr>
            </w:pPr>
          </w:p>
        </w:tc>
        <w:tc>
          <w:tcPr>
            <w:tcW w:w="1180" w:type="dxa"/>
            <w:vAlign w:val="bottom"/>
            <w:shd w:val="clear" w:color="auto" w:fill="EDEDED"/>
          </w:tcPr>
          <w:p>
            <w:pPr>
              <w:spacing w:after="0"/>
              <w:rPr>
                <w:sz w:val="14"/>
                <w:szCs w:val="14"/>
                <w:color w:val="auto"/>
              </w:rPr>
            </w:pPr>
          </w:p>
        </w:tc>
        <w:tc>
          <w:tcPr>
            <w:tcW w:w="9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EDEDED"/>
          </w:tcPr>
          <w:p>
            <w:pPr>
              <w:ind w:left="60"/>
              <w:spacing w:after="0"/>
              <w:rPr>
                <w:sz w:val="20"/>
                <w:szCs w:val="20"/>
                <w:color w:val="auto"/>
              </w:rPr>
            </w:pPr>
            <w:r>
              <w:rPr>
                <w:rFonts w:ascii="Arial" w:cs="Arial" w:eastAsia="Arial" w:hAnsi="Arial"/>
                <w:sz w:val="15"/>
                <w:szCs w:val="15"/>
                <w:color w:val="auto"/>
              </w:rPr>
              <w:t>Counsel, and Corporate Secretary</w:t>
            </w:r>
          </w:p>
        </w:tc>
        <w:tc>
          <w:tcPr>
            <w:tcW w:w="780" w:type="dxa"/>
            <w:vAlign w:val="bottom"/>
            <w:shd w:val="clear" w:color="auto" w:fill="EDEDED"/>
          </w:tcPr>
          <w:p>
            <w:pPr>
              <w:jc w:val="right"/>
              <w:ind w:right="86"/>
              <w:spacing w:after="0"/>
              <w:rPr>
                <w:sz w:val="20"/>
                <w:szCs w:val="20"/>
                <w:color w:val="auto"/>
              </w:rPr>
            </w:pPr>
            <w:r>
              <w:rPr>
                <w:rFonts w:ascii="Arial" w:cs="Arial" w:eastAsia="Arial" w:hAnsi="Arial"/>
                <w:sz w:val="15"/>
                <w:szCs w:val="15"/>
                <w:color w:val="auto"/>
              </w:rPr>
              <w:t>2019</w:t>
            </w:r>
          </w:p>
        </w:tc>
        <w:tc>
          <w:tcPr>
            <w:tcW w:w="820" w:type="dxa"/>
            <w:vAlign w:val="bottom"/>
            <w:shd w:val="clear" w:color="auto" w:fill="EDEDED"/>
          </w:tcPr>
          <w:p>
            <w:pPr>
              <w:jc w:val="right"/>
              <w:ind w:right="66"/>
              <w:spacing w:after="0"/>
              <w:rPr>
                <w:sz w:val="20"/>
                <w:szCs w:val="20"/>
                <w:color w:val="auto"/>
              </w:rPr>
            </w:pPr>
            <w:r>
              <w:rPr>
                <w:rFonts w:ascii="Arial" w:cs="Arial" w:eastAsia="Arial" w:hAnsi="Arial"/>
                <w:sz w:val="15"/>
                <w:szCs w:val="15"/>
                <w:color w:val="auto"/>
              </w:rPr>
              <w:t>452,735</w:t>
            </w:r>
          </w:p>
        </w:tc>
        <w:tc>
          <w:tcPr>
            <w:tcW w:w="840" w:type="dxa"/>
            <w:vAlign w:val="bottom"/>
            <w:shd w:val="clear" w:color="auto" w:fill="EDEDED"/>
          </w:tcPr>
          <w:p>
            <w:pPr>
              <w:jc w:val="right"/>
              <w:ind w:right="66"/>
              <w:spacing w:after="0"/>
              <w:rPr>
                <w:sz w:val="20"/>
                <w:szCs w:val="20"/>
                <w:color w:val="auto"/>
              </w:rPr>
            </w:pPr>
            <w:r>
              <w:rPr>
                <w:rFonts w:ascii="Arial" w:cs="Arial" w:eastAsia="Arial" w:hAnsi="Arial"/>
                <w:sz w:val="15"/>
                <w:szCs w:val="15"/>
                <w:color w:val="auto"/>
              </w:rPr>
              <w:t>—</w:t>
            </w:r>
          </w:p>
        </w:tc>
        <w:tc>
          <w:tcPr>
            <w:tcW w:w="960" w:type="dxa"/>
            <w:vAlign w:val="bottom"/>
            <w:shd w:val="clear" w:color="auto" w:fill="EDEDED"/>
          </w:tcPr>
          <w:p>
            <w:pPr>
              <w:jc w:val="right"/>
              <w:ind w:right="46"/>
              <w:spacing w:after="0"/>
              <w:rPr>
                <w:sz w:val="20"/>
                <w:szCs w:val="20"/>
                <w:color w:val="auto"/>
              </w:rPr>
            </w:pPr>
            <w:r>
              <w:rPr>
                <w:rFonts w:ascii="Arial" w:cs="Arial" w:eastAsia="Arial" w:hAnsi="Arial"/>
                <w:sz w:val="15"/>
                <w:szCs w:val="15"/>
                <w:color w:val="auto"/>
              </w:rPr>
              <w:t>875,153</w:t>
            </w:r>
          </w:p>
        </w:tc>
        <w:tc>
          <w:tcPr>
            <w:tcW w:w="800" w:type="dxa"/>
            <w:vAlign w:val="bottom"/>
            <w:shd w:val="clear" w:color="auto" w:fill="EDEDED"/>
          </w:tcPr>
          <w:p>
            <w:pPr>
              <w:jc w:val="right"/>
              <w:ind w:right="6"/>
              <w:spacing w:after="0"/>
              <w:rPr>
                <w:sz w:val="20"/>
                <w:szCs w:val="20"/>
                <w:color w:val="auto"/>
              </w:rPr>
            </w:pPr>
            <w:r>
              <w:rPr>
                <w:rFonts w:ascii="Arial" w:cs="Arial" w:eastAsia="Arial" w:hAnsi="Arial"/>
                <w:sz w:val="15"/>
                <w:szCs w:val="15"/>
                <w:color w:val="auto"/>
              </w:rPr>
              <w:t>213,377</w:t>
            </w:r>
          </w:p>
        </w:tc>
        <w:tc>
          <w:tcPr>
            <w:tcW w:w="1100" w:type="dxa"/>
            <w:vAlign w:val="bottom"/>
            <w:shd w:val="clear" w:color="auto" w:fill="EDEDED"/>
          </w:tcPr>
          <w:p>
            <w:pPr>
              <w:jc w:val="right"/>
              <w:ind w:right="26"/>
              <w:spacing w:after="0"/>
              <w:rPr>
                <w:sz w:val="20"/>
                <w:szCs w:val="20"/>
                <w:color w:val="auto"/>
              </w:rPr>
            </w:pPr>
            <w:r>
              <w:rPr>
                <w:rFonts w:ascii="Arial" w:cs="Arial" w:eastAsia="Arial" w:hAnsi="Arial"/>
                <w:sz w:val="15"/>
                <w:szCs w:val="15"/>
                <w:color w:val="auto"/>
              </w:rPr>
              <w:t>122,312</w:t>
            </w:r>
          </w:p>
        </w:tc>
        <w:tc>
          <w:tcPr>
            <w:tcW w:w="1120" w:type="dxa"/>
            <w:vAlign w:val="bottom"/>
            <w:shd w:val="clear" w:color="auto" w:fill="EDEDED"/>
          </w:tcPr>
          <w:p>
            <w:pPr>
              <w:jc w:val="right"/>
              <w:ind w:right="67"/>
              <w:spacing w:after="0"/>
              <w:rPr>
                <w:sz w:val="20"/>
                <w:szCs w:val="20"/>
                <w:color w:val="auto"/>
              </w:rPr>
            </w:pPr>
            <w:r>
              <w:rPr>
                <w:rFonts w:ascii="Arial" w:cs="Arial" w:eastAsia="Arial" w:hAnsi="Arial"/>
                <w:sz w:val="15"/>
                <w:szCs w:val="15"/>
                <w:color w:val="auto"/>
              </w:rPr>
              <w:t>65,732</w:t>
            </w:r>
          </w:p>
        </w:tc>
        <w:tc>
          <w:tcPr>
            <w:tcW w:w="1180" w:type="dxa"/>
            <w:vAlign w:val="bottom"/>
            <w:shd w:val="clear" w:color="auto" w:fill="EDEDED"/>
          </w:tcPr>
          <w:p>
            <w:pPr>
              <w:jc w:val="right"/>
              <w:ind w:right="106"/>
              <w:spacing w:after="0"/>
              <w:rPr>
                <w:sz w:val="20"/>
                <w:szCs w:val="20"/>
                <w:color w:val="auto"/>
              </w:rPr>
            </w:pPr>
            <w:r>
              <w:rPr>
                <w:rFonts w:ascii="Arial" w:cs="Arial" w:eastAsia="Arial" w:hAnsi="Arial"/>
                <w:sz w:val="15"/>
                <w:szCs w:val="15"/>
                <w:color w:val="auto"/>
              </w:rPr>
              <w:t>210,923</w:t>
            </w:r>
          </w:p>
        </w:tc>
        <w:tc>
          <w:tcPr>
            <w:tcW w:w="920" w:type="dxa"/>
            <w:vAlign w:val="bottom"/>
            <w:shd w:val="clear" w:color="auto" w:fill="EDEDED"/>
          </w:tcPr>
          <w:p>
            <w:pPr>
              <w:jc w:val="right"/>
              <w:ind w:right="26"/>
              <w:spacing w:after="0"/>
              <w:rPr>
                <w:sz w:val="20"/>
                <w:szCs w:val="20"/>
                <w:color w:val="auto"/>
              </w:rPr>
            </w:pPr>
            <w:r>
              <w:rPr>
                <w:rFonts w:ascii="Arial" w:cs="Arial" w:eastAsia="Arial" w:hAnsi="Arial"/>
                <w:sz w:val="15"/>
                <w:szCs w:val="15"/>
                <w:color w:val="auto"/>
              </w:rPr>
              <w:t>1,940,232</w:t>
            </w:r>
          </w:p>
        </w:tc>
        <w:tc>
          <w:tcPr>
            <w:tcW w:w="0" w:type="dxa"/>
            <w:vAlign w:val="bottom"/>
          </w:tcPr>
          <w:p>
            <w:pPr>
              <w:spacing w:after="0"/>
              <w:rPr>
                <w:sz w:val="1"/>
                <w:szCs w:val="1"/>
                <w:color w:val="auto"/>
              </w:rPr>
            </w:pPr>
          </w:p>
        </w:tc>
      </w:tr>
      <w:tr>
        <w:trPr>
          <w:trHeight w:val="258"/>
        </w:trPr>
        <w:tc>
          <w:tcPr>
            <w:tcW w:w="2500" w:type="dxa"/>
            <w:vAlign w:val="bottom"/>
            <w:tcBorders>
              <w:bottom w:val="single" w:sz="8" w:color="EDEDED"/>
            </w:tcBorders>
            <w:shd w:val="clear" w:color="auto" w:fill="EDEDED"/>
          </w:tcPr>
          <w:p>
            <w:pPr>
              <w:spacing w:after="0"/>
              <w:rPr>
                <w:sz w:val="22"/>
                <w:szCs w:val="22"/>
                <w:color w:val="auto"/>
              </w:rPr>
            </w:pPr>
          </w:p>
        </w:tc>
        <w:tc>
          <w:tcPr>
            <w:tcW w:w="780" w:type="dxa"/>
            <w:vAlign w:val="bottom"/>
            <w:tcBorders>
              <w:bottom w:val="single" w:sz="8" w:color="EDEDED"/>
            </w:tcBorders>
            <w:shd w:val="clear" w:color="auto" w:fill="EDEDED"/>
          </w:tcPr>
          <w:p>
            <w:pPr>
              <w:jc w:val="right"/>
              <w:ind w:right="86"/>
              <w:spacing w:after="0"/>
              <w:rPr>
                <w:sz w:val="20"/>
                <w:szCs w:val="20"/>
                <w:color w:val="auto"/>
              </w:rPr>
            </w:pPr>
            <w:r>
              <w:rPr>
                <w:rFonts w:ascii="Arial" w:cs="Arial" w:eastAsia="Arial" w:hAnsi="Arial"/>
                <w:sz w:val="14"/>
                <w:szCs w:val="14"/>
                <w:color w:val="auto"/>
              </w:rPr>
              <w:t>2018</w:t>
            </w:r>
          </w:p>
        </w:tc>
        <w:tc>
          <w:tcPr>
            <w:tcW w:w="82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4"/>
                <w:szCs w:val="14"/>
                <w:color w:val="auto"/>
              </w:rPr>
              <w:t>429,418</w:t>
            </w:r>
          </w:p>
        </w:tc>
        <w:tc>
          <w:tcPr>
            <w:tcW w:w="840" w:type="dxa"/>
            <w:vAlign w:val="bottom"/>
            <w:tcBorders>
              <w:bottom w:val="single" w:sz="8" w:color="EDEDED"/>
            </w:tcBorders>
            <w:shd w:val="clear" w:color="auto" w:fill="EDEDED"/>
          </w:tcPr>
          <w:p>
            <w:pPr>
              <w:jc w:val="right"/>
              <w:ind w:right="66"/>
              <w:spacing w:after="0"/>
              <w:rPr>
                <w:sz w:val="20"/>
                <w:szCs w:val="20"/>
                <w:color w:val="auto"/>
              </w:rPr>
            </w:pPr>
            <w:r>
              <w:rPr>
                <w:rFonts w:ascii="Arial" w:cs="Arial" w:eastAsia="Arial" w:hAnsi="Arial"/>
                <w:sz w:val="14"/>
                <w:szCs w:val="14"/>
                <w:color w:val="auto"/>
              </w:rPr>
              <w:t>77,094</w:t>
            </w:r>
          </w:p>
        </w:tc>
        <w:tc>
          <w:tcPr>
            <w:tcW w:w="960" w:type="dxa"/>
            <w:vAlign w:val="bottom"/>
            <w:tcBorders>
              <w:bottom w:val="single" w:sz="8" w:color="EDEDED"/>
            </w:tcBorders>
            <w:shd w:val="clear" w:color="auto" w:fill="EDEDED"/>
          </w:tcPr>
          <w:p>
            <w:pPr>
              <w:jc w:val="right"/>
              <w:ind w:right="46"/>
              <w:spacing w:after="0"/>
              <w:rPr>
                <w:sz w:val="20"/>
                <w:szCs w:val="20"/>
                <w:color w:val="auto"/>
              </w:rPr>
            </w:pPr>
            <w:r>
              <w:rPr>
                <w:rFonts w:ascii="Arial" w:cs="Arial" w:eastAsia="Arial" w:hAnsi="Arial"/>
                <w:sz w:val="14"/>
                <w:szCs w:val="14"/>
                <w:color w:val="auto"/>
              </w:rPr>
              <w:t>1,208,459</w:t>
            </w:r>
          </w:p>
        </w:tc>
        <w:tc>
          <w:tcPr>
            <w:tcW w:w="80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4"/>
                <w:szCs w:val="14"/>
                <w:color w:val="auto"/>
              </w:rPr>
              <w:t>264,880</w:t>
            </w:r>
          </w:p>
        </w:tc>
        <w:tc>
          <w:tcPr>
            <w:tcW w:w="1100" w:type="dxa"/>
            <w:vAlign w:val="bottom"/>
            <w:tcBorders>
              <w:bottom w:val="single" w:sz="8" w:color="EDEDED"/>
            </w:tcBorders>
            <w:shd w:val="clear" w:color="auto" w:fill="EDEDED"/>
          </w:tcPr>
          <w:p>
            <w:pPr>
              <w:jc w:val="right"/>
              <w:ind w:right="26"/>
              <w:spacing w:after="0"/>
              <w:rPr>
                <w:sz w:val="20"/>
                <w:szCs w:val="20"/>
                <w:color w:val="auto"/>
              </w:rPr>
            </w:pPr>
            <w:r>
              <w:rPr>
                <w:rFonts w:ascii="Arial" w:cs="Arial" w:eastAsia="Arial" w:hAnsi="Arial"/>
                <w:sz w:val="14"/>
                <w:szCs w:val="14"/>
                <w:color w:val="auto"/>
              </w:rPr>
              <w:t>187,644</w:t>
            </w:r>
          </w:p>
        </w:tc>
        <w:tc>
          <w:tcPr>
            <w:tcW w:w="1120" w:type="dxa"/>
            <w:vAlign w:val="bottom"/>
            <w:tcBorders>
              <w:bottom w:val="single" w:sz="8" w:color="EDEDED"/>
            </w:tcBorders>
            <w:shd w:val="clear" w:color="auto" w:fill="EDEDED"/>
          </w:tcPr>
          <w:p>
            <w:pPr>
              <w:jc w:val="right"/>
              <w:ind w:right="67"/>
              <w:spacing w:after="0"/>
              <w:rPr>
                <w:sz w:val="20"/>
                <w:szCs w:val="20"/>
                <w:color w:val="auto"/>
              </w:rPr>
            </w:pPr>
            <w:r>
              <w:rPr>
                <w:rFonts w:ascii="Arial" w:cs="Arial" w:eastAsia="Arial" w:hAnsi="Arial"/>
                <w:sz w:val="14"/>
                <w:szCs w:val="14"/>
                <w:color w:val="auto"/>
              </w:rPr>
              <w:t>17,944</w:t>
            </w:r>
          </w:p>
        </w:tc>
        <w:tc>
          <w:tcPr>
            <w:tcW w:w="1180" w:type="dxa"/>
            <w:vAlign w:val="bottom"/>
            <w:tcBorders>
              <w:bottom w:val="single" w:sz="8" w:color="EDEDED"/>
            </w:tcBorders>
            <w:shd w:val="clear" w:color="auto" w:fill="EDEDED"/>
          </w:tcPr>
          <w:p>
            <w:pPr>
              <w:jc w:val="right"/>
              <w:ind w:right="106"/>
              <w:spacing w:after="0"/>
              <w:rPr>
                <w:sz w:val="20"/>
                <w:szCs w:val="20"/>
                <w:color w:val="auto"/>
              </w:rPr>
            </w:pPr>
            <w:r>
              <w:rPr>
                <w:rFonts w:ascii="Arial" w:cs="Arial" w:eastAsia="Arial" w:hAnsi="Arial"/>
                <w:sz w:val="14"/>
                <w:szCs w:val="14"/>
                <w:color w:val="auto"/>
              </w:rPr>
              <w:t>231,738</w:t>
            </w:r>
          </w:p>
        </w:tc>
        <w:tc>
          <w:tcPr>
            <w:tcW w:w="920" w:type="dxa"/>
            <w:vAlign w:val="bottom"/>
            <w:tcBorders>
              <w:bottom w:val="single" w:sz="8" w:color="EDEDED"/>
            </w:tcBorders>
            <w:shd w:val="clear" w:color="auto" w:fill="EDEDED"/>
          </w:tcPr>
          <w:p>
            <w:pPr>
              <w:jc w:val="right"/>
              <w:ind w:right="6"/>
              <w:spacing w:after="0"/>
              <w:rPr>
                <w:sz w:val="20"/>
                <w:szCs w:val="20"/>
                <w:color w:val="auto"/>
              </w:rPr>
            </w:pPr>
            <w:r>
              <w:rPr>
                <w:rFonts w:ascii="Arial" w:cs="Arial" w:eastAsia="Arial" w:hAnsi="Arial"/>
                <w:sz w:val="14"/>
                <w:szCs w:val="14"/>
                <w:color w:val="auto"/>
              </w:rPr>
              <w:t>2,417,177</w:t>
            </w:r>
          </w:p>
        </w:tc>
        <w:tc>
          <w:tcPr>
            <w:tcW w:w="0" w:type="dxa"/>
            <w:vAlign w:val="bottom"/>
          </w:tcPr>
          <w:p>
            <w:pPr>
              <w:spacing w:after="0"/>
              <w:rPr>
                <w:sz w:val="1"/>
                <w:szCs w:val="1"/>
                <w:color w:val="auto"/>
              </w:rPr>
            </w:pPr>
          </w:p>
        </w:tc>
      </w:tr>
      <w:tr>
        <w:trPr>
          <w:trHeight w:val="159"/>
        </w:trPr>
        <w:tc>
          <w:tcPr>
            <w:tcW w:w="2500" w:type="dxa"/>
            <w:vAlign w:val="bottom"/>
          </w:tcPr>
          <w:p>
            <w:pPr>
              <w:ind w:left="60"/>
              <w:spacing w:after="0" w:line="159" w:lineRule="exact"/>
              <w:rPr>
                <w:sz w:val="20"/>
                <w:szCs w:val="20"/>
                <w:color w:val="auto"/>
              </w:rPr>
            </w:pPr>
            <w:r>
              <w:rPr>
                <w:rFonts w:ascii="Arial" w:cs="Arial" w:eastAsia="Arial" w:hAnsi="Arial"/>
                <w:sz w:val="14"/>
                <w:szCs w:val="14"/>
                <w:color w:val="auto"/>
              </w:rPr>
              <w:t>Thierry Mabru</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60"/>
              <w:spacing w:after="0" w:line="162" w:lineRule="exact"/>
              <w:rPr>
                <w:sz w:val="20"/>
                <w:szCs w:val="20"/>
                <w:color w:val="auto"/>
              </w:rPr>
            </w:pPr>
            <w:r>
              <w:rPr>
                <w:rFonts w:ascii="Arial" w:cs="Arial" w:eastAsia="Arial" w:hAnsi="Arial"/>
                <w:sz w:val="15"/>
                <w:szCs w:val="15"/>
                <w:color w:val="auto"/>
              </w:rPr>
              <w:t>Senior Vice President, Integrated</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60"/>
              <w:spacing w:after="0"/>
              <w:rPr>
                <w:sz w:val="20"/>
                <w:szCs w:val="20"/>
                <w:color w:val="auto"/>
              </w:rPr>
            </w:pPr>
            <w:r>
              <w:rPr>
                <w:rFonts w:ascii="Arial" w:cs="Arial" w:eastAsia="Arial" w:hAnsi="Arial"/>
                <w:sz w:val="15"/>
                <w:szCs w:val="15"/>
                <w:color w:val="auto"/>
              </w:rPr>
              <w:t>Supply Chain</w:t>
            </w:r>
          </w:p>
        </w:tc>
        <w:tc>
          <w:tcPr>
            <w:tcW w:w="780" w:type="dxa"/>
            <w:vAlign w:val="bottom"/>
          </w:tcPr>
          <w:p>
            <w:pPr>
              <w:jc w:val="right"/>
              <w:ind w:right="86"/>
              <w:spacing w:after="0"/>
              <w:rPr>
                <w:sz w:val="20"/>
                <w:szCs w:val="20"/>
                <w:color w:val="auto"/>
              </w:rPr>
            </w:pPr>
            <w:r>
              <w:rPr>
                <w:rFonts w:ascii="Arial" w:cs="Arial" w:eastAsia="Arial" w:hAnsi="Arial"/>
                <w:sz w:val="15"/>
                <w:szCs w:val="15"/>
                <w:color w:val="auto"/>
              </w:rPr>
              <w:t>2019</w:t>
            </w:r>
          </w:p>
        </w:tc>
        <w:tc>
          <w:tcPr>
            <w:tcW w:w="820" w:type="dxa"/>
            <w:vAlign w:val="bottom"/>
          </w:tcPr>
          <w:p>
            <w:pPr>
              <w:jc w:val="right"/>
              <w:ind w:right="66"/>
              <w:spacing w:after="0"/>
              <w:rPr>
                <w:sz w:val="20"/>
                <w:szCs w:val="20"/>
                <w:color w:val="auto"/>
              </w:rPr>
            </w:pPr>
            <w:r>
              <w:rPr>
                <w:rFonts w:ascii="Arial" w:cs="Arial" w:eastAsia="Arial" w:hAnsi="Arial"/>
                <w:sz w:val="15"/>
                <w:szCs w:val="15"/>
                <w:color w:val="auto"/>
              </w:rPr>
              <w:t>407,461</w:t>
            </w:r>
          </w:p>
        </w:tc>
        <w:tc>
          <w:tcPr>
            <w:tcW w:w="840" w:type="dxa"/>
            <w:vAlign w:val="bottom"/>
          </w:tcPr>
          <w:p>
            <w:pPr>
              <w:jc w:val="right"/>
              <w:ind w:right="66"/>
              <w:spacing w:after="0"/>
              <w:rPr>
                <w:sz w:val="20"/>
                <w:szCs w:val="20"/>
                <w:color w:val="auto"/>
              </w:rPr>
            </w:pPr>
            <w:r>
              <w:rPr>
                <w:rFonts w:ascii="Arial" w:cs="Arial" w:eastAsia="Arial" w:hAnsi="Arial"/>
                <w:sz w:val="15"/>
                <w:szCs w:val="15"/>
                <w:color w:val="auto"/>
              </w:rPr>
              <w:t>119,604</w:t>
            </w:r>
          </w:p>
        </w:tc>
        <w:tc>
          <w:tcPr>
            <w:tcW w:w="960" w:type="dxa"/>
            <w:vAlign w:val="bottom"/>
          </w:tcPr>
          <w:p>
            <w:pPr>
              <w:jc w:val="right"/>
              <w:ind w:right="46"/>
              <w:spacing w:after="0"/>
              <w:rPr>
                <w:sz w:val="20"/>
                <w:szCs w:val="20"/>
                <w:color w:val="auto"/>
              </w:rPr>
            </w:pPr>
            <w:r>
              <w:rPr>
                <w:rFonts w:ascii="Arial" w:cs="Arial" w:eastAsia="Arial" w:hAnsi="Arial"/>
                <w:sz w:val="15"/>
                <w:szCs w:val="15"/>
                <w:color w:val="auto"/>
              </w:rPr>
              <w:t>672,721</w:t>
            </w:r>
          </w:p>
        </w:tc>
        <w:tc>
          <w:tcPr>
            <w:tcW w:w="800" w:type="dxa"/>
            <w:vAlign w:val="bottom"/>
          </w:tcPr>
          <w:p>
            <w:pPr>
              <w:jc w:val="right"/>
              <w:ind w:right="6"/>
              <w:spacing w:after="0"/>
              <w:rPr>
                <w:sz w:val="20"/>
                <w:szCs w:val="20"/>
                <w:color w:val="auto"/>
              </w:rPr>
            </w:pPr>
            <w:r>
              <w:rPr>
                <w:rFonts w:ascii="Arial" w:cs="Arial" w:eastAsia="Arial" w:hAnsi="Arial"/>
                <w:sz w:val="15"/>
                <w:szCs w:val="15"/>
                <w:color w:val="auto"/>
              </w:rPr>
              <w:t>162,570</w:t>
            </w:r>
          </w:p>
        </w:tc>
        <w:tc>
          <w:tcPr>
            <w:tcW w:w="1100" w:type="dxa"/>
            <w:vAlign w:val="bottom"/>
          </w:tcPr>
          <w:p>
            <w:pPr>
              <w:jc w:val="right"/>
              <w:ind w:right="26"/>
              <w:spacing w:after="0"/>
              <w:rPr>
                <w:sz w:val="20"/>
                <w:szCs w:val="20"/>
                <w:color w:val="auto"/>
              </w:rPr>
            </w:pPr>
            <w:r>
              <w:rPr>
                <w:rFonts w:ascii="Arial" w:cs="Arial" w:eastAsia="Arial" w:hAnsi="Arial"/>
                <w:sz w:val="15"/>
                <w:szCs w:val="15"/>
                <w:color w:val="auto"/>
              </w:rPr>
              <w:t>77,971</w:t>
            </w:r>
          </w:p>
        </w:tc>
        <w:tc>
          <w:tcPr>
            <w:tcW w:w="1120" w:type="dxa"/>
            <w:vAlign w:val="bottom"/>
          </w:tcPr>
          <w:p>
            <w:pPr>
              <w:jc w:val="right"/>
              <w:ind w:right="67"/>
              <w:spacing w:after="0"/>
              <w:rPr>
                <w:sz w:val="20"/>
                <w:szCs w:val="20"/>
                <w:color w:val="auto"/>
              </w:rPr>
            </w:pPr>
            <w:r>
              <w:rPr>
                <w:rFonts w:ascii="Arial" w:cs="Arial" w:eastAsia="Arial" w:hAnsi="Arial"/>
                <w:sz w:val="15"/>
                <w:szCs w:val="15"/>
                <w:color w:val="auto"/>
              </w:rPr>
              <w:t>65,674</w:t>
            </w:r>
          </w:p>
        </w:tc>
        <w:tc>
          <w:tcPr>
            <w:tcW w:w="1180" w:type="dxa"/>
            <w:vAlign w:val="bottom"/>
          </w:tcPr>
          <w:p>
            <w:pPr>
              <w:jc w:val="right"/>
              <w:ind w:right="106"/>
              <w:spacing w:after="0"/>
              <w:rPr>
                <w:sz w:val="20"/>
                <w:szCs w:val="20"/>
                <w:color w:val="auto"/>
              </w:rPr>
            </w:pPr>
            <w:r>
              <w:rPr>
                <w:rFonts w:ascii="Arial" w:cs="Arial" w:eastAsia="Arial" w:hAnsi="Arial"/>
                <w:sz w:val="15"/>
                <w:szCs w:val="15"/>
                <w:color w:val="auto"/>
              </w:rPr>
              <w:t>20,826</w:t>
            </w:r>
          </w:p>
        </w:tc>
        <w:tc>
          <w:tcPr>
            <w:tcW w:w="920" w:type="dxa"/>
            <w:vAlign w:val="bottom"/>
          </w:tcPr>
          <w:p>
            <w:pPr>
              <w:jc w:val="right"/>
              <w:ind w:right="26"/>
              <w:spacing w:after="0"/>
              <w:rPr>
                <w:sz w:val="20"/>
                <w:szCs w:val="20"/>
                <w:color w:val="auto"/>
              </w:rPr>
            </w:pPr>
            <w:r>
              <w:rPr>
                <w:rFonts w:ascii="Arial" w:cs="Arial" w:eastAsia="Arial" w:hAnsi="Arial"/>
                <w:sz w:val="15"/>
                <w:szCs w:val="15"/>
                <w:color w:val="auto"/>
              </w:rPr>
              <w:t>1,526,827</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19"/>
                <w:szCs w:val="19"/>
                <w:color w:val="auto"/>
              </w:rPr>
            </w:pPr>
          </w:p>
        </w:tc>
        <w:tc>
          <w:tcPr>
            <w:tcW w:w="780" w:type="dxa"/>
            <w:vAlign w:val="bottom"/>
          </w:tcPr>
          <w:p>
            <w:pPr>
              <w:jc w:val="right"/>
              <w:ind w:right="86"/>
              <w:spacing w:after="0"/>
              <w:rPr>
                <w:sz w:val="20"/>
                <w:szCs w:val="20"/>
                <w:color w:val="auto"/>
              </w:rPr>
            </w:pPr>
            <w:r>
              <w:rPr>
                <w:rFonts w:ascii="Arial" w:cs="Arial" w:eastAsia="Arial" w:hAnsi="Arial"/>
                <w:sz w:val="14"/>
                <w:szCs w:val="14"/>
                <w:color w:val="auto"/>
              </w:rPr>
              <w:t>2018</w:t>
            </w:r>
          </w:p>
        </w:tc>
        <w:tc>
          <w:tcPr>
            <w:tcW w:w="820" w:type="dxa"/>
            <w:vAlign w:val="bottom"/>
          </w:tcPr>
          <w:p>
            <w:pPr>
              <w:jc w:val="right"/>
              <w:ind w:right="66"/>
              <w:spacing w:after="0"/>
              <w:rPr>
                <w:sz w:val="20"/>
                <w:szCs w:val="20"/>
                <w:color w:val="auto"/>
              </w:rPr>
            </w:pPr>
            <w:r>
              <w:rPr>
                <w:rFonts w:ascii="Arial" w:cs="Arial" w:eastAsia="Arial" w:hAnsi="Arial"/>
                <w:sz w:val="14"/>
                <w:szCs w:val="14"/>
                <w:color w:val="auto"/>
              </w:rPr>
              <w:t>379,693</w:t>
            </w:r>
          </w:p>
        </w:tc>
        <w:tc>
          <w:tcPr>
            <w:tcW w:w="840" w:type="dxa"/>
            <w:vAlign w:val="bottom"/>
          </w:tcPr>
          <w:p>
            <w:pPr>
              <w:jc w:val="right"/>
              <w:ind w:right="66"/>
              <w:spacing w:after="0"/>
              <w:rPr>
                <w:sz w:val="20"/>
                <w:szCs w:val="20"/>
                <w:color w:val="auto"/>
              </w:rPr>
            </w:pPr>
            <w:r>
              <w:rPr>
                <w:rFonts w:ascii="Arial" w:cs="Arial" w:eastAsia="Arial" w:hAnsi="Arial"/>
                <w:sz w:val="14"/>
                <w:szCs w:val="14"/>
                <w:color w:val="auto"/>
              </w:rPr>
              <w:t>222,685</w:t>
            </w:r>
          </w:p>
        </w:tc>
        <w:tc>
          <w:tcPr>
            <w:tcW w:w="960" w:type="dxa"/>
            <w:vAlign w:val="bottom"/>
          </w:tcPr>
          <w:p>
            <w:pPr>
              <w:jc w:val="right"/>
              <w:ind w:right="46"/>
              <w:spacing w:after="0"/>
              <w:rPr>
                <w:sz w:val="20"/>
                <w:szCs w:val="20"/>
                <w:color w:val="auto"/>
              </w:rPr>
            </w:pPr>
            <w:r>
              <w:rPr>
                <w:rFonts w:ascii="Arial" w:cs="Arial" w:eastAsia="Arial" w:hAnsi="Arial"/>
                <w:sz w:val="14"/>
                <w:szCs w:val="14"/>
                <w:color w:val="auto"/>
              </w:rPr>
              <w:t>962,142</w:t>
            </w:r>
          </w:p>
        </w:tc>
        <w:tc>
          <w:tcPr>
            <w:tcW w:w="800" w:type="dxa"/>
            <w:vAlign w:val="bottom"/>
          </w:tcPr>
          <w:p>
            <w:pPr>
              <w:jc w:val="right"/>
              <w:ind w:right="6"/>
              <w:spacing w:after="0"/>
              <w:rPr>
                <w:sz w:val="20"/>
                <w:szCs w:val="20"/>
                <w:color w:val="auto"/>
              </w:rPr>
            </w:pPr>
            <w:r>
              <w:rPr>
                <w:rFonts w:ascii="Arial" w:cs="Arial" w:eastAsia="Arial" w:hAnsi="Arial"/>
                <w:sz w:val="14"/>
                <w:szCs w:val="14"/>
                <w:color w:val="auto"/>
              </w:rPr>
              <w:t>205,755</w:t>
            </w:r>
          </w:p>
        </w:tc>
        <w:tc>
          <w:tcPr>
            <w:tcW w:w="1100" w:type="dxa"/>
            <w:vAlign w:val="bottom"/>
          </w:tcPr>
          <w:p>
            <w:pPr>
              <w:jc w:val="right"/>
              <w:ind w:right="26"/>
              <w:spacing w:after="0"/>
              <w:rPr>
                <w:sz w:val="20"/>
                <w:szCs w:val="20"/>
                <w:color w:val="auto"/>
              </w:rPr>
            </w:pPr>
            <w:r>
              <w:rPr>
                <w:rFonts w:ascii="Arial" w:cs="Arial" w:eastAsia="Arial" w:hAnsi="Arial"/>
                <w:sz w:val="14"/>
                <w:szCs w:val="14"/>
                <w:color w:val="auto"/>
              </w:rPr>
              <w:t>148,990</w:t>
            </w:r>
          </w:p>
        </w:tc>
        <w:tc>
          <w:tcPr>
            <w:tcW w:w="1120" w:type="dxa"/>
            <w:vAlign w:val="bottom"/>
          </w:tcPr>
          <w:p>
            <w:pPr>
              <w:jc w:val="right"/>
              <w:ind w:right="67"/>
              <w:spacing w:after="0"/>
              <w:rPr>
                <w:sz w:val="20"/>
                <w:szCs w:val="20"/>
                <w:color w:val="auto"/>
              </w:rPr>
            </w:pPr>
            <w:r>
              <w:rPr>
                <w:rFonts w:ascii="Arial" w:cs="Arial" w:eastAsia="Arial" w:hAnsi="Arial"/>
                <w:sz w:val="14"/>
                <w:szCs w:val="14"/>
                <w:color w:val="auto"/>
              </w:rPr>
              <w:t>65,034</w:t>
            </w:r>
          </w:p>
        </w:tc>
        <w:tc>
          <w:tcPr>
            <w:tcW w:w="1180" w:type="dxa"/>
            <w:vAlign w:val="bottom"/>
          </w:tcPr>
          <w:p>
            <w:pPr>
              <w:jc w:val="right"/>
              <w:ind w:right="106"/>
              <w:spacing w:after="0"/>
              <w:rPr>
                <w:sz w:val="20"/>
                <w:szCs w:val="20"/>
                <w:color w:val="auto"/>
              </w:rPr>
            </w:pPr>
            <w:r>
              <w:rPr>
                <w:rFonts w:ascii="Arial" w:cs="Arial" w:eastAsia="Arial" w:hAnsi="Arial"/>
                <w:sz w:val="14"/>
                <w:szCs w:val="14"/>
                <w:color w:val="auto"/>
              </w:rPr>
              <w:t>21,775</w:t>
            </w:r>
          </w:p>
        </w:tc>
        <w:tc>
          <w:tcPr>
            <w:tcW w:w="920" w:type="dxa"/>
            <w:vAlign w:val="bottom"/>
          </w:tcPr>
          <w:p>
            <w:pPr>
              <w:jc w:val="right"/>
              <w:ind w:right="6"/>
              <w:spacing w:after="0"/>
              <w:rPr>
                <w:sz w:val="20"/>
                <w:szCs w:val="20"/>
                <w:color w:val="auto"/>
              </w:rPr>
            </w:pPr>
            <w:r>
              <w:rPr>
                <w:rFonts w:ascii="Arial" w:cs="Arial" w:eastAsia="Arial" w:hAnsi="Arial"/>
                <w:sz w:val="14"/>
                <w:szCs w:val="14"/>
                <w:color w:val="auto"/>
              </w:rPr>
              <w:t>2,006,074</w:t>
            </w:r>
          </w:p>
        </w:tc>
        <w:tc>
          <w:tcPr>
            <w:tcW w:w="0" w:type="dxa"/>
            <w:vAlign w:val="bottom"/>
          </w:tcPr>
          <w:p>
            <w:pPr>
              <w:spacing w:after="0"/>
              <w:rPr>
                <w:sz w:val="1"/>
                <w:szCs w:val="1"/>
                <w:color w:val="auto"/>
              </w:rPr>
            </w:pPr>
          </w:p>
        </w:tc>
      </w:tr>
      <w:tr>
        <w:trPr>
          <w:trHeight w:val="60"/>
        </w:trPr>
        <w:tc>
          <w:tcPr>
            <w:tcW w:w="2500" w:type="dxa"/>
            <w:vAlign w:val="bottom"/>
            <w:tcBorders>
              <w:bottom w:val="single" w:sz="8" w:color="E52823"/>
            </w:tcBorders>
          </w:tcPr>
          <w:p>
            <w:pPr>
              <w:spacing w:after="0"/>
              <w:rPr>
                <w:sz w:val="5"/>
                <w:szCs w:val="5"/>
                <w:color w:val="auto"/>
              </w:rPr>
            </w:pPr>
          </w:p>
        </w:tc>
        <w:tc>
          <w:tcPr>
            <w:tcW w:w="780" w:type="dxa"/>
            <w:vAlign w:val="bottom"/>
            <w:tcBorders>
              <w:bottom w:val="single" w:sz="8" w:color="E52823"/>
            </w:tcBorders>
          </w:tcPr>
          <w:p>
            <w:pPr>
              <w:spacing w:after="0"/>
              <w:rPr>
                <w:sz w:val="5"/>
                <w:szCs w:val="5"/>
                <w:color w:val="auto"/>
              </w:rPr>
            </w:pPr>
          </w:p>
        </w:tc>
        <w:tc>
          <w:tcPr>
            <w:tcW w:w="820" w:type="dxa"/>
            <w:vAlign w:val="bottom"/>
            <w:tcBorders>
              <w:bottom w:val="single" w:sz="8" w:color="E52823"/>
            </w:tcBorders>
          </w:tcPr>
          <w:p>
            <w:pPr>
              <w:spacing w:after="0"/>
              <w:rPr>
                <w:sz w:val="5"/>
                <w:szCs w:val="5"/>
                <w:color w:val="auto"/>
              </w:rPr>
            </w:pPr>
          </w:p>
        </w:tc>
        <w:tc>
          <w:tcPr>
            <w:tcW w:w="840" w:type="dxa"/>
            <w:vAlign w:val="bottom"/>
            <w:tcBorders>
              <w:bottom w:val="single" w:sz="8" w:color="E52823"/>
            </w:tcBorders>
          </w:tcPr>
          <w:p>
            <w:pPr>
              <w:spacing w:after="0"/>
              <w:rPr>
                <w:sz w:val="5"/>
                <w:szCs w:val="5"/>
                <w:color w:val="auto"/>
              </w:rPr>
            </w:pPr>
          </w:p>
        </w:tc>
        <w:tc>
          <w:tcPr>
            <w:tcW w:w="960" w:type="dxa"/>
            <w:vAlign w:val="bottom"/>
            <w:tcBorders>
              <w:bottom w:val="single" w:sz="8" w:color="E52823"/>
            </w:tcBorders>
          </w:tcPr>
          <w:p>
            <w:pPr>
              <w:spacing w:after="0"/>
              <w:rPr>
                <w:sz w:val="5"/>
                <w:szCs w:val="5"/>
                <w:color w:val="auto"/>
              </w:rPr>
            </w:pPr>
          </w:p>
        </w:tc>
        <w:tc>
          <w:tcPr>
            <w:tcW w:w="800" w:type="dxa"/>
            <w:vAlign w:val="bottom"/>
            <w:tcBorders>
              <w:bottom w:val="single" w:sz="8" w:color="E52823"/>
            </w:tcBorders>
          </w:tcPr>
          <w:p>
            <w:pPr>
              <w:spacing w:after="0"/>
              <w:rPr>
                <w:sz w:val="5"/>
                <w:szCs w:val="5"/>
                <w:color w:val="auto"/>
              </w:rPr>
            </w:pPr>
          </w:p>
        </w:tc>
        <w:tc>
          <w:tcPr>
            <w:tcW w:w="1100" w:type="dxa"/>
            <w:vAlign w:val="bottom"/>
            <w:tcBorders>
              <w:bottom w:val="single" w:sz="8" w:color="E52823"/>
            </w:tcBorders>
          </w:tcPr>
          <w:p>
            <w:pPr>
              <w:spacing w:after="0"/>
              <w:rPr>
                <w:sz w:val="5"/>
                <w:szCs w:val="5"/>
                <w:color w:val="auto"/>
              </w:rPr>
            </w:pPr>
          </w:p>
        </w:tc>
        <w:tc>
          <w:tcPr>
            <w:tcW w:w="1120" w:type="dxa"/>
            <w:vAlign w:val="bottom"/>
            <w:tcBorders>
              <w:bottom w:val="single" w:sz="8" w:color="E52823"/>
            </w:tcBorders>
          </w:tcPr>
          <w:p>
            <w:pPr>
              <w:spacing w:after="0"/>
              <w:rPr>
                <w:sz w:val="5"/>
                <w:szCs w:val="5"/>
                <w:color w:val="auto"/>
              </w:rPr>
            </w:pPr>
          </w:p>
        </w:tc>
        <w:tc>
          <w:tcPr>
            <w:tcW w:w="1180" w:type="dxa"/>
            <w:vAlign w:val="bottom"/>
            <w:tcBorders>
              <w:bottom w:val="single" w:sz="8" w:color="E52823"/>
            </w:tcBorders>
          </w:tcPr>
          <w:p>
            <w:pPr>
              <w:spacing w:after="0"/>
              <w:rPr>
                <w:sz w:val="5"/>
                <w:szCs w:val="5"/>
                <w:color w:val="auto"/>
              </w:rPr>
            </w:pPr>
          </w:p>
        </w:tc>
        <w:tc>
          <w:tcPr>
            <w:tcW w:w="920" w:type="dxa"/>
            <w:vAlign w:val="bottom"/>
            <w:tcBorders>
              <w:bottom w:val="single" w:sz="8" w:color="E5282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40" w:right="80" w:hanging="324"/>
        <w:spacing w:after="0" w:line="230" w:lineRule="auto"/>
        <w:tabs>
          <w:tab w:leader="none" w:pos="4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 salary and other compensation values in this Summary Compensation Table originally denoted in local currency (CHF) have been converted to USD using the average exchange rate for the year-ended December 31, 2019 under GAAP of 1 USD to 0.99396 CHF.</w:t>
      </w:r>
    </w:p>
    <w:p>
      <w:pPr>
        <w:spacing w:after="0" w:line="64" w:lineRule="exact"/>
        <w:rPr>
          <w:rFonts w:ascii="Arial" w:cs="Arial" w:eastAsia="Arial" w:hAnsi="Arial"/>
          <w:sz w:val="13"/>
          <w:szCs w:val="13"/>
          <w:color w:val="auto"/>
        </w:rPr>
      </w:pPr>
    </w:p>
    <w:p>
      <w:pPr>
        <w:ind w:left="440" w:hanging="324"/>
        <w:spacing w:after="0"/>
        <w:tabs>
          <w:tab w:leader="none" w:pos="4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for 2019 represent the second installment paid under the Honeywell Transportation Systems Retention Program.</w:t>
      </w:r>
    </w:p>
    <w:p>
      <w:pPr>
        <w:spacing w:after="0" w:line="66" w:lineRule="exact"/>
        <w:rPr>
          <w:rFonts w:ascii="Arial" w:cs="Arial" w:eastAsia="Arial" w:hAnsi="Arial"/>
          <w:sz w:val="13"/>
          <w:szCs w:val="13"/>
          <w:color w:val="auto"/>
        </w:rPr>
      </w:pPr>
    </w:p>
    <w:p>
      <w:pPr>
        <w:ind w:left="440" w:right="100" w:hanging="324"/>
        <w:spacing w:after="0" w:line="220" w:lineRule="auto"/>
        <w:tabs>
          <w:tab w:leader="none" w:pos="4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for 2019 represent the grant date fair value of Company RSU awards, and for Messrs. Rabiller, Gili, Balis, Maironi and Mabru, PSU awards granted in 2019. The grant date fair value of these awards was calculated in accordance with ASC 718, Compensation – Stock Compensation (“ASC 718”) which, for Company PSU awards, is based on the probable outcome of the performance conditions; the tables below provide the grant date fair value of each award. For a discussion of valuation assumptions, see Note 21 to the consolidated and combined financial statements in our Annual Report on Form 10-K for the year ended December 31, 2019 filed with the SEC on February 27, 2020. The value for each Company PSU award, granted under the Replacement Plan, as of the grant date, assuming the maximum level of performance, is $920,008, $543,829, $500,009, $470,030 and $370,002 for Messrs. Rabiller, Gili, Balis, Maironi and Mabru, respectively. The value for each Company PSU award, granted under the LTI Plan, as of the grant date, assuming the maximum level of performance, is $3,161,073, $1,001,020, $802,841, $853,517 and $650,293 for Messrs. Rabiller, Gili, Balis, Maironi and Mabru,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41</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right="160" w:hanging="324"/>
        <w:spacing w:after="0" w:line="230" w:lineRule="auto"/>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 for 2019 represents the grant date fair value of stock options calculated in accordance with ASC 718. For a discussion of valuation assumptions, see Note 21 to the consolidated and combined financial statements in our Annual Report on Form 10-K for the year ended December 31, 2019 filed with the SEC on February 27, 2020.</w:t>
      </w:r>
    </w:p>
    <w:p>
      <w:pPr>
        <w:spacing w:after="0" w:line="64" w:lineRule="exact"/>
        <w:rPr>
          <w:rFonts w:ascii="Arial" w:cs="Arial" w:eastAsia="Arial" w:hAnsi="Arial"/>
          <w:sz w:val="13"/>
          <w:szCs w:val="13"/>
          <w:color w:val="auto"/>
        </w:rPr>
      </w:pPr>
    </w:p>
    <w:p>
      <w:pPr>
        <w:jc w:val="both"/>
        <w:ind w:left="440" w:right="20" w:hanging="324"/>
        <w:spacing w:after="0" w:line="225" w:lineRule="auto"/>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represent the payouts earned under our ICP in 2019. For 2019, the awards under the ICP were based on the Named Executive Officer’s target incentive, and annual base salary as of September 1, 2019. Mr. Bracke’s ICP award has been pro-rated accordingly based on his target percentage for the portion of the year prior to and after his appointment as CFO. See “Elements of Executive Compensation—Short-Term Incentive Compensation Plan (“ICP”) Awards” for a detailed discussion of the 2019 ICP.</w:t>
      </w:r>
    </w:p>
    <w:p>
      <w:pPr>
        <w:spacing w:after="0" w:line="65" w:lineRule="exact"/>
        <w:rPr>
          <w:rFonts w:ascii="Arial" w:cs="Arial" w:eastAsia="Arial" w:hAnsi="Arial"/>
          <w:sz w:val="13"/>
          <w:szCs w:val="13"/>
          <w:color w:val="auto"/>
        </w:rPr>
      </w:pPr>
    </w:p>
    <w:p>
      <w:pPr>
        <w:ind w:left="440" w:right="120" w:hanging="324"/>
        <w:spacing w:after="0" w:line="225" w:lineRule="auto"/>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change in pension value includes the increase in vested benefits in 2019 under our Swiss pension scheme attributable to employer contributions and allocated interest. See “Nonqualified Deferred Compensation—Fiscal Year 2019” for a detailed discussion of the Garrett Supplemental Savings Plan and “Pension Benefits—Fiscal Year 2019” for a detailed discussion of the Garrett Swiss Plan.</w:t>
      </w:r>
    </w:p>
    <w:p>
      <w:pPr>
        <w:spacing w:after="0" w:line="65" w:lineRule="exact"/>
        <w:rPr>
          <w:rFonts w:ascii="Arial" w:cs="Arial" w:eastAsia="Arial" w:hAnsi="Arial"/>
          <w:sz w:val="13"/>
          <w:szCs w:val="13"/>
          <w:color w:val="auto"/>
        </w:rPr>
      </w:pPr>
    </w:p>
    <w:p>
      <w:pPr>
        <w:ind w:left="440" w:hanging="324"/>
        <w:spacing w:after="0"/>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For 2019, “All Other Compensation” consists of the following:</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Olivier</w:t>
            </w:r>
          </w:p>
        </w:tc>
        <w:tc>
          <w:tcPr>
            <w:tcW w:w="840" w:type="dxa"/>
            <w:vAlign w:val="bottom"/>
          </w:tcPr>
          <w:p>
            <w:pPr>
              <w:jc w:val="right"/>
              <w:spacing w:after="0"/>
              <w:rPr>
                <w:sz w:val="20"/>
                <w:szCs w:val="20"/>
                <w:color w:val="auto"/>
              </w:rPr>
            </w:pPr>
            <w:r>
              <w:rPr>
                <w:rFonts w:ascii="Arial" w:cs="Arial" w:eastAsia="Arial" w:hAnsi="Arial"/>
                <w:sz w:val="14"/>
                <w:szCs w:val="14"/>
                <w:color w:val="auto"/>
              </w:rPr>
              <w:t>Alessandro</w:t>
            </w: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Peter</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Craig</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Jérôme</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Thierry</w:t>
            </w:r>
          </w:p>
        </w:tc>
      </w:tr>
      <w:tr>
        <w:trPr>
          <w:trHeight w:val="178"/>
        </w:trPr>
        <w:tc>
          <w:tcPr>
            <w:tcW w:w="6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Item</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Rabiller</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Gili</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Bracke</w:t>
            </w: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Balis</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Maironi</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Mabru</w:t>
            </w:r>
          </w:p>
        </w:tc>
      </w:tr>
      <w:tr>
        <w:trPr>
          <w:trHeight w:val="162"/>
        </w:trPr>
        <w:tc>
          <w:tcPr>
            <w:tcW w:w="6700" w:type="dxa"/>
            <w:vAlign w:val="bottom"/>
            <w:shd w:val="clear" w:color="auto" w:fill="EDEDED"/>
          </w:tcPr>
          <w:p>
            <w:pPr>
              <w:ind w:left="60"/>
              <w:spacing w:after="0"/>
              <w:rPr>
                <w:sz w:val="20"/>
                <w:szCs w:val="20"/>
                <w:color w:val="auto"/>
              </w:rPr>
            </w:pPr>
            <w:r>
              <w:rPr>
                <w:rFonts w:ascii="Arial" w:cs="Arial" w:eastAsia="Arial" w:hAnsi="Arial"/>
                <w:sz w:val="14"/>
                <w:szCs w:val="14"/>
                <w:color w:val="auto"/>
              </w:rPr>
              <w:t>Car Allowance or Car Lease ($)</w:t>
            </w:r>
          </w:p>
        </w:tc>
        <w:tc>
          <w:tcPr>
            <w:tcW w:w="7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20,826</w:t>
            </w:r>
          </w:p>
        </w:tc>
        <w:tc>
          <w:tcPr>
            <w:tcW w:w="84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20,826</w:t>
            </w:r>
          </w:p>
        </w:tc>
        <w:tc>
          <w:tcPr>
            <w:tcW w:w="66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21,505</w:t>
            </w:r>
          </w:p>
        </w:tc>
        <w:tc>
          <w:tcPr>
            <w:tcW w:w="72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20,826</w:t>
            </w:r>
          </w:p>
        </w:tc>
        <w:tc>
          <w:tcPr>
            <w:tcW w:w="72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20,826</w:t>
            </w:r>
          </w:p>
        </w:tc>
        <w:tc>
          <w:tcPr>
            <w:tcW w:w="6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20,826</w:t>
            </w:r>
          </w:p>
        </w:tc>
      </w:tr>
      <w:tr>
        <w:trPr>
          <w:trHeight w:val="162"/>
        </w:trPr>
        <w:tc>
          <w:tcPr>
            <w:tcW w:w="6700" w:type="dxa"/>
            <w:vAlign w:val="bottom"/>
          </w:tcPr>
          <w:p>
            <w:pPr>
              <w:ind w:left="60"/>
              <w:spacing w:after="0"/>
              <w:rPr>
                <w:sz w:val="20"/>
                <w:szCs w:val="20"/>
                <w:color w:val="auto"/>
              </w:rPr>
            </w:pPr>
            <w:r>
              <w:rPr>
                <w:rFonts w:ascii="Arial" w:cs="Arial" w:eastAsia="Arial" w:hAnsi="Arial"/>
                <w:sz w:val="14"/>
                <w:szCs w:val="14"/>
                <w:color w:val="auto"/>
              </w:rPr>
              <w:t>Family-Related Allowances ($)</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106,961</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6700" w:type="dxa"/>
            <w:vAlign w:val="bottom"/>
            <w:shd w:val="clear" w:color="auto" w:fill="EDEDED"/>
          </w:tcPr>
          <w:p>
            <w:pPr>
              <w:ind w:left="60"/>
              <w:spacing w:after="0"/>
              <w:rPr>
                <w:sz w:val="20"/>
                <w:szCs w:val="20"/>
                <w:color w:val="auto"/>
              </w:rPr>
            </w:pPr>
            <w:r>
              <w:rPr>
                <w:rFonts w:ascii="Arial" w:cs="Arial" w:eastAsia="Arial" w:hAnsi="Arial"/>
                <w:sz w:val="14"/>
                <w:szCs w:val="14"/>
                <w:color w:val="auto"/>
              </w:rPr>
              <w:t>Relocation Assistance ($)</w:t>
            </w:r>
          </w:p>
        </w:tc>
        <w:tc>
          <w:tcPr>
            <w:tcW w:w="700" w:type="dxa"/>
            <w:vAlign w:val="bottom"/>
            <w:shd w:val="clear" w:color="auto" w:fill="EDEDED"/>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DEDED"/>
          </w:tcPr>
          <w:p>
            <w:pPr>
              <w:jc w:val="right"/>
              <w:ind w:right="8"/>
              <w:spacing w:after="0"/>
              <w:rPr>
                <w:sz w:val="20"/>
                <w:szCs w:val="20"/>
                <w:color w:val="auto"/>
              </w:rPr>
            </w:pPr>
            <w:r>
              <w:rPr>
                <w:rFonts w:ascii="Arial" w:cs="Arial" w:eastAsia="Arial" w:hAnsi="Arial"/>
                <w:sz w:val="14"/>
                <w:szCs w:val="14"/>
                <w:color w:val="auto"/>
              </w:rPr>
              <w:t>185,541</w:t>
            </w:r>
          </w:p>
        </w:tc>
        <w:tc>
          <w:tcPr>
            <w:tcW w:w="680" w:type="dxa"/>
            <w:vAlign w:val="bottom"/>
            <w:shd w:val="clear" w:color="auto" w:fill="EDEDED"/>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6700" w:type="dxa"/>
            <w:vAlign w:val="bottom"/>
          </w:tcPr>
          <w:p>
            <w:pPr>
              <w:ind w:left="60"/>
              <w:spacing w:after="0"/>
              <w:rPr>
                <w:sz w:val="20"/>
                <w:szCs w:val="20"/>
                <w:color w:val="auto"/>
              </w:rPr>
            </w:pPr>
            <w:r>
              <w:rPr>
                <w:rFonts w:ascii="Arial" w:cs="Arial" w:eastAsia="Arial" w:hAnsi="Arial"/>
                <w:sz w:val="14"/>
                <w:szCs w:val="14"/>
                <w:color w:val="auto"/>
              </w:rPr>
              <w:t>Tax Planning ($)</w:t>
            </w:r>
          </w:p>
        </w:tc>
        <w:tc>
          <w:tcPr>
            <w:tcW w:w="700" w:type="dxa"/>
            <w:vAlign w:val="bottom"/>
          </w:tcPr>
          <w:p>
            <w:pPr>
              <w:jc w:val="right"/>
              <w:spacing w:after="0"/>
              <w:rPr>
                <w:sz w:val="20"/>
                <w:szCs w:val="20"/>
                <w:color w:val="auto"/>
              </w:rPr>
            </w:pPr>
            <w:r>
              <w:rPr>
                <w:rFonts w:ascii="Arial" w:cs="Arial" w:eastAsia="Arial" w:hAnsi="Arial"/>
                <w:sz w:val="14"/>
                <w:szCs w:val="14"/>
                <w:color w:val="auto"/>
              </w:rPr>
              <w:t>8,395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17,260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11,976</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4,556</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00" w:type="dxa"/>
            <w:vAlign w:val="bottom"/>
            <w:tcBorders>
              <w:bottom w:val="single" w:sz="8" w:color="E52823"/>
            </w:tcBorders>
            <w:shd w:val="clear" w:color="auto" w:fill="EDEDED"/>
          </w:tcPr>
          <w:p>
            <w:pPr>
              <w:ind w:left="60"/>
              <w:spacing w:after="0"/>
              <w:rPr>
                <w:sz w:val="20"/>
                <w:szCs w:val="20"/>
                <w:color w:val="auto"/>
              </w:rPr>
            </w:pPr>
            <w:r>
              <w:rPr>
                <w:rFonts w:ascii="Arial" w:cs="Arial" w:eastAsia="Arial" w:hAnsi="Arial"/>
                <w:sz w:val="14"/>
                <w:szCs w:val="14"/>
                <w:color w:val="auto"/>
              </w:rPr>
              <w:t>Total ($)</w:t>
            </w:r>
          </w:p>
        </w:tc>
        <w:tc>
          <w:tcPr>
            <w:tcW w:w="700" w:type="dxa"/>
            <w:vAlign w:val="bottom"/>
            <w:tcBorders>
              <w:bottom w:val="single" w:sz="8" w:color="E52823"/>
            </w:tcBorders>
            <w:shd w:val="clear" w:color="auto" w:fill="EDEDED"/>
          </w:tcPr>
          <w:p>
            <w:pPr>
              <w:jc w:val="right"/>
              <w:spacing w:after="0"/>
              <w:rPr>
                <w:sz w:val="20"/>
                <w:szCs w:val="20"/>
                <w:color w:val="auto"/>
              </w:rPr>
            </w:pPr>
            <w:r>
              <w:rPr>
                <w:rFonts w:ascii="Arial" w:cs="Arial" w:eastAsia="Arial" w:hAnsi="Arial"/>
                <w:sz w:val="14"/>
                <w:szCs w:val="14"/>
                <w:color w:val="auto"/>
              </w:rPr>
              <w:t>29,221</w:t>
            </w:r>
          </w:p>
        </w:tc>
        <w:tc>
          <w:tcPr>
            <w:tcW w:w="840" w:type="dxa"/>
            <w:vAlign w:val="bottom"/>
            <w:tcBorders>
              <w:bottom w:val="single" w:sz="8" w:color="E52823"/>
            </w:tcBorders>
            <w:shd w:val="clear" w:color="auto" w:fill="EDEDED"/>
          </w:tcPr>
          <w:p>
            <w:pPr>
              <w:jc w:val="right"/>
              <w:ind w:right="8"/>
              <w:spacing w:after="0"/>
              <w:rPr>
                <w:sz w:val="20"/>
                <w:szCs w:val="20"/>
                <w:color w:val="auto"/>
              </w:rPr>
            </w:pPr>
            <w:r>
              <w:rPr>
                <w:rFonts w:ascii="Arial" w:cs="Arial" w:eastAsia="Arial" w:hAnsi="Arial"/>
                <w:sz w:val="14"/>
                <w:szCs w:val="14"/>
                <w:color w:val="auto"/>
              </w:rPr>
              <w:t>38,086</w:t>
            </w:r>
          </w:p>
        </w:tc>
        <w:tc>
          <w:tcPr>
            <w:tcW w:w="660" w:type="dxa"/>
            <w:vAlign w:val="bottom"/>
            <w:tcBorders>
              <w:bottom w:val="single" w:sz="8" w:color="E52823"/>
            </w:tcBorders>
            <w:shd w:val="clear" w:color="auto" w:fill="EDEDED"/>
          </w:tcPr>
          <w:p>
            <w:pPr>
              <w:jc w:val="right"/>
              <w:ind w:right="8"/>
              <w:spacing w:after="0"/>
              <w:rPr>
                <w:sz w:val="20"/>
                <w:szCs w:val="20"/>
                <w:color w:val="auto"/>
              </w:rPr>
            </w:pPr>
            <w:r>
              <w:rPr>
                <w:rFonts w:ascii="Arial" w:cs="Arial" w:eastAsia="Arial" w:hAnsi="Arial"/>
                <w:sz w:val="14"/>
                <w:szCs w:val="14"/>
                <w:color w:val="auto"/>
              </w:rPr>
              <w:t>21,505</w:t>
            </w:r>
          </w:p>
        </w:tc>
        <w:tc>
          <w:tcPr>
            <w:tcW w:w="720" w:type="dxa"/>
            <w:vAlign w:val="bottom"/>
            <w:tcBorders>
              <w:bottom w:val="single" w:sz="8" w:color="E52823"/>
            </w:tcBorders>
            <w:shd w:val="clear" w:color="auto" w:fill="EDEDED"/>
          </w:tcPr>
          <w:p>
            <w:pPr>
              <w:jc w:val="right"/>
              <w:ind w:right="28"/>
              <w:spacing w:after="0"/>
              <w:rPr>
                <w:sz w:val="20"/>
                <w:szCs w:val="20"/>
                <w:color w:val="auto"/>
              </w:rPr>
            </w:pPr>
            <w:r>
              <w:rPr>
                <w:rFonts w:ascii="Arial" w:cs="Arial" w:eastAsia="Arial" w:hAnsi="Arial"/>
                <w:sz w:val="14"/>
                <w:szCs w:val="14"/>
                <w:color w:val="auto"/>
              </w:rPr>
              <w:t>139,763</w:t>
            </w:r>
          </w:p>
        </w:tc>
        <w:tc>
          <w:tcPr>
            <w:tcW w:w="720" w:type="dxa"/>
            <w:vAlign w:val="bottom"/>
            <w:tcBorders>
              <w:bottom w:val="single" w:sz="8" w:color="E52823"/>
            </w:tcBorders>
            <w:shd w:val="clear" w:color="auto" w:fill="EDEDED"/>
          </w:tcPr>
          <w:p>
            <w:pPr>
              <w:jc w:val="right"/>
              <w:ind w:right="8"/>
              <w:spacing w:after="0"/>
              <w:rPr>
                <w:sz w:val="20"/>
                <w:szCs w:val="20"/>
                <w:color w:val="auto"/>
              </w:rPr>
            </w:pPr>
            <w:r>
              <w:rPr>
                <w:rFonts w:ascii="Arial" w:cs="Arial" w:eastAsia="Arial" w:hAnsi="Arial"/>
                <w:sz w:val="14"/>
                <w:szCs w:val="14"/>
                <w:color w:val="auto"/>
              </w:rPr>
              <w:t>210,923</w:t>
            </w:r>
          </w:p>
        </w:tc>
        <w:tc>
          <w:tcPr>
            <w:tcW w:w="680" w:type="dxa"/>
            <w:vAlign w:val="bottom"/>
            <w:tcBorders>
              <w:bottom w:val="single" w:sz="8" w:color="E52823"/>
            </w:tcBorders>
            <w:shd w:val="clear" w:color="auto" w:fill="EDEDED"/>
          </w:tcPr>
          <w:p>
            <w:pPr>
              <w:jc w:val="right"/>
              <w:ind w:right="28"/>
              <w:spacing w:after="0"/>
              <w:rPr>
                <w:sz w:val="20"/>
                <w:szCs w:val="20"/>
                <w:color w:val="auto"/>
              </w:rPr>
            </w:pPr>
            <w:r>
              <w:rPr>
                <w:rFonts w:ascii="Arial" w:cs="Arial" w:eastAsia="Arial" w:hAnsi="Arial"/>
                <w:sz w:val="14"/>
                <w:szCs w:val="14"/>
                <w:color w:val="auto"/>
              </w:rPr>
              <w:t>20,826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6995160" cy="6261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42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GRANTS OF PLAN-BASED AWARDS—FISCAL YEAR 2019</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all plan-based awards which the Company granted to the Named Executive Officers during 2019.</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All</w:t>
            </w: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color w:val="auto"/>
                <w:w w:val="93"/>
              </w:rPr>
              <w:t>Other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20" w:type="dxa"/>
            <w:vAlign w:val="bottom"/>
            <w:gridSpan w:val="2"/>
            <w:vMerge w:val="restart"/>
          </w:tcPr>
          <w:p>
            <w:pPr>
              <w:jc w:val="center"/>
              <w:ind w:right="542"/>
              <w:spacing w:after="0"/>
              <w:rPr>
                <w:sz w:val="20"/>
                <w:szCs w:val="20"/>
                <w:color w:val="auto"/>
              </w:rPr>
            </w:pPr>
            <w:r>
              <w:rPr>
                <w:rFonts w:ascii="Arial" w:cs="Arial" w:eastAsia="Arial" w:hAnsi="Arial"/>
                <w:sz w:val="12"/>
                <w:szCs w:val="12"/>
                <w:color w:val="auto"/>
                <w:w w:val="95"/>
              </w:rPr>
              <w:t>Estimated Possible</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color w:val="auto"/>
                <w:w w:val="93"/>
              </w:rPr>
              <w:t>Stock</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left="3"/>
              <w:spacing w:after="0" w:line="135" w:lineRule="exact"/>
              <w:rPr>
                <w:sz w:val="20"/>
                <w:szCs w:val="20"/>
                <w:color w:val="auto"/>
              </w:rPr>
            </w:pPr>
            <w:r>
              <w:rPr>
                <w:rFonts w:ascii="Arial" w:cs="Arial" w:eastAsia="Arial" w:hAnsi="Arial"/>
                <w:sz w:val="12"/>
                <w:szCs w:val="12"/>
                <w:color w:val="auto"/>
                <w:w w:val="96"/>
              </w:rPr>
              <w:t>Awards:</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color w:val="auto"/>
                <w:w w:val="98"/>
              </w:rPr>
              <w:t>All Other</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vMerge w:val="restart"/>
          </w:tcPr>
          <w:p>
            <w:pPr>
              <w:jc w:val="center"/>
              <w:ind w:left="22"/>
              <w:spacing w:after="0" w:line="135" w:lineRule="exact"/>
              <w:rPr>
                <w:sz w:val="20"/>
                <w:szCs w:val="20"/>
                <w:color w:val="auto"/>
              </w:rPr>
            </w:pPr>
            <w:r>
              <w:rPr>
                <w:rFonts w:ascii="Arial" w:cs="Arial" w:eastAsia="Arial" w:hAnsi="Arial"/>
                <w:sz w:val="12"/>
                <w:szCs w:val="12"/>
                <w:color w:val="auto"/>
                <w:w w:val="98"/>
              </w:rPr>
              <w:t>Payouts Under</w:t>
            </w: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restart"/>
          </w:tcPr>
          <w:p>
            <w:pPr>
              <w:jc w:val="center"/>
              <w:ind w:left="3"/>
              <w:spacing w:after="0" w:line="135" w:lineRule="exact"/>
              <w:rPr>
                <w:sz w:val="20"/>
                <w:szCs w:val="20"/>
                <w:color w:val="auto"/>
              </w:rPr>
            </w:pPr>
            <w:r>
              <w:rPr>
                <w:rFonts w:ascii="Arial" w:cs="Arial" w:eastAsia="Arial" w:hAnsi="Arial"/>
                <w:sz w:val="12"/>
                <w:szCs w:val="12"/>
                <w:color w:val="auto"/>
                <w:w w:val="98"/>
              </w:rPr>
              <w:t>Number</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color w:val="auto"/>
                <w:w w:val="96"/>
              </w:rPr>
              <w:t>Option</w:t>
            </w:r>
          </w:p>
        </w:tc>
        <w:tc>
          <w:tcPr>
            <w:tcW w:w="620" w:type="dxa"/>
            <w:vAlign w:val="bottom"/>
          </w:tcPr>
          <w:p>
            <w:pPr>
              <w:spacing w:after="0"/>
              <w:rPr>
                <w:sz w:val="7"/>
                <w:szCs w:val="7"/>
                <w:color w:val="auto"/>
              </w:rPr>
            </w:pPr>
          </w:p>
        </w:tc>
        <w:tc>
          <w:tcPr>
            <w:tcW w:w="680" w:type="dxa"/>
            <w:vAlign w:val="bottom"/>
            <w:vMerge w:val="restart"/>
          </w:tcPr>
          <w:p>
            <w:pPr>
              <w:jc w:val="center"/>
              <w:ind w:left="43"/>
              <w:spacing w:after="0" w:line="135" w:lineRule="exact"/>
              <w:rPr>
                <w:sz w:val="20"/>
                <w:szCs w:val="20"/>
                <w:color w:val="auto"/>
              </w:rPr>
            </w:pPr>
            <w:r>
              <w:rPr>
                <w:rFonts w:ascii="Arial" w:cs="Arial" w:eastAsia="Arial" w:hAnsi="Arial"/>
                <w:sz w:val="12"/>
                <w:szCs w:val="12"/>
                <w:color w:val="auto"/>
                <w:w w:val="98"/>
              </w:rPr>
              <w:t>Grant Date</w:t>
            </w: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80" w:type="dxa"/>
            <w:vAlign w:val="bottom"/>
            <w:gridSpan w:val="3"/>
            <w:vMerge w:val="restart"/>
          </w:tcPr>
          <w:p>
            <w:pPr>
              <w:jc w:val="center"/>
              <w:spacing w:after="0" w:line="135" w:lineRule="exact"/>
              <w:rPr>
                <w:sz w:val="20"/>
                <w:szCs w:val="20"/>
                <w:color w:val="auto"/>
              </w:rPr>
            </w:pPr>
            <w:r>
              <w:rPr>
                <w:rFonts w:ascii="Arial" w:cs="Arial" w:eastAsia="Arial" w:hAnsi="Arial"/>
                <w:sz w:val="12"/>
                <w:szCs w:val="12"/>
                <w:color w:val="auto"/>
                <w:w w:val="97"/>
              </w:rPr>
              <w:t>Non-Equity Incentive</w:t>
            </w:r>
          </w:p>
        </w:tc>
        <w:tc>
          <w:tcPr>
            <w:tcW w:w="1960" w:type="dxa"/>
            <w:vAlign w:val="bottom"/>
            <w:gridSpan w:val="3"/>
            <w:vMerge w:val="restart"/>
          </w:tcPr>
          <w:p>
            <w:pPr>
              <w:jc w:val="center"/>
              <w:ind w:left="2"/>
              <w:spacing w:after="0" w:line="135" w:lineRule="exact"/>
              <w:rPr>
                <w:sz w:val="20"/>
                <w:szCs w:val="20"/>
                <w:color w:val="auto"/>
              </w:rPr>
            </w:pPr>
            <w:r>
              <w:rPr>
                <w:rFonts w:ascii="Arial" w:cs="Arial" w:eastAsia="Arial" w:hAnsi="Arial"/>
                <w:sz w:val="12"/>
                <w:szCs w:val="12"/>
                <w:color w:val="auto"/>
                <w:w w:val="98"/>
              </w:rPr>
              <w:t>Estimated Future</w:t>
            </w:r>
          </w:p>
        </w:tc>
        <w:tc>
          <w:tcPr>
            <w:tcW w:w="6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640" w:type="dxa"/>
            <w:vAlign w:val="bottom"/>
            <w:vMerge w:val="restart"/>
          </w:tcPr>
          <w:p>
            <w:pPr>
              <w:jc w:val="center"/>
              <w:ind w:left="3"/>
              <w:spacing w:after="0" w:line="135" w:lineRule="exact"/>
              <w:rPr>
                <w:sz w:val="20"/>
                <w:szCs w:val="20"/>
                <w:color w:val="auto"/>
              </w:rPr>
            </w:pPr>
            <w:r>
              <w:rPr>
                <w:rFonts w:ascii="Arial" w:cs="Arial" w:eastAsia="Arial" w:hAnsi="Arial"/>
                <w:sz w:val="12"/>
                <w:szCs w:val="12"/>
                <w:color w:val="auto"/>
                <w:w w:val="99"/>
              </w:rPr>
              <w:t>of</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color w:val="auto"/>
                <w:w w:val="96"/>
              </w:rPr>
              <w:t>Awards:</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2"/>
                <w:szCs w:val="12"/>
                <w:color w:val="auto"/>
                <w:w w:val="95"/>
              </w:rPr>
              <w:t>Exercise</w:t>
            </w:r>
          </w:p>
        </w:tc>
        <w:tc>
          <w:tcPr>
            <w:tcW w:w="680" w:type="dxa"/>
            <w:vAlign w:val="bottom"/>
            <w:vMerge w:val="restart"/>
          </w:tcPr>
          <w:p>
            <w:pPr>
              <w:jc w:val="center"/>
              <w:ind w:left="23"/>
              <w:spacing w:after="0" w:line="135" w:lineRule="exact"/>
              <w:rPr>
                <w:sz w:val="20"/>
                <w:szCs w:val="20"/>
                <w:color w:val="auto"/>
              </w:rPr>
            </w:pPr>
            <w:r>
              <w:rPr>
                <w:rFonts w:ascii="Arial" w:cs="Arial" w:eastAsia="Arial" w:hAnsi="Arial"/>
                <w:sz w:val="12"/>
                <w:szCs w:val="12"/>
                <w:color w:val="auto"/>
                <w:w w:val="95"/>
              </w:rPr>
              <w:t>Fair Value</w:t>
            </w: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vMerge w:val="restart"/>
          </w:tcPr>
          <w:p>
            <w:pPr>
              <w:jc w:val="center"/>
              <w:ind w:left="22"/>
              <w:spacing w:after="0" w:line="135" w:lineRule="exact"/>
              <w:rPr>
                <w:sz w:val="20"/>
                <w:szCs w:val="20"/>
                <w:color w:val="auto"/>
              </w:rPr>
            </w:pPr>
            <w:r>
              <w:rPr>
                <w:rFonts w:ascii="Arial" w:cs="Arial" w:eastAsia="Arial" w:hAnsi="Arial"/>
                <w:sz w:val="12"/>
                <w:szCs w:val="12"/>
                <w:color w:val="auto"/>
                <w:w w:val="97"/>
              </w:rPr>
              <w:t>Plan Awards</w:t>
            </w:r>
          </w:p>
        </w:tc>
        <w:tc>
          <w:tcPr>
            <w:tcW w:w="680" w:type="dxa"/>
            <w:vAlign w:val="bottom"/>
          </w:tcPr>
          <w:p>
            <w:pPr>
              <w:spacing w:after="0"/>
              <w:rPr>
                <w:sz w:val="4"/>
                <w:szCs w:val="4"/>
                <w:color w:val="auto"/>
              </w:rPr>
            </w:pPr>
          </w:p>
        </w:tc>
        <w:tc>
          <w:tcPr>
            <w:tcW w:w="1960" w:type="dxa"/>
            <w:vAlign w:val="bottom"/>
            <w:gridSpan w:val="3"/>
            <w:vMerge w:val="restart"/>
          </w:tcPr>
          <w:p>
            <w:pPr>
              <w:jc w:val="center"/>
              <w:ind w:left="2"/>
              <w:spacing w:after="0" w:line="135" w:lineRule="exact"/>
              <w:rPr>
                <w:sz w:val="20"/>
                <w:szCs w:val="20"/>
                <w:color w:val="auto"/>
              </w:rPr>
            </w:pPr>
            <w:r>
              <w:rPr>
                <w:rFonts w:ascii="Arial" w:cs="Arial" w:eastAsia="Arial" w:hAnsi="Arial"/>
                <w:sz w:val="12"/>
                <w:szCs w:val="12"/>
                <w:color w:val="auto"/>
                <w:w w:val="98"/>
              </w:rPr>
              <w:t>Payouts Under Equity</w:t>
            </w:r>
          </w:p>
        </w:tc>
        <w:tc>
          <w:tcPr>
            <w:tcW w:w="6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2"/>
                <w:szCs w:val="12"/>
                <w:color w:val="auto"/>
                <w:w w:val="94"/>
              </w:rPr>
              <w:t>Shares</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color w:val="auto"/>
                <w:w w:val="96"/>
              </w:rPr>
              <w:t>Number of</w:t>
            </w:r>
          </w:p>
        </w:tc>
        <w:tc>
          <w:tcPr>
            <w:tcW w:w="620" w:type="dxa"/>
            <w:vAlign w:val="bottom"/>
            <w:vMerge w:val="restart"/>
          </w:tcPr>
          <w:p>
            <w:pPr>
              <w:jc w:val="center"/>
              <w:spacing w:after="0" w:line="135" w:lineRule="exact"/>
              <w:rPr>
                <w:sz w:val="20"/>
                <w:szCs w:val="20"/>
                <w:color w:val="auto"/>
              </w:rPr>
            </w:pPr>
            <w:r>
              <w:rPr>
                <w:rFonts w:ascii="Arial" w:cs="Arial" w:eastAsia="Arial" w:hAnsi="Arial"/>
                <w:sz w:val="12"/>
                <w:szCs w:val="12"/>
                <w:color w:val="auto"/>
                <w:w w:val="96"/>
              </w:rPr>
              <w:t>or Base</w:t>
            </w:r>
          </w:p>
        </w:tc>
        <w:tc>
          <w:tcPr>
            <w:tcW w:w="680" w:type="dxa"/>
            <w:vAlign w:val="bottom"/>
            <w:vMerge w:val="restart"/>
          </w:tcPr>
          <w:p>
            <w:pPr>
              <w:jc w:val="center"/>
              <w:ind w:left="43"/>
              <w:spacing w:after="0" w:line="135" w:lineRule="exact"/>
              <w:rPr>
                <w:sz w:val="20"/>
                <w:szCs w:val="20"/>
                <w:color w:val="auto"/>
              </w:rPr>
            </w:pPr>
            <w:r>
              <w:rPr>
                <w:rFonts w:ascii="Arial" w:cs="Arial" w:eastAsia="Arial" w:hAnsi="Arial"/>
                <w:sz w:val="12"/>
                <w:szCs w:val="12"/>
                <w:color w:val="auto"/>
                <w:w w:val="96"/>
              </w:rPr>
              <w:t>of Stock</w:t>
            </w: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vMerge w:val="restart"/>
          </w:tcPr>
          <w:p>
            <w:pPr>
              <w:jc w:val="center"/>
              <w:ind w:left="22"/>
              <w:spacing w:after="0"/>
              <w:rPr>
                <w:sz w:val="20"/>
                <w:szCs w:val="20"/>
                <w:color w:val="auto"/>
              </w:rPr>
            </w:pPr>
            <w:r>
              <w:rPr>
                <w:rFonts w:ascii="Arial" w:cs="Arial" w:eastAsia="Arial" w:hAnsi="Arial"/>
                <w:sz w:val="12"/>
                <w:szCs w:val="12"/>
                <w:color w:val="auto"/>
                <w:w w:val="95"/>
              </w:rPr>
              <w:t>($)</w:t>
            </w:r>
          </w:p>
        </w:tc>
        <w:tc>
          <w:tcPr>
            <w:tcW w:w="680" w:type="dxa"/>
            <w:vAlign w:val="bottom"/>
          </w:tcPr>
          <w:p>
            <w:pPr>
              <w:spacing w:after="0"/>
              <w:rPr>
                <w:sz w:val="4"/>
                <w:szCs w:val="4"/>
                <w:color w:val="auto"/>
              </w:rPr>
            </w:pPr>
          </w:p>
        </w:tc>
        <w:tc>
          <w:tcPr>
            <w:tcW w:w="1960" w:type="dxa"/>
            <w:vAlign w:val="bottom"/>
            <w:gridSpan w:val="3"/>
            <w:vMerge w:val="restart"/>
          </w:tcPr>
          <w:p>
            <w:pPr>
              <w:jc w:val="center"/>
              <w:ind w:left="2"/>
              <w:spacing w:after="0"/>
              <w:rPr>
                <w:sz w:val="20"/>
                <w:szCs w:val="20"/>
                <w:color w:val="auto"/>
              </w:rPr>
            </w:pPr>
            <w:r>
              <w:rPr>
                <w:rFonts w:ascii="Arial" w:cs="Arial" w:eastAsia="Arial" w:hAnsi="Arial"/>
                <w:sz w:val="12"/>
                <w:szCs w:val="12"/>
                <w:color w:val="auto"/>
                <w:w w:val="95"/>
              </w:rPr>
              <w:t>Incentive Plan Awards</w:t>
            </w:r>
          </w:p>
        </w:tc>
        <w:tc>
          <w:tcPr>
            <w:tcW w:w="6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gridSpan w:val="3"/>
            <w:vMerge w:val="continue"/>
          </w:tcPr>
          <w:p>
            <w:pPr>
              <w:spacing w:after="0"/>
              <w:rPr>
                <w:sz w:val="8"/>
                <w:szCs w:val="8"/>
                <w:color w:val="auto"/>
              </w:rPr>
            </w:pPr>
          </w:p>
        </w:tc>
        <w:tc>
          <w:tcPr>
            <w:tcW w:w="640" w:type="dxa"/>
            <w:vAlign w:val="bottom"/>
          </w:tcPr>
          <w:p>
            <w:pPr>
              <w:jc w:val="center"/>
              <w:ind w:left="3"/>
              <w:spacing w:after="0" w:line="86" w:lineRule="exact"/>
              <w:rPr>
                <w:sz w:val="20"/>
                <w:szCs w:val="20"/>
                <w:color w:val="auto"/>
              </w:rPr>
            </w:pPr>
            <w:r>
              <w:rPr>
                <w:rFonts w:ascii="Arial" w:cs="Arial" w:eastAsia="Arial" w:hAnsi="Arial"/>
                <w:sz w:val="9"/>
                <w:szCs w:val="9"/>
                <w:color w:val="auto"/>
              </w:rPr>
              <w:t>of</w:t>
            </w:r>
          </w:p>
        </w:tc>
        <w:tc>
          <w:tcPr>
            <w:tcW w:w="720" w:type="dxa"/>
            <w:vAlign w:val="bottom"/>
          </w:tcPr>
          <w:p>
            <w:pPr>
              <w:jc w:val="center"/>
              <w:spacing w:after="0" w:line="86" w:lineRule="exact"/>
              <w:rPr>
                <w:sz w:val="20"/>
                <w:szCs w:val="20"/>
                <w:color w:val="auto"/>
              </w:rPr>
            </w:pPr>
            <w:r>
              <w:rPr>
                <w:rFonts w:ascii="Arial" w:cs="Arial" w:eastAsia="Arial" w:hAnsi="Arial"/>
                <w:sz w:val="9"/>
                <w:szCs w:val="9"/>
                <w:color w:val="auto"/>
              </w:rPr>
              <w:t>Securities</w:t>
            </w:r>
          </w:p>
        </w:tc>
        <w:tc>
          <w:tcPr>
            <w:tcW w:w="620" w:type="dxa"/>
            <w:vAlign w:val="bottom"/>
          </w:tcPr>
          <w:p>
            <w:pPr>
              <w:jc w:val="center"/>
              <w:spacing w:after="0" w:line="86" w:lineRule="exact"/>
              <w:rPr>
                <w:sz w:val="20"/>
                <w:szCs w:val="20"/>
                <w:color w:val="auto"/>
              </w:rPr>
            </w:pPr>
            <w:r>
              <w:rPr>
                <w:rFonts w:ascii="Arial" w:cs="Arial" w:eastAsia="Arial" w:hAnsi="Arial"/>
                <w:sz w:val="9"/>
                <w:szCs w:val="9"/>
                <w:color w:val="auto"/>
              </w:rPr>
              <w:t>Price of</w:t>
            </w:r>
          </w:p>
        </w:tc>
        <w:tc>
          <w:tcPr>
            <w:tcW w:w="680" w:type="dxa"/>
            <w:vAlign w:val="bottom"/>
          </w:tcPr>
          <w:p>
            <w:pPr>
              <w:jc w:val="center"/>
              <w:ind w:left="43"/>
              <w:spacing w:after="0" w:line="86" w:lineRule="exact"/>
              <w:rPr>
                <w:sz w:val="20"/>
                <w:szCs w:val="20"/>
                <w:color w:val="auto"/>
              </w:rPr>
            </w:pPr>
            <w:r>
              <w:rPr>
                <w:rFonts w:ascii="Arial" w:cs="Arial" w:eastAsia="Arial" w:hAnsi="Arial"/>
                <w:sz w:val="9"/>
                <w:szCs w:val="9"/>
                <w:color w:val="auto"/>
              </w:rPr>
              <w:t>and</w:t>
            </w:r>
          </w:p>
        </w:tc>
        <w:tc>
          <w:tcPr>
            <w:tcW w:w="0" w:type="dxa"/>
            <w:vAlign w:val="bottom"/>
          </w:tcPr>
          <w:p>
            <w:pPr>
              <w:spacing w:after="0"/>
              <w:rPr>
                <w:sz w:val="1"/>
                <w:szCs w:val="1"/>
                <w:color w:val="auto"/>
              </w:rPr>
            </w:pPr>
          </w:p>
        </w:tc>
      </w:tr>
      <w:tr>
        <w:trPr>
          <w:trHeight w:val="158"/>
        </w:trPr>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color w:val="auto"/>
                <w:w w:val="93"/>
              </w:rPr>
              <w:t>Stock</w:t>
            </w:r>
          </w:p>
        </w:tc>
        <w:tc>
          <w:tcPr>
            <w:tcW w:w="720" w:type="dxa"/>
            <w:vAlign w:val="bottom"/>
          </w:tcPr>
          <w:p>
            <w:pPr>
              <w:jc w:val="center"/>
              <w:spacing w:after="0"/>
              <w:rPr>
                <w:sz w:val="20"/>
                <w:szCs w:val="20"/>
                <w:color w:val="auto"/>
              </w:rPr>
            </w:pPr>
            <w:r>
              <w:rPr>
                <w:rFonts w:ascii="Arial" w:cs="Arial" w:eastAsia="Arial" w:hAnsi="Arial"/>
                <w:sz w:val="12"/>
                <w:szCs w:val="12"/>
                <w:color w:val="auto"/>
                <w:w w:val="97"/>
              </w:rPr>
              <w:t>Underlying</w:t>
            </w:r>
          </w:p>
        </w:tc>
        <w:tc>
          <w:tcPr>
            <w:tcW w:w="620" w:type="dxa"/>
            <w:vAlign w:val="bottom"/>
          </w:tcPr>
          <w:p>
            <w:pPr>
              <w:jc w:val="center"/>
              <w:spacing w:after="0"/>
              <w:rPr>
                <w:sz w:val="20"/>
                <w:szCs w:val="20"/>
                <w:color w:val="auto"/>
              </w:rPr>
            </w:pPr>
            <w:r>
              <w:rPr>
                <w:rFonts w:ascii="Arial" w:cs="Arial" w:eastAsia="Arial" w:hAnsi="Arial"/>
                <w:sz w:val="12"/>
                <w:szCs w:val="12"/>
                <w:color w:val="auto"/>
                <w:w w:val="96"/>
              </w:rPr>
              <w:t>Option</w:t>
            </w:r>
          </w:p>
        </w:tc>
        <w:tc>
          <w:tcPr>
            <w:tcW w:w="680" w:type="dxa"/>
            <w:vAlign w:val="bottom"/>
          </w:tcPr>
          <w:p>
            <w:pPr>
              <w:jc w:val="center"/>
              <w:ind w:left="43"/>
              <w:spacing w:after="0"/>
              <w:rPr>
                <w:sz w:val="20"/>
                <w:szCs w:val="20"/>
                <w:color w:val="auto"/>
              </w:rPr>
            </w:pPr>
            <w:r>
              <w:rPr>
                <w:rFonts w:ascii="Arial" w:cs="Arial" w:eastAsia="Arial" w:hAnsi="Arial"/>
                <w:sz w:val="12"/>
                <w:szCs w:val="12"/>
                <w:color w:val="auto"/>
                <w:w w:val="96"/>
              </w:rPr>
              <w:t>Option</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080" w:type="dxa"/>
            <w:vAlign w:val="bottom"/>
          </w:tcPr>
          <w:p>
            <w:pPr>
              <w:jc w:val="center"/>
              <w:ind w:left="482"/>
              <w:spacing w:after="0" w:line="135" w:lineRule="exact"/>
              <w:rPr>
                <w:sz w:val="20"/>
                <w:szCs w:val="20"/>
                <w:color w:val="auto"/>
              </w:rPr>
            </w:pPr>
            <w:r>
              <w:rPr>
                <w:rFonts w:ascii="Arial" w:cs="Arial" w:eastAsia="Arial" w:hAnsi="Arial"/>
                <w:sz w:val="12"/>
                <w:szCs w:val="12"/>
                <w:color w:val="auto"/>
                <w:w w:val="99"/>
              </w:rPr>
              <w:t>Award</w:t>
            </w:r>
          </w:p>
        </w:tc>
        <w:tc>
          <w:tcPr>
            <w:tcW w:w="960" w:type="dxa"/>
            <w:vAlign w:val="bottom"/>
          </w:tcPr>
          <w:p>
            <w:pPr>
              <w:jc w:val="center"/>
              <w:ind w:right="42"/>
              <w:spacing w:after="0" w:line="135" w:lineRule="exact"/>
              <w:rPr>
                <w:sz w:val="20"/>
                <w:szCs w:val="20"/>
                <w:color w:val="auto"/>
              </w:rPr>
            </w:pPr>
            <w:r>
              <w:rPr>
                <w:rFonts w:ascii="Arial" w:cs="Arial" w:eastAsia="Arial" w:hAnsi="Arial"/>
                <w:sz w:val="12"/>
                <w:szCs w:val="12"/>
                <w:color w:val="auto"/>
                <w:w w:val="96"/>
              </w:rPr>
              <w:t>Performance</w:t>
            </w:r>
          </w:p>
        </w:tc>
        <w:tc>
          <w:tcPr>
            <w:tcW w:w="960" w:type="dxa"/>
            <w:vAlign w:val="bottom"/>
          </w:tcPr>
          <w:p>
            <w:pPr>
              <w:jc w:val="center"/>
              <w:ind w:right="202"/>
              <w:spacing w:after="0" w:line="135" w:lineRule="exact"/>
              <w:rPr>
                <w:sz w:val="20"/>
                <w:szCs w:val="20"/>
                <w:color w:val="auto"/>
              </w:rPr>
            </w:pPr>
            <w:r>
              <w:rPr>
                <w:rFonts w:ascii="Arial" w:cs="Arial" w:eastAsia="Arial" w:hAnsi="Arial"/>
                <w:sz w:val="12"/>
                <w:szCs w:val="12"/>
                <w:color w:val="auto"/>
                <w:w w:val="99"/>
              </w:rPr>
              <w:t>Grant</w:t>
            </w:r>
          </w:p>
        </w:tc>
        <w:tc>
          <w:tcPr>
            <w:tcW w:w="660" w:type="dxa"/>
            <w:vAlign w:val="bottom"/>
          </w:tcPr>
          <w:p>
            <w:pPr>
              <w:jc w:val="center"/>
              <w:ind w:left="42"/>
              <w:spacing w:after="0" w:line="135" w:lineRule="exact"/>
              <w:rPr>
                <w:sz w:val="20"/>
                <w:szCs w:val="20"/>
                <w:color w:val="auto"/>
              </w:rPr>
            </w:pPr>
            <w:r>
              <w:rPr>
                <w:rFonts w:ascii="Arial" w:cs="Arial" w:eastAsia="Arial" w:hAnsi="Arial"/>
                <w:sz w:val="12"/>
                <w:szCs w:val="12"/>
                <w:color w:val="auto"/>
                <w:w w:val="97"/>
              </w:rPr>
              <w:t>Threshold</w:t>
            </w:r>
          </w:p>
        </w:tc>
        <w:tc>
          <w:tcPr>
            <w:tcW w:w="940" w:type="dxa"/>
            <w:vAlign w:val="bottom"/>
          </w:tcPr>
          <w:p>
            <w:pPr>
              <w:jc w:val="center"/>
              <w:spacing w:after="0" w:line="135" w:lineRule="exact"/>
              <w:rPr>
                <w:sz w:val="20"/>
                <w:szCs w:val="20"/>
                <w:color w:val="auto"/>
              </w:rPr>
            </w:pPr>
            <w:r>
              <w:rPr>
                <w:rFonts w:ascii="Arial" w:cs="Arial" w:eastAsia="Arial" w:hAnsi="Arial"/>
                <w:sz w:val="12"/>
                <w:szCs w:val="12"/>
                <w:color w:val="auto"/>
                <w:w w:val="92"/>
              </w:rPr>
              <w:t>Target</w:t>
            </w:r>
          </w:p>
        </w:tc>
        <w:tc>
          <w:tcPr>
            <w:tcW w:w="68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6"/>
              </w:rPr>
              <w:t>Maximum</w:t>
            </w:r>
          </w:p>
        </w:tc>
        <w:tc>
          <w:tcPr>
            <w:tcW w:w="740" w:type="dxa"/>
            <w:vAlign w:val="bottom"/>
          </w:tcPr>
          <w:p>
            <w:pPr>
              <w:jc w:val="center"/>
              <w:spacing w:after="0" w:line="135" w:lineRule="exact"/>
              <w:rPr>
                <w:sz w:val="20"/>
                <w:szCs w:val="20"/>
                <w:color w:val="auto"/>
              </w:rPr>
            </w:pPr>
            <w:r>
              <w:rPr>
                <w:rFonts w:ascii="Arial" w:cs="Arial" w:eastAsia="Arial" w:hAnsi="Arial"/>
                <w:sz w:val="12"/>
                <w:szCs w:val="12"/>
                <w:color w:val="auto"/>
                <w:w w:val="97"/>
              </w:rPr>
              <w:t>Threshold</w:t>
            </w:r>
          </w:p>
        </w:tc>
        <w:tc>
          <w:tcPr>
            <w:tcW w:w="540" w:type="dxa"/>
            <w:vAlign w:val="bottom"/>
          </w:tcPr>
          <w:p>
            <w:pPr>
              <w:jc w:val="center"/>
              <w:spacing w:after="0" w:line="135" w:lineRule="exact"/>
              <w:rPr>
                <w:sz w:val="20"/>
                <w:szCs w:val="20"/>
                <w:color w:val="auto"/>
              </w:rPr>
            </w:pPr>
            <w:r>
              <w:rPr>
                <w:rFonts w:ascii="Arial" w:cs="Arial" w:eastAsia="Arial" w:hAnsi="Arial"/>
                <w:sz w:val="12"/>
                <w:szCs w:val="12"/>
                <w:color w:val="auto"/>
                <w:w w:val="92"/>
              </w:rPr>
              <w:t>Target</w:t>
            </w:r>
          </w:p>
        </w:tc>
        <w:tc>
          <w:tcPr>
            <w:tcW w:w="680" w:type="dxa"/>
            <w:vAlign w:val="bottom"/>
          </w:tcPr>
          <w:p>
            <w:pPr>
              <w:jc w:val="center"/>
              <w:ind w:left="2"/>
              <w:spacing w:after="0" w:line="135" w:lineRule="exact"/>
              <w:rPr>
                <w:sz w:val="20"/>
                <w:szCs w:val="20"/>
                <w:color w:val="auto"/>
              </w:rPr>
            </w:pPr>
            <w:r>
              <w:rPr>
                <w:rFonts w:ascii="Arial" w:cs="Arial" w:eastAsia="Arial" w:hAnsi="Arial"/>
                <w:sz w:val="12"/>
                <w:szCs w:val="12"/>
                <w:color w:val="auto"/>
                <w:w w:val="96"/>
              </w:rPr>
              <w:t>Maximum</w:t>
            </w:r>
          </w:p>
        </w:tc>
        <w:tc>
          <w:tcPr>
            <w:tcW w:w="640" w:type="dxa"/>
            <w:vAlign w:val="bottom"/>
          </w:tcPr>
          <w:p>
            <w:pPr>
              <w:jc w:val="center"/>
              <w:spacing w:after="0" w:line="135" w:lineRule="exact"/>
              <w:rPr>
                <w:sz w:val="20"/>
                <w:szCs w:val="20"/>
                <w:color w:val="auto"/>
              </w:rPr>
            </w:pPr>
            <w:r>
              <w:rPr>
                <w:rFonts w:ascii="Arial" w:cs="Arial" w:eastAsia="Arial" w:hAnsi="Arial"/>
                <w:sz w:val="12"/>
                <w:szCs w:val="12"/>
                <w:color w:val="auto"/>
                <w:w w:val="96"/>
              </w:rPr>
              <w:t>or Units</w:t>
            </w:r>
          </w:p>
        </w:tc>
        <w:tc>
          <w:tcPr>
            <w:tcW w:w="720" w:type="dxa"/>
            <w:vAlign w:val="bottom"/>
          </w:tcPr>
          <w:p>
            <w:pPr>
              <w:jc w:val="center"/>
              <w:spacing w:after="0" w:line="135" w:lineRule="exact"/>
              <w:rPr>
                <w:sz w:val="20"/>
                <w:szCs w:val="20"/>
                <w:color w:val="auto"/>
              </w:rPr>
            </w:pPr>
            <w:r>
              <w:rPr>
                <w:rFonts w:ascii="Arial" w:cs="Arial" w:eastAsia="Arial" w:hAnsi="Arial"/>
                <w:sz w:val="12"/>
                <w:szCs w:val="12"/>
                <w:color w:val="auto"/>
                <w:w w:val="96"/>
              </w:rPr>
              <w:t>Options</w:t>
            </w:r>
          </w:p>
        </w:tc>
        <w:tc>
          <w:tcPr>
            <w:tcW w:w="620" w:type="dxa"/>
            <w:vAlign w:val="bottom"/>
          </w:tcPr>
          <w:p>
            <w:pPr>
              <w:jc w:val="center"/>
              <w:spacing w:after="0" w:line="135" w:lineRule="exact"/>
              <w:rPr>
                <w:sz w:val="20"/>
                <w:szCs w:val="20"/>
                <w:color w:val="auto"/>
              </w:rPr>
            </w:pPr>
            <w:r>
              <w:rPr>
                <w:rFonts w:ascii="Arial" w:cs="Arial" w:eastAsia="Arial" w:hAnsi="Arial"/>
                <w:sz w:val="12"/>
                <w:szCs w:val="12"/>
                <w:color w:val="auto"/>
                <w:w w:val="94"/>
              </w:rPr>
              <w:t>Awards</w:t>
            </w:r>
          </w:p>
        </w:tc>
        <w:tc>
          <w:tcPr>
            <w:tcW w:w="680" w:type="dxa"/>
            <w:vAlign w:val="bottom"/>
          </w:tcPr>
          <w:p>
            <w:pPr>
              <w:jc w:val="center"/>
              <w:ind w:left="23"/>
              <w:spacing w:after="0" w:line="135" w:lineRule="exact"/>
              <w:rPr>
                <w:sz w:val="20"/>
                <w:szCs w:val="20"/>
                <w:color w:val="auto"/>
              </w:rPr>
            </w:pPr>
            <w:r>
              <w:rPr>
                <w:rFonts w:ascii="Arial" w:cs="Arial" w:eastAsia="Arial" w:hAnsi="Arial"/>
                <w:sz w:val="12"/>
                <w:szCs w:val="12"/>
                <w:color w:val="auto"/>
                <w:w w:val="96"/>
              </w:rPr>
              <w:t>Awards ($)</w:t>
            </w:r>
          </w:p>
        </w:tc>
        <w:tc>
          <w:tcPr>
            <w:tcW w:w="0" w:type="dxa"/>
            <w:vAlign w:val="bottom"/>
          </w:tcPr>
          <w:p>
            <w:pPr>
              <w:spacing w:after="0"/>
              <w:rPr>
                <w:sz w:val="1"/>
                <w:szCs w:val="1"/>
                <w:color w:val="auto"/>
              </w:rPr>
            </w:pPr>
          </w:p>
        </w:tc>
      </w:tr>
      <w:tr>
        <w:trPr>
          <w:trHeight w:val="140"/>
        </w:trPr>
        <w:tc>
          <w:tcPr>
            <w:tcW w:w="980" w:type="dxa"/>
            <w:vAlign w:val="bottom"/>
          </w:tcPr>
          <w:p>
            <w:pPr>
              <w:spacing w:after="0"/>
              <w:rPr>
                <w:sz w:val="20"/>
                <w:szCs w:val="20"/>
                <w:color w:val="auto"/>
              </w:rPr>
            </w:pPr>
            <w:r>
              <w:rPr>
                <w:rFonts w:ascii="Arial" w:cs="Arial" w:eastAsia="Arial" w:hAnsi="Arial"/>
                <w:sz w:val="12"/>
                <w:szCs w:val="12"/>
                <w:color w:val="auto"/>
              </w:rPr>
              <w:t>Name</w:t>
            </w:r>
          </w:p>
        </w:tc>
        <w:tc>
          <w:tcPr>
            <w:tcW w:w="1080" w:type="dxa"/>
            <w:vAlign w:val="bottom"/>
          </w:tcPr>
          <w:p>
            <w:pPr>
              <w:jc w:val="center"/>
              <w:ind w:left="482"/>
              <w:spacing w:after="0"/>
              <w:rPr>
                <w:sz w:val="20"/>
                <w:szCs w:val="20"/>
                <w:color w:val="auto"/>
              </w:rPr>
            </w:pPr>
            <w:r>
              <w:rPr>
                <w:rFonts w:ascii="Arial" w:cs="Arial" w:eastAsia="Arial" w:hAnsi="Arial"/>
                <w:sz w:val="12"/>
                <w:szCs w:val="12"/>
                <w:color w:val="auto"/>
                <w:w w:val="97"/>
              </w:rPr>
              <w:t>Type</w:t>
            </w:r>
          </w:p>
        </w:tc>
        <w:tc>
          <w:tcPr>
            <w:tcW w:w="960" w:type="dxa"/>
            <w:vAlign w:val="bottom"/>
          </w:tcPr>
          <w:p>
            <w:pPr>
              <w:jc w:val="center"/>
              <w:ind w:right="22"/>
              <w:spacing w:after="0"/>
              <w:rPr>
                <w:sz w:val="20"/>
                <w:szCs w:val="20"/>
                <w:color w:val="auto"/>
              </w:rPr>
            </w:pPr>
            <w:r>
              <w:rPr>
                <w:rFonts w:ascii="Arial" w:cs="Arial" w:eastAsia="Arial" w:hAnsi="Arial"/>
                <w:sz w:val="12"/>
                <w:szCs w:val="12"/>
                <w:color w:val="auto"/>
                <w:w w:val="99"/>
              </w:rPr>
              <w:t>Plan</w:t>
            </w:r>
          </w:p>
        </w:tc>
        <w:tc>
          <w:tcPr>
            <w:tcW w:w="960" w:type="dxa"/>
            <w:vAlign w:val="bottom"/>
          </w:tcPr>
          <w:p>
            <w:pPr>
              <w:jc w:val="center"/>
              <w:ind w:right="222"/>
              <w:spacing w:after="0"/>
              <w:rPr>
                <w:sz w:val="20"/>
                <w:szCs w:val="20"/>
                <w:color w:val="auto"/>
              </w:rPr>
            </w:pPr>
            <w:r>
              <w:rPr>
                <w:rFonts w:ascii="Arial" w:cs="Arial" w:eastAsia="Arial" w:hAnsi="Arial"/>
                <w:sz w:val="12"/>
                <w:szCs w:val="12"/>
                <w:color w:val="auto"/>
                <w:w w:val="94"/>
              </w:rPr>
              <w:t>Date</w:t>
            </w:r>
          </w:p>
        </w:tc>
        <w:tc>
          <w:tcPr>
            <w:tcW w:w="6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36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54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6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640" w:type="dxa"/>
            <w:vAlign w:val="bottom"/>
          </w:tcPr>
          <w:p>
            <w:pPr>
              <w:jc w:val="center"/>
              <w:ind w:left="3"/>
              <w:spacing w:after="0"/>
              <w:rPr>
                <w:sz w:val="20"/>
                <w:szCs w:val="20"/>
                <w:color w:val="auto"/>
              </w:rPr>
            </w:pPr>
            <w:r>
              <w:rPr>
                <w:rFonts w:ascii="Arial" w:cs="Arial" w:eastAsia="Arial" w:hAnsi="Arial"/>
                <w:sz w:val="12"/>
                <w:szCs w:val="12"/>
                <w:color w:val="auto"/>
                <w:w w:val="95"/>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95"/>
              </w:rPr>
              <w:t>(#)</w:t>
            </w:r>
          </w:p>
        </w:tc>
        <w:tc>
          <w:tcPr>
            <w:tcW w:w="620" w:type="dxa"/>
            <w:vAlign w:val="bottom"/>
          </w:tcPr>
          <w:p>
            <w:pPr>
              <w:jc w:val="center"/>
              <w:spacing w:after="0"/>
              <w:rPr>
                <w:sz w:val="20"/>
                <w:szCs w:val="20"/>
                <w:color w:val="auto"/>
              </w:rPr>
            </w:pPr>
            <w:r>
              <w:rPr>
                <w:rFonts w:ascii="Arial" w:cs="Arial" w:eastAsia="Arial" w:hAnsi="Arial"/>
                <w:sz w:val="12"/>
                <w:szCs w:val="12"/>
                <w:color w:val="auto"/>
                <w:w w:val="97"/>
              </w:rPr>
              <w:t>($/Sh)</w:t>
            </w:r>
          </w:p>
        </w:tc>
        <w:tc>
          <w:tcPr>
            <w:tcW w:w="680" w:type="dxa"/>
            <w:vAlign w:val="bottom"/>
          </w:tcPr>
          <w:p>
            <w:pPr>
              <w:jc w:val="center"/>
              <w:ind w:left="43"/>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95160" cy="5829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5829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Olivier Rabiller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Alessandro Gili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334010</wp:posOffset>
            </wp:positionV>
            <wp:extent cx="1045845" cy="8483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45845"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Peter Bracke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Craig Balis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1045845" cy="5657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458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Jérôme Maironi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Thierry Mabru</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00" w:type="dxa"/>
            <w:vAlign w:val="bottom"/>
            <w:shd w:val="clear" w:color="auto" w:fill="EDEDED"/>
          </w:tcPr>
          <w:p>
            <w:pPr>
              <w:spacing w:after="0"/>
              <w:rPr>
                <w:sz w:val="13"/>
                <w:szCs w:val="13"/>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ICP</w:t>
            </w:r>
            <w:r>
              <w:rPr>
                <w:rFonts w:ascii="Arial" w:cs="Arial" w:eastAsia="Arial" w:hAnsi="Arial"/>
                <w:sz w:val="11"/>
                <w:szCs w:val="11"/>
                <w:color w:val="auto"/>
              </w:rPr>
              <w:t>(2)</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EDEDED"/>
          </w:tcPr>
          <w:p>
            <w:pPr>
              <w:jc w:val="right"/>
              <w:ind w:right="25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282,959</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1,131,836</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2,263,672</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NQSO</w:t>
            </w:r>
          </w:p>
        </w:tc>
        <w:tc>
          <w:tcPr>
            <w:tcW w:w="8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line="148" w:lineRule="exact"/>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(3)</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line="148" w:lineRule="exact"/>
              <w:rPr>
                <w:sz w:val="20"/>
                <w:szCs w:val="20"/>
                <w:color w:val="auto"/>
              </w:rPr>
            </w:pPr>
            <w:r>
              <w:rPr>
                <w:rFonts w:ascii="Arial" w:cs="Arial" w:eastAsia="Arial" w:hAnsi="Arial"/>
                <w:sz w:val="13"/>
                <w:szCs w:val="13"/>
                <w:color w:val="auto"/>
              </w:rPr>
              <w:t>108,554</w:t>
            </w:r>
          </w:p>
        </w:tc>
        <w:tc>
          <w:tcPr>
            <w:tcW w:w="5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16.17</w:t>
            </w:r>
          </w:p>
        </w:tc>
        <w:tc>
          <w:tcPr>
            <w:tcW w:w="740" w:type="dxa"/>
            <w:vAlign w:val="bottom"/>
            <w:shd w:val="clear" w:color="auto" w:fill="EDEDED"/>
          </w:tcPr>
          <w:p>
            <w:pPr>
              <w:jc w:val="right"/>
              <w:spacing w:after="0" w:line="148" w:lineRule="exact"/>
              <w:rPr>
                <w:sz w:val="20"/>
                <w:szCs w:val="20"/>
                <w:color w:val="auto"/>
              </w:rPr>
            </w:pPr>
            <w:r>
              <w:rPr>
                <w:rFonts w:ascii="Arial" w:cs="Arial" w:eastAsia="Arial" w:hAnsi="Arial"/>
                <w:sz w:val="13"/>
                <w:szCs w:val="13"/>
                <w:color w:val="auto"/>
              </w:rPr>
              <w:t>790,273</w:t>
            </w: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PSU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(4)</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24,436</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97,745</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195,490</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1,580,537</w:t>
            </w: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spacing w:after="0"/>
              <w:rPr>
                <w:sz w:val="12"/>
                <w:szCs w:val="12"/>
                <w:color w:val="auto"/>
              </w:rPr>
            </w:pP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800" w:type="dxa"/>
            <w:vAlign w:val="bottom"/>
            <w:shd w:val="clear" w:color="auto" w:fill="EDEDED"/>
          </w:tcPr>
          <w:p>
            <w:pPr>
              <w:spacing w:after="0"/>
              <w:rPr>
                <w:sz w:val="12"/>
                <w:szCs w:val="12"/>
                <w:color w:val="auto"/>
              </w:rPr>
            </w:pPr>
          </w:p>
        </w:tc>
        <w:tc>
          <w:tcPr>
            <w:tcW w:w="820" w:type="dxa"/>
            <w:vAlign w:val="bottom"/>
            <w:shd w:val="clear" w:color="auto" w:fill="EDEDED"/>
          </w:tcPr>
          <w:p>
            <w:pPr>
              <w:spacing w:after="0"/>
              <w:rPr>
                <w:sz w:val="12"/>
                <w:szCs w:val="12"/>
                <w:color w:val="auto"/>
              </w:rPr>
            </w:pPr>
          </w:p>
        </w:tc>
        <w:tc>
          <w:tcPr>
            <w:tcW w:w="64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58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PSU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(5)</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7,112</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28,448</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56,896</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460,004</w:t>
            </w: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(6)</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48,873</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790,276</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rPr>
              <w:t>ICP</w:t>
            </w:r>
            <w:r>
              <w:rPr>
                <w:rFonts w:ascii="Arial" w:cs="Arial" w:eastAsia="Arial" w:hAnsi="Arial"/>
                <w:sz w:val="11"/>
                <w:szCs w:val="11"/>
                <w:color w:val="auto"/>
              </w:rPr>
              <w:t>(2)</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53"/>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110,281</w:t>
            </w:r>
          </w:p>
        </w:tc>
        <w:tc>
          <w:tcPr>
            <w:tcW w:w="800" w:type="dxa"/>
            <w:vAlign w:val="bottom"/>
          </w:tcPr>
          <w:p>
            <w:pPr>
              <w:jc w:val="right"/>
              <w:ind w:right="33"/>
              <w:spacing w:after="0" w:line="148" w:lineRule="exact"/>
              <w:rPr>
                <w:sz w:val="20"/>
                <w:szCs w:val="20"/>
                <w:color w:val="auto"/>
              </w:rPr>
            </w:pPr>
            <w:r>
              <w:rPr>
                <w:rFonts w:ascii="Arial" w:cs="Arial" w:eastAsia="Arial" w:hAnsi="Arial"/>
                <w:sz w:val="13"/>
                <w:szCs w:val="13"/>
                <w:color w:val="auto"/>
              </w:rPr>
              <w:t>441,125</w:t>
            </w:r>
          </w:p>
        </w:tc>
        <w:tc>
          <w:tcPr>
            <w:tcW w:w="820" w:type="dxa"/>
            <w:vAlign w:val="bottom"/>
          </w:tcPr>
          <w:p>
            <w:pPr>
              <w:jc w:val="right"/>
              <w:ind w:right="53"/>
              <w:spacing w:after="0" w:line="148" w:lineRule="exact"/>
              <w:rPr>
                <w:sz w:val="20"/>
                <w:szCs w:val="20"/>
                <w:color w:val="auto"/>
              </w:rPr>
            </w:pPr>
            <w:r>
              <w:rPr>
                <w:rFonts w:ascii="Arial" w:cs="Arial" w:eastAsia="Arial" w:hAnsi="Arial"/>
                <w:sz w:val="13"/>
                <w:szCs w:val="13"/>
                <w:color w:val="auto"/>
              </w:rPr>
              <w:t>882,250</w:t>
            </w:r>
          </w:p>
        </w:tc>
        <w:tc>
          <w:tcPr>
            <w:tcW w:w="64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NQSO</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(3)</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34,375</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16.17</w:t>
            </w:r>
          </w:p>
        </w:tc>
        <w:tc>
          <w:tcPr>
            <w:tcW w:w="740" w:type="dxa"/>
            <w:vAlign w:val="bottom"/>
          </w:tcPr>
          <w:p>
            <w:pPr>
              <w:jc w:val="right"/>
              <w:spacing w:after="0"/>
              <w:rPr>
                <w:sz w:val="20"/>
                <w:szCs w:val="20"/>
                <w:color w:val="auto"/>
              </w:rPr>
            </w:pPr>
            <w:r>
              <w:rPr>
                <w:rFonts w:ascii="Arial" w:cs="Arial" w:eastAsia="Arial" w:hAnsi="Arial"/>
                <w:sz w:val="13"/>
                <w:szCs w:val="13"/>
                <w:color w:val="auto"/>
              </w:rPr>
              <w:t>250,250</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(4)</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7,738</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30,953</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61,906</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500,510</w:t>
            </w:r>
          </w:p>
        </w:tc>
      </w:tr>
      <w:tr>
        <w:trPr>
          <w:trHeight w:val="149"/>
        </w:trPr>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(5)</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4,204</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16,816</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33,632</w:t>
            </w:r>
          </w:p>
        </w:tc>
        <w:tc>
          <w:tcPr>
            <w:tcW w:w="620" w:type="dxa"/>
            <w:vAlign w:val="bottom"/>
          </w:tcPr>
          <w:p>
            <w:pPr>
              <w:spacing w:after="0"/>
              <w:rPr>
                <w:sz w:val="12"/>
                <w:szCs w:val="12"/>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271,915</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RSU</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(6)</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15,477</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250,263</w:t>
            </w:r>
          </w:p>
        </w:tc>
      </w:tr>
      <w:tr>
        <w:trPr>
          <w:trHeight w:val="148"/>
        </w:trPr>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RSU</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(7)</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29,396</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475,333</w:t>
            </w:r>
          </w:p>
        </w:tc>
      </w:tr>
      <w:tr>
        <w:trPr>
          <w:trHeight w:val="148"/>
        </w:trPr>
        <w:tc>
          <w:tcPr>
            <w:tcW w:w="100" w:type="dxa"/>
            <w:vAlign w:val="bottom"/>
            <w:shd w:val="clear" w:color="auto" w:fill="EDEDED"/>
          </w:tcPr>
          <w:p>
            <w:pPr>
              <w:spacing w:after="0"/>
              <w:rPr>
                <w:sz w:val="12"/>
                <w:szCs w:val="12"/>
                <w:color w:val="auto"/>
              </w:rPr>
            </w:pPr>
          </w:p>
        </w:tc>
        <w:tc>
          <w:tcPr>
            <w:tcW w:w="4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ICP</w:t>
            </w:r>
            <w:r>
              <w:rPr>
                <w:rFonts w:ascii="Arial" w:cs="Arial" w:eastAsia="Arial" w:hAnsi="Arial"/>
                <w:sz w:val="11"/>
                <w:szCs w:val="11"/>
                <w:color w:val="auto"/>
              </w:rPr>
              <w:t>(2)</w:t>
            </w:r>
          </w:p>
        </w:tc>
        <w:tc>
          <w:tcPr>
            <w:tcW w:w="8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w:t>
            </w:r>
          </w:p>
        </w:tc>
        <w:tc>
          <w:tcPr>
            <w:tcW w:w="1140" w:type="dxa"/>
            <w:vAlign w:val="bottom"/>
            <w:shd w:val="clear" w:color="auto" w:fill="EDEDED"/>
          </w:tcPr>
          <w:p>
            <w:pPr>
              <w:jc w:val="right"/>
              <w:ind w:right="25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50,434</w:t>
            </w:r>
          </w:p>
        </w:tc>
        <w:tc>
          <w:tcPr>
            <w:tcW w:w="80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201,735</w:t>
            </w:r>
          </w:p>
        </w:tc>
        <w:tc>
          <w:tcPr>
            <w:tcW w:w="820" w:type="dxa"/>
            <w:vAlign w:val="bottom"/>
            <w:shd w:val="clear" w:color="auto" w:fill="EDEDED"/>
          </w:tcPr>
          <w:p>
            <w:pPr>
              <w:jc w:val="right"/>
              <w:ind w:right="53"/>
              <w:spacing w:after="0" w:line="148" w:lineRule="exact"/>
              <w:rPr>
                <w:sz w:val="20"/>
                <w:szCs w:val="20"/>
                <w:color w:val="auto"/>
              </w:rPr>
            </w:pPr>
            <w:r>
              <w:rPr>
                <w:rFonts w:ascii="Arial" w:cs="Arial" w:eastAsia="Arial" w:hAnsi="Arial"/>
                <w:sz w:val="13"/>
                <w:szCs w:val="13"/>
                <w:color w:val="auto"/>
              </w:rPr>
              <w:t>403,470</w:t>
            </w:r>
          </w:p>
        </w:tc>
        <w:tc>
          <w:tcPr>
            <w:tcW w:w="64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line="148" w:lineRule="exact"/>
              <w:rPr>
                <w:sz w:val="20"/>
                <w:szCs w:val="20"/>
                <w:color w:val="auto"/>
              </w:rPr>
            </w:pPr>
            <w:r>
              <w:rPr>
                <w:rFonts w:ascii="Arial" w:cs="Arial" w:eastAsia="Arial" w:hAnsi="Arial"/>
                <w:sz w:val="13"/>
                <w:szCs w:val="13"/>
                <w:color w:val="auto"/>
              </w:rPr>
              <w:t>—</w:t>
            </w: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NQSO</w:t>
            </w:r>
          </w:p>
        </w:tc>
        <w:tc>
          <w:tcPr>
            <w:tcW w:w="8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line="148" w:lineRule="exact"/>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(3)</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line="148" w:lineRule="exact"/>
              <w:rPr>
                <w:sz w:val="20"/>
                <w:szCs w:val="20"/>
                <w:color w:val="auto"/>
              </w:rPr>
            </w:pPr>
            <w:r>
              <w:rPr>
                <w:rFonts w:ascii="Arial" w:cs="Arial" w:eastAsia="Arial" w:hAnsi="Arial"/>
                <w:sz w:val="13"/>
                <w:szCs w:val="13"/>
                <w:color w:val="auto"/>
              </w:rPr>
              <w:t>12,543</w:t>
            </w:r>
          </w:p>
        </w:tc>
        <w:tc>
          <w:tcPr>
            <w:tcW w:w="5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16.17</w:t>
            </w:r>
          </w:p>
        </w:tc>
        <w:tc>
          <w:tcPr>
            <w:tcW w:w="740" w:type="dxa"/>
            <w:vAlign w:val="bottom"/>
            <w:shd w:val="clear" w:color="auto" w:fill="EDEDED"/>
          </w:tcPr>
          <w:p>
            <w:pPr>
              <w:jc w:val="right"/>
              <w:spacing w:after="0" w:line="148" w:lineRule="exact"/>
              <w:rPr>
                <w:sz w:val="20"/>
                <w:szCs w:val="20"/>
                <w:color w:val="auto"/>
              </w:rPr>
            </w:pPr>
            <w:r>
              <w:rPr>
                <w:rFonts w:ascii="Arial" w:cs="Arial" w:eastAsia="Arial" w:hAnsi="Arial"/>
                <w:sz w:val="13"/>
                <w:szCs w:val="13"/>
                <w:color w:val="auto"/>
              </w:rPr>
              <w:t>91,313</w:t>
            </w: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(6)</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5,647</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180,861</w:t>
            </w: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spacing w:after="0"/>
              <w:rPr>
                <w:sz w:val="12"/>
                <w:szCs w:val="12"/>
                <w:color w:val="auto"/>
              </w:rPr>
            </w:pP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800" w:type="dxa"/>
            <w:vAlign w:val="bottom"/>
            <w:shd w:val="clear" w:color="auto" w:fill="EDEDED"/>
          </w:tcPr>
          <w:p>
            <w:pPr>
              <w:spacing w:after="0"/>
              <w:rPr>
                <w:sz w:val="12"/>
                <w:szCs w:val="12"/>
                <w:color w:val="auto"/>
              </w:rPr>
            </w:pPr>
          </w:p>
        </w:tc>
        <w:tc>
          <w:tcPr>
            <w:tcW w:w="820" w:type="dxa"/>
            <w:vAlign w:val="bottom"/>
            <w:shd w:val="clear" w:color="auto" w:fill="EDEDED"/>
          </w:tcPr>
          <w:p>
            <w:pPr>
              <w:spacing w:after="0"/>
              <w:rPr>
                <w:sz w:val="12"/>
                <w:szCs w:val="12"/>
                <w:color w:val="auto"/>
              </w:rPr>
            </w:pPr>
          </w:p>
        </w:tc>
        <w:tc>
          <w:tcPr>
            <w:tcW w:w="64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58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(7)</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11,185</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91,312</w:t>
            </w: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spacing w:after="0"/>
              <w:rPr>
                <w:sz w:val="12"/>
                <w:szCs w:val="12"/>
                <w:color w:val="auto"/>
              </w:rPr>
            </w:pP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800" w:type="dxa"/>
            <w:vAlign w:val="bottom"/>
            <w:shd w:val="clear" w:color="auto" w:fill="EDEDED"/>
          </w:tcPr>
          <w:p>
            <w:pPr>
              <w:spacing w:after="0"/>
              <w:rPr>
                <w:sz w:val="12"/>
                <w:szCs w:val="12"/>
                <w:color w:val="auto"/>
              </w:rPr>
            </w:pPr>
          </w:p>
        </w:tc>
        <w:tc>
          <w:tcPr>
            <w:tcW w:w="820" w:type="dxa"/>
            <w:vAlign w:val="bottom"/>
            <w:shd w:val="clear" w:color="auto" w:fill="EDEDED"/>
          </w:tcPr>
          <w:p>
            <w:pPr>
              <w:spacing w:after="0"/>
              <w:rPr>
                <w:sz w:val="12"/>
                <w:szCs w:val="12"/>
                <w:color w:val="auto"/>
              </w:rPr>
            </w:pPr>
          </w:p>
        </w:tc>
        <w:tc>
          <w:tcPr>
            <w:tcW w:w="64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58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PCU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(8)</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25,863</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103,453</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206,906</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PCU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(9)</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45,655</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182,620</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365,240</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w:t>
            </w:r>
          </w:p>
        </w:tc>
        <w:tc>
          <w:tcPr>
            <w:tcW w:w="11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09/06/2019</w:t>
            </w:r>
            <w:r>
              <w:rPr>
                <w:rFonts w:ascii="Arial" w:cs="Arial" w:eastAsia="Arial" w:hAnsi="Arial"/>
                <w:sz w:val="11"/>
                <w:szCs w:val="11"/>
                <w:color w:val="auto"/>
              </w:rPr>
              <w:t>(10)</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20,111</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200,004</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rPr>
              <w:t>ICP</w:t>
            </w:r>
            <w:r>
              <w:rPr>
                <w:rFonts w:ascii="Arial" w:cs="Arial" w:eastAsia="Arial" w:hAnsi="Arial"/>
                <w:sz w:val="11"/>
                <w:szCs w:val="11"/>
                <w:color w:val="auto"/>
              </w:rPr>
              <w:t>(2)</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53"/>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55,334</w:t>
            </w:r>
          </w:p>
        </w:tc>
        <w:tc>
          <w:tcPr>
            <w:tcW w:w="800" w:type="dxa"/>
            <w:vAlign w:val="bottom"/>
          </w:tcPr>
          <w:p>
            <w:pPr>
              <w:jc w:val="right"/>
              <w:ind w:right="33"/>
              <w:spacing w:after="0" w:line="148" w:lineRule="exact"/>
              <w:rPr>
                <w:sz w:val="20"/>
                <w:szCs w:val="20"/>
                <w:color w:val="auto"/>
              </w:rPr>
            </w:pPr>
            <w:r>
              <w:rPr>
                <w:rFonts w:ascii="Arial" w:cs="Arial" w:eastAsia="Arial" w:hAnsi="Arial"/>
                <w:sz w:val="13"/>
                <w:szCs w:val="13"/>
                <w:color w:val="auto"/>
              </w:rPr>
              <w:t>221,337</w:t>
            </w:r>
          </w:p>
        </w:tc>
        <w:tc>
          <w:tcPr>
            <w:tcW w:w="820" w:type="dxa"/>
            <w:vAlign w:val="bottom"/>
          </w:tcPr>
          <w:p>
            <w:pPr>
              <w:jc w:val="right"/>
              <w:ind w:right="53"/>
              <w:spacing w:after="0" w:line="148" w:lineRule="exact"/>
              <w:rPr>
                <w:sz w:val="20"/>
                <w:szCs w:val="20"/>
                <w:color w:val="auto"/>
              </w:rPr>
            </w:pPr>
            <w:r>
              <w:rPr>
                <w:rFonts w:ascii="Arial" w:cs="Arial" w:eastAsia="Arial" w:hAnsi="Arial"/>
                <w:sz w:val="13"/>
                <w:szCs w:val="13"/>
                <w:color w:val="auto"/>
              </w:rPr>
              <w:t>442,674</w:t>
            </w:r>
          </w:p>
        </w:tc>
        <w:tc>
          <w:tcPr>
            <w:tcW w:w="64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r>
      <w:tr>
        <w:trPr>
          <w:trHeight w:val="149"/>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NQSO</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(3)</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27,570</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16.17</w:t>
            </w:r>
          </w:p>
        </w:tc>
        <w:tc>
          <w:tcPr>
            <w:tcW w:w="740" w:type="dxa"/>
            <w:vAlign w:val="bottom"/>
          </w:tcPr>
          <w:p>
            <w:pPr>
              <w:jc w:val="right"/>
              <w:spacing w:after="0"/>
              <w:rPr>
                <w:sz w:val="20"/>
                <w:szCs w:val="20"/>
                <w:color w:val="auto"/>
              </w:rPr>
            </w:pPr>
            <w:r>
              <w:rPr>
                <w:rFonts w:ascii="Arial" w:cs="Arial" w:eastAsia="Arial" w:hAnsi="Arial"/>
                <w:sz w:val="13"/>
                <w:szCs w:val="13"/>
                <w:color w:val="auto"/>
              </w:rPr>
              <w:t>200,710</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(4)</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6,206</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24,825</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49,650</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401,420</w:t>
            </w:r>
          </w:p>
        </w:tc>
      </w:tr>
      <w:tr>
        <w:trPr>
          <w:trHeight w:val="148"/>
        </w:trPr>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(5)</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3,865</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15,461</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30,922</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250,004</w:t>
            </w:r>
          </w:p>
        </w:tc>
      </w:tr>
      <w:tr>
        <w:trPr>
          <w:trHeight w:val="149"/>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RSU</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(6)</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12,413</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200,718</w:t>
            </w:r>
          </w:p>
        </w:tc>
      </w:tr>
      <w:tr>
        <w:trPr>
          <w:trHeight w:val="149"/>
        </w:trPr>
        <w:tc>
          <w:tcPr>
            <w:tcW w:w="100" w:type="dxa"/>
            <w:vAlign w:val="bottom"/>
            <w:shd w:val="clear" w:color="auto" w:fill="EDEDED"/>
          </w:tcPr>
          <w:p>
            <w:pPr>
              <w:spacing w:after="0"/>
              <w:rPr>
                <w:sz w:val="12"/>
                <w:szCs w:val="12"/>
                <w:color w:val="auto"/>
              </w:rPr>
            </w:pPr>
          </w:p>
        </w:tc>
        <w:tc>
          <w:tcPr>
            <w:tcW w:w="4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ICP</w:t>
            </w:r>
            <w:r>
              <w:rPr>
                <w:rFonts w:ascii="Arial" w:cs="Arial" w:eastAsia="Arial" w:hAnsi="Arial"/>
                <w:sz w:val="11"/>
                <w:szCs w:val="11"/>
                <w:color w:val="auto"/>
              </w:rPr>
              <w:t>(2)</w:t>
            </w:r>
          </w:p>
        </w:tc>
        <w:tc>
          <w:tcPr>
            <w:tcW w:w="8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w:t>
            </w:r>
          </w:p>
        </w:tc>
        <w:tc>
          <w:tcPr>
            <w:tcW w:w="1140" w:type="dxa"/>
            <w:vAlign w:val="bottom"/>
            <w:shd w:val="clear" w:color="auto" w:fill="EDEDED"/>
          </w:tcPr>
          <w:p>
            <w:pPr>
              <w:jc w:val="right"/>
              <w:ind w:right="25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67,910</w:t>
            </w:r>
          </w:p>
        </w:tc>
        <w:tc>
          <w:tcPr>
            <w:tcW w:w="80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271,641</w:t>
            </w:r>
          </w:p>
        </w:tc>
        <w:tc>
          <w:tcPr>
            <w:tcW w:w="820" w:type="dxa"/>
            <w:vAlign w:val="bottom"/>
            <w:shd w:val="clear" w:color="auto" w:fill="EDEDED"/>
          </w:tcPr>
          <w:p>
            <w:pPr>
              <w:jc w:val="right"/>
              <w:ind w:right="53"/>
              <w:spacing w:after="0" w:line="148" w:lineRule="exact"/>
              <w:rPr>
                <w:sz w:val="20"/>
                <w:szCs w:val="20"/>
                <w:color w:val="auto"/>
              </w:rPr>
            </w:pPr>
            <w:r>
              <w:rPr>
                <w:rFonts w:ascii="Arial" w:cs="Arial" w:eastAsia="Arial" w:hAnsi="Arial"/>
                <w:sz w:val="13"/>
                <w:szCs w:val="13"/>
                <w:color w:val="auto"/>
              </w:rPr>
              <w:t>543,282</w:t>
            </w:r>
          </w:p>
        </w:tc>
        <w:tc>
          <w:tcPr>
            <w:tcW w:w="64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line="148" w:lineRule="exact"/>
              <w:rPr>
                <w:sz w:val="20"/>
                <w:szCs w:val="20"/>
                <w:color w:val="auto"/>
              </w:rPr>
            </w:pPr>
            <w:r>
              <w:rPr>
                <w:rFonts w:ascii="Arial" w:cs="Arial" w:eastAsia="Arial" w:hAnsi="Arial"/>
                <w:sz w:val="13"/>
                <w:szCs w:val="13"/>
                <w:color w:val="auto"/>
              </w:rPr>
              <w:t>—</w:t>
            </w: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NQSO</w:t>
            </w:r>
          </w:p>
        </w:tc>
        <w:tc>
          <w:tcPr>
            <w:tcW w:w="860" w:type="dxa"/>
            <w:vAlign w:val="bottom"/>
            <w:shd w:val="clear" w:color="auto" w:fill="EDEDED"/>
          </w:tcPr>
          <w:p>
            <w:pPr>
              <w:jc w:val="center"/>
              <w:spacing w:after="0" w:line="148" w:lineRule="exact"/>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line="148" w:lineRule="exact"/>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(3)</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line="148" w:lineRule="exact"/>
              <w:rPr>
                <w:sz w:val="20"/>
                <w:szCs w:val="20"/>
                <w:color w:val="auto"/>
              </w:rPr>
            </w:pPr>
            <w:r>
              <w:rPr>
                <w:rFonts w:ascii="Arial" w:cs="Arial" w:eastAsia="Arial" w:hAnsi="Arial"/>
                <w:sz w:val="13"/>
                <w:szCs w:val="13"/>
                <w:color w:val="auto"/>
              </w:rPr>
              <w:t>29,310</w:t>
            </w:r>
          </w:p>
        </w:tc>
        <w:tc>
          <w:tcPr>
            <w:tcW w:w="580" w:type="dxa"/>
            <w:vAlign w:val="bottom"/>
            <w:shd w:val="clear" w:color="auto" w:fill="EDEDED"/>
          </w:tcPr>
          <w:p>
            <w:pPr>
              <w:jc w:val="right"/>
              <w:ind w:right="33"/>
              <w:spacing w:after="0" w:line="148" w:lineRule="exact"/>
              <w:rPr>
                <w:sz w:val="20"/>
                <w:szCs w:val="20"/>
                <w:color w:val="auto"/>
              </w:rPr>
            </w:pPr>
            <w:r>
              <w:rPr>
                <w:rFonts w:ascii="Arial" w:cs="Arial" w:eastAsia="Arial" w:hAnsi="Arial"/>
                <w:sz w:val="13"/>
                <w:szCs w:val="13"/>
                <w:color w:val="auto"/>
              </w:rPr>
              <w:t>16.17</w:t>
            </w:r>
          </w:p>
        </w:tc>
        <w:tc>
          <w:tcPr>
            <w:tcW w:w="740" w:type="dxa"/>
            <w:vAlign w:val="bottom"/>
            <w:shd w:val="clear" w:color="auto" w:fill="EDEDED"/>
          </w:tcPr>
          <w:p>
            <w:pPr>
              <w:jc w:val="right"/>
              <w:spacing w:after="0" w:line="148" w:lineRule="exact"/>
              <w:rPr>
                <w:sz w:val="20"/>
                <w:szCs w:val="20"/>
                <w:color w:val="auto"/>
              </w:rPr>
            </w:pPr>
            <w:r>
              <w:rPr>
                <w:rFonts w:ascii="Arial" w:cs="Arial" w:eastAsia="Arial" w:hAnsi="Arial"/>
                <w:sz w:val="13"/>
                <w:szCs w:val="13"/>
                <w:color w:val="auto"/>
              </w:rPr>
              <w:t>213,377</w:t>
            </w: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PSU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(4)</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6,598</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26,392</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52,784</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426,759</w:t>
            </w: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spacing w:after="0"/>
              <w:rPr>
                <w:sz w:val="12"/>
                <w:szCs w:val="12"/>
                <w:color w:val="auto"/>
              </w:rPr>
            </w:pP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800" w:type="dxa"/>
            <w:vAlign w:val="bottom"/>
            <w:shd w:val="clear" w:color="auto" w:fill="EDEDED"/>
          </w:tcPr>
          <w:p>
            <w:pPr>
              <w:spacing w:after="0"/>
              <w:rPr>
                <w:sz w:val="12"/>
                <w:szCs w:val="12"/>
                <w:color w:val="auto"/>
              </w:rPr>
            </w:pPr>
          </w:p>
        </w:tc>
        <w:tc>
          <w:tcPr>
            <w:tcW w:w="820" w:type="dxa"/>
            <w:vAlign w:val="bottom"/>
            <w:shd w:val="clear" w:color="auto" w:fill="EDEDED"/>
          </w:tcPr>
          <w:p>
            <w:pPr>
              <w:spacing w:after="0"/>
              <w:rPr>
                <w:sz w:val="12"/>
                <w:szCs w:val="12"/>
                <w:color w:val="auto"/>
              </w:rPr>
            </w:pPr>
          </w:p>
        </w:tc>
        <w:tc>
          <w:tcPr>
            <w:tcW w:w="64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680" w:type="dxa"/>
            <w:vAlign w:val="bottom"/>
            <w:shd w:val="clear" w:color="auto" w:fill="EDEDED"/>
          </w:tcPr>
          <w:p>
            <w:pPr>
              <w:spacing w:after="0"/>
              <w:rPr>
                <w:sz w:val="12"/>
                <w:szCs w:val="12"/>
                <w:color w:val="auto"/>
              </w:rPr>
            </w:pPr>
          </w:p>
        </w:tc>
        <w:tc>
          <w:tcPr>
            <w:tcW w:w="62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58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PSU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(5)</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3,634</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14,534</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29,068</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235,015</w:t>
            </w:r>
          </w:p>
        </w:tc>
      </w:tr>
      <w:tr>
        <w:trPr>
          <w:trHeight w:val="149"/>
        </w:trPr>
        <w:tc>
          <w:tcPr>
            <w:tcW w:w="100" w:type="dxa"/>
            <w:vAlign w:val="bottom"/>
          </w:tcPr>
          <w:p>
            <w:pPr>
              <w:spacing w:after="0"/>
              <w:rPr>
                <w:sz w:val="12"/>
                <w:szCs w:val="12"/>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RSU</w:t>
            </w:r>
          </w:p>
        </w:tc>
        <w:tc>
          <w:tcPr>
            <w:tcW w:w="860" w:type="dxa"/>
            <w:vAlign w:val="bottom"/>
            <w:shd w:val="clear" w:color="auto" w:fill="EDEDED"/>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shd w:val="clear" w:color="auto" w:fill="EDEDED"/>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(6)</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shd w:val="clear" w:color="auto" w:fill="EDEDED"/>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13,196</w:t>
            </w:r>
          </w:p>
        </w:tc>
        <w:tc>
          <w:tcPr>
            <w:tcW w:w="740" w:type="dxa"/>
            <w:vAlign w:val="bottom"/>
            <w:shd w:val="clear" w:color="auto" w:fill="EDEDED"/>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shd w:val="clear" w:color="auto" w:fill="EDEDED"/>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DEDED"/>
          </w:tcPr>
          <w:p>
            <w:pPr>
              <w:jc w:val="right"/>
              <w:spacing w:after="0"/>
              <w:rPr>
                <w:sz w:val="20"/>
                <w:szCs w:val="20"/>
                <w:color w:val="auto"/>
              </w:rPr>
            </w:pPr>
            <w:r>
              <w:rPr>
                <w:rFonts w:ascii="Arial" w:cs="Arial" w:eastAsia="Arial" w:hAnsi="Arial"/>
                <w:sz w:val="13"/>
                <w:szCs w:val="13"/>
                <w:color w:val="auto"/>
              </w:rPr>
              <w:t>213,379</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rPr>
              <w:t>ICP</w:t>
            </w:r>
            <w:r>
              <w:rPr>
                <w:rFonts w:ascii="Arial" w:cs="Arial" w:eastAsia="Arial" w:hAnsi="Arial"/>
                <w:sz w:val="11"/>
                <w:szCs w:val="11"/>
                <w:color w:val="auto"/>
              </w:rPr>
              <w:t>(2)</w:t>
            </w:r>
          </w:p>
        </w:tc>
        <w:tc>
          <w:tcPr>
            <w:tcW w:w="86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53"/>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56,026</w:t>
            </w:r>
          </w:p>
        </w:tc>
        <w:tc>
          <w:tcPr>
            <w:tcW w:w="800" w:type="dxa"/>
            <w:vAlign w:val="bottom"/>
          </w:tcPr>
          <w:p>
            <w:pPr>
              <w:jc w:val="right"/>
              <w:ind w:right="33"/>
              <w:spacing w:after="0" w:line="148" w:lineRule="exact"/>
              <w:rPr>
                <w:sz w:val="20"/>
                <w:szCs w:val="20"/>
                <w:color w:val="auto"/>
              </w:rPr>
            </w:pPr>
            <w:r>
              <w:rPr>
                <w:rFonts w:ascii="Arial" w:cs="Arial" w:eastAsia="Arial" w:hAnsi="Arial"/>
                <w:sz w:val="13"/>
                <w:szCs w:val="13"/>
                <w:color w:val="auto"/>
              </w:rPr>
              <w:t>224,104</w:t>
            </w:r>
          </w:p>
        </w:tc>
        <w:tc>
          <w:tcPr>
            <w:tcW w:w="820" w:type="dxa"/>
            <w:vAlign w:val="bottom"/>
          </w:tcPr>
          <w:p>
            <w:pPr>
              <w:jc w:val="right"/>
              <w:ind w:right="53"/>
              <w:spacing w:after="0" w:line="148" w:lineRule="exact"/>
              <w:rPr>
                <w:sz w:val="20"/>
                <w:szCs w:val="20"/>
                <w:color w:val="auto"/>
              </w:rPr>
            </w:pPr>
            <w:r>
              <w:rPr>
                <w:rFonts w:ascii="Arial" w:cs="Arial" w:eastAsia="Arial" w:hAnsi="Arial"/>
                <w:sz w:val="13"/>
                <w:szCs w:val="13"/>
                <w:color w:val="auto"/>
              </w:rPr>
              <w:t>448,208</w:t>
            </w:r>
          </w:p>
        </w:tc>
        <w:tc>
          <w:tcPr>
            <w:tcW w:w="64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NQSO</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(3)</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22,331</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16.17</w:t>
            </w:r>
          </w:p>
        </w:tc>
        <w:tc>
          <w:tcPr>
            <w:tcW w:w="740" w:type="dxa"/>
            <w:vAlign w:val="bottom"/>
          </w:tcPr>
          <w:p>
            <w:pPr>
              <w:jc w:val="right"/>
              <w:spacing w:after="0"/>
              <w:rPr>
                <w:sz w:val="20"/>
                <w:szCs w:val="20"/>
                <w:color w:val="auto"/>
              </w:rPr>
            </w:pPr>
            <w:r>
              <w:rPr>
                <w:rFonts w:ascii="Arial" w:cs="Arial" w:eastAsia="Arial" w:hAnsi="Arial"/>
                <w:sz w:val="13"/>
                <w:szCs w:val="13"/>
                <w:color w:val="auto"/>
              </w:rPr>
              <w:t>162,570</w:t>
            </w:r>
          </w:p>
        </w:tc>
      </w:tr>
      <w:tr>
        <w:trPr>
          <w:trHeight w:val="149"/>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(4)</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5,027</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20,108</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40,216</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325,146</w:t>
            </w:r>
          </w:p>
        </w:tc>
      </w:tr>
      <w:tr>
        <w:trPr>
          <w:trHeight w:val="148"/>
        </w:trPr>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color w:val="auto"/>
              </w:rPr>
              <w:t>Replacement</w:t>
            </w: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PSU</w:t>
            </w:r>
          </w:p>
        </w:tc>
        <w:tc>
          <w:tcPr>
            <w:tcW w:w="860" w:type="dxa"/>
            <w:vAlign w:val="bottom"/>
          </w:tcPr>
          <w:p>
            <w:pPr>
              <w:jc w:val="center"/>
              <w:spacing w:after="0"/>
              <w:rPr>
                <w:sz w:val="20"/>
                <w:szCs w:val="20"/>
                <w:color w:val="auto"/>
              </w:rPr>
            </w:pPr>
            <w:r>
              <w:rPr>
                <w:rFonts w:ascii="Arial" w:cs="Arial" w:eastAsia="Arial" w:hAnsi="Arial"/>
                <w:sz w:val="13"/>
                <w:szCs w:val="13"/>
                <w:color w:val="auto"/>
                <w:w w:val="99"/>
              </w:rPr>
              <w:t>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(5)</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2,860</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11,441</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22,882</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185,001</w:t>
            </w:r>
          </w:p>
        </w:tc>
      </w:tr>
      <w:tr>
        <w:trPr>
          <w:trHeight w:val="162"/>
        </w:trPr>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rPr>
              <w:t>RSU</w:t>
            </w:r>
          </w:p>
        </w:tc>
        <w:tc>
          <w:tcPr>
            <w:tcW w:w="860" w:type="dxa"/>
            <w:vAlign w:val="bottom"/>
          </w:tcPr>
          <w:p>
            <w:pPr>
              <w:jc w:val="center"/>
              <w:spacing w:after="0"/>
              <w:rPr>
                <w:sz w:val="20"/>
                <w:szCs w:val="20"/>
                <w:color w:val="auto"/>
              </w:rPr>
            </w:pPr>
            <w:r>
              <w:rPr>
                <w:rFonts w:ascii="Arial" w:cs="Arial" w:eastAsia="Arial" w:hAnsi="Arial"/>
                <w:sz w:val="13"/>
                <w:szCs w:val="13"/>
                <w:color w:val="auto"/>
              </w:rPr>
              <w:t>LTI Plan</w:t>
            </w:r>
          </w:p>
        </w:tc>
        <w:tc>
          <w:tcPr>
            <w:tcW w:w="1140" w:type="dxa"/>
            <w:vAlign w:val="bottom"/>
          </w:tcPr>
          <w:p>
            <w:pPr>
              <w:jc w:val="right"/>
              <w:ind w:right="113"/>
              <w:spacing w:after="0"/>
              <w:rPr>
                <w:sz w:val="20"/>
                <w:szCs w:val="20"/>
                <w:color w:val="auto"/>
              </w:rPr>
            </w:pPr>
            <w:r>
              <w:rPr>
                <w:rFonts w:ascii="Arial" w:cs="Arial" w:eastAsia="Arial" w:hAnsi="Arial"/>
                <w:sz w:val="13"/>
                <w:szCs w:val="13"/>
                <w:color w:val="auto"/>
              </w:rPr>
              <w:t>03/04/2019</w:t>
            </w:r>
            <w:r>
              <w:rPr>
                <w:rFonts w:ascii="Arial" w:cs="Arial" w:eastAsia="Arial" w:hAnsi="Arial"/>
                <w:sz w:val="11"/>
                <w:szCs w:val="11"/>
                <w:color w:val="auto"/>
              </w:rPr>
              <w:t>(6)</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10,054</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162,573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-7620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120" w:space="540"/>
            <w:col w:w="9480"/>
          </w:cols>
          <w:pgMar w:left="320" w:top="459" w:right="439" w:bottom="1440" w:gutter="0" w:footer="0" w:header="0"/>
          <w:type w:val="continuous"/>
        </w:sectPr>
      </w:pPr>
    </w:p>
    <w:p>
      <w:pPr>
        <w:jc w:val="both"/>
        <w:ind w:left="440" w:right="240" w:hanging="324"/>
        <w:spacing w:after="0" w:line="225" w:lineRule="auto"/>
        <w:tabs>
          <w:tab w:leader="none" w:pos="4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amounts shown represent the grant date fair value calculated in accordance with ASC 718. For the awards which are subject to performance-based conditions, the amounts shown are based on the probable outcome of the performance conditions. For a discussion of valuation assumptions, see Note 21 to the consolidated and combined financial statements in our Annual Report on Form 10-K for the year ended December 31, 2019 filed with the SEC on February 27, 2020.</w:t>
      </w:r>
    </w:p>
    <w:p>
      <w:pPr>
        <w:spacing w:after="0" w:line="65" w:lineRule="exact"/>
        <w:rPr>
          <w:rFonts w:ascii="Arial" w:cs="Arial" w:eastAsia="Arial" w:hAnsi="Arial"/>
          <w:sz w:val="13"/>
          <w:szCs w:val="13"/>
          <w:color w:val="auto"/>
        </w:rPr>
      </w:pPr>
    </w:p>
    <w:p>
      <w:pPr>
        <w:ind w:left="440" w:right="220" w:hanging="324"/>
        <w:spacing w:after="0" w:line="230" w:lineRule="auto"/>
        <w:tabs>
          <w:tab w:leader="none" w:pos="4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amounts shown represent the range of potential payouts under the 2019 ICP based on Company performance. For 2019, the awards under the ICP were prorated based on the Named Executive Officer’s target incentive, and annual base salary, before and after any salary increases,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6995160" cy="6254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43</w:t>
      </w:r>
    </w:p>
    <w:p>
      <w:pPr>
        <w:sectPr>
          <w:pgSz w:w="11900" w:h="16838" w:orient="portrait"/>
          <w:cols w:equalWidth="0" w:num="1">
            <w:col w:w="11140"/>
          </w:cols>
          <w:pgMar w:left="32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right="280"/>
        <w:spacing w:after="0" w:line="259" w:lineRule="auto"/>
        <w:rPr>
          <w:sz w:val="20"/>
          <w:szCs w:val="20"/>
          <w:color w:val="auto"/>
        </w:rPr>
      </w:pPr>
      <w:r>
        <w:rPr>
          <w:rFonts w:ascii="Arial" w:cs="Arial" w:eastAsia="Arial" w:hAnsi="Arial"/>
          <w:sz w:val="12"/>
          <w:szCs w:val="12"/>
          <w:color w:val="auto"/>
        </w:rPr>
        <w:t>applicable, and the number of days in the year such target incentive and annual base salary was in effect. The actual payouts were determined and paid in February 2020, as shown in the Summary Compensation Table above. See “Elements of Executive Compensation—Short-Term Incentive Compensation Plan (“ICP”) Awards” for a detailed discussion of the 2019 ICP.</w:t>
      </w:r>
    </w:p>
    <w:p>
      <w:pPr>
        <w:spacing w:after="0" w:line="53" w:lineRule="exact"/>
        <w:rPr>
          <w:sz w:val="20"/>
          <w:szCs w:val="20"/>
          <w:color w:val="auto"/>
        </w:rPr>
      </w:pPr>
    </w:p>
    <w:p>
      <w:pPr>
        <w:ind w:left="440" w:right="52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stock options pursuant to the LTI Plan for each Named Executive Officer, each of which will vest, in equal 25% installments over a four-year period, subject to continued employment, on the applicable vesting date, and expire ten years from the date of grant.</w:t>
      </w:r>
    </w:p>
    <w:p>
      <w:pPr>
        <w:spacing w:after="0" w:line="64" w:lineRule="exact"/>
        <w:rPr>
          <w:rFonts w:ascii="Arial" w:cs="Arial" w:eastAsia="Arial" w:hAnsi="Arial"/>
          <w:sz w:val="13"/>
          <w:szCs w:val="13"/>
          <w:color w:val="auto"/>
        </w:rPr>
      </w:pPr>
    </w:p>
    <w:p>
      <w:pPr>
        <w:ind w:left="440" w:right="34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PSUs pursuant to the LTI Plan. The amounts shown represent the threshold, target, and maximum awards for the PSUs. The performance period for the PSUs will end on December 31, 2021.</w:t>
      </w:r>
    </w:p>
    <w:p>
      <w:pPr>
        <w:spacing w:after="0" w:line="64" w:lineRule="exact"/>
        <w:rPr>
          <w:rFonts w:ascii="Arial" w:cs="Arial" w:eastAsia="Arial" w:hAnsi="Arial"/>
          <w:sz w:val="13"/>
          <w:szCs w:val="13"/>
          <w:color w:val="auto"/>
        </w:rPr>
      </w:pPr>
    </w:p>
    <w:p>
      <w:pPr>
        <w:ind w:left="440" w:right="16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PSUs pursuant to the Replacement Plan. The amounts shown represent the threshold, target, and maximum awards for the PSUs. The performance period for the PSUs will end on December 31, 2020.</w:t>
      </w:r>
    </w:p>
    <w:p>
      <w:pPr>
        <w:spacing w:after="0" w:line="64" w:lineRule="exact"/>
        <w:rPr>
          <w:rFonts w:ascii="Arial" w:cs="Arial" w:eastAsia="Arial" w:hAnsi="Arial"/>
          <w:sz w:val="13"/>
          <w:szCs w:val="13"/>
          <w:color w:val="auto"/>
        </w:rPr>
      </w:pPr>
    </w:p>
    <w:p>
      <w:pPr>
        <w:ind w:left="440" w:right="14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RSUs pursuant to the LTI Plan for each Named Executive Officer, which will vest in full on the third anniversary of the grant date, subject to continued employment.</w:t>
      </w:r>
    </w:p>
    <w:p>
      <w:pPr>
        <w:spacing w:after="0" w:line="64" w:lineRule="exact"/>
        <w:rPr>
          <w:rFonts w:ascii="Arial" w:cs="Arial" w:eastAsia="Arial" w:hAnsi="Arial"/>
          <w:sz w:val="13"/>
          <w:szCs w:val="13"/>
          <w:color w:val="auto"/>
        </w:rPr>
      </w:pPr>
    </w:p>
    <w:p>
      <w:pPr>
        <w:ind w:left="440" w:right="2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RSUs pursuant to the Replacement Plan for Messrs. Gili and Bracke, which will vest in full on March 4, 2021, subject to continued service.</w:t>
      </w:r>
    </w:p>
    <w:p>
      <w:pPr>
        <w:spacing w:after="0" w:line="64" w:lineRule="exact"/>
        <w:rPr>
          <w:rFonts w:ascii="Arial" w:cs="Arial" w:eastAsia="Arial" w:hAnsi="Arial"/>
          <w:sz w:val="13"/>
          <w:szCs w:val="13"/>
          <w:color w:val="auto"/>
        </w:rPr>
      </w:pPr>
    </w:p>
    <w:p>
      <w:pPr>
        <w:ind w:left="440" w:right="40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PCUs to Mr. Bracke pursuant to the Replacement Plan. The amounts shown represent the threshold, target, and maximum awards for the PCUs. The performance period for the PCUs will end on December 31, 2020.</w:t>
      </w:r>
    </w:p>
    <w:p>
      <w:pPr>
        <w:spacing w:after="0" w:line="64" w:lineRule="exact"/>
        <w:rPr>
          <w:rFonts w:ascii="Arial" w:cs="Arial" w:eastAsia="Arial" w:hAnsi="Arial"/>
          <w:sz w:val="13"/>
          <w:szCs w:val="13"/>
          <w:color w:val="auto"/>
        </w:rPr>
      </w:pPr>
    </w:p>
    <w:p>
      <w:pPr>
        <w:ind w:left="440" w:right="38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PCUs to Mr. Bracke pursuant to the LTI Plan. The amounts shown represent the threshold, target, and maximum awards for the PCUs. The performance period for the PCUs will end on December 31, 2021.</w:t>
      </w:r>
    </w:p>
    <w:p>
      <w:pPr>
        <w:spacing w:after="0" w:line="64" w:lineRule="exact"/>
        <w:rPr>
          <w:rFonts w:ascii="Arial" w:cs="Arial" w:eastAsia="Arial" w:hAnsi="Arial"/>
          <w:sz w:val="13"/>
          <w:szCs w:val="13"/>
          <w:color w:val="auto"/>
        </w:rPr>
      </w:pPr>
    </w:p>
    <w:p>
      <w:pPr>
        <w:ind w:left="440" w:hanging="324"/>
        <w:spacing w:after="0" w:line="230" w:lineRule="auto"/>
        <w:tabs>
          <w:tab w:leader="none" w:pos="4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On September 6, 2019, the Compensation Committee approved an award of RSUs to Mr. Bracke in connection with his appointment as Interim Chief Financial Officer. The RSUs will vest in full on the second anniversary of the grant date, subject to continued employment.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Narrative Disclosure to Summary Compensation Table and Grants of Plan-Based Awards Table</w:t>
      </w:r>
    </w:p>
    <w:p>
      <w:pPr>
        <w:spacing w:after="0" w:line="213" w:lineRule="exact"/>
        <w:rPr>
          <w:sz w:val="20"/>
          <w:szCs w:val="20"/>
          <w:color w:val="auto"/>
        </w:rPr>
      </w:pPr>
    </w:p>
    <w:p>
      <w:pPr>
        <w:ind w:left="120" w:right="400"/>
        <w:spacing w:after="0" w:line="253" w:lineRule="auto"/>
        <w:rPr>
          <w:sz w:val="20"/>
          <w:szCs w:val="20"/>
          <w:color w:val="auto"/>
        </w:rPr>
      </w:pPr>
      <w:r>
        <w:rPr>
          <w:rFonts w:ascii="Arial" w:cs="Arial" w:eastAsia="Arial" w:hAnsi="Arial"/>
          <w:sz w:val="16"/>
          <w:szCs w:val="16"/>
          <w:color w:val="auto"/>
        </w:rPr>
        <w:t>The material terms of the employment agreements and/or offer letters with each of our Named Executive Officers, as in effect in 2019, are described below. With respect to Mr. Gili, the following describes the material terms of his agreement in effect prior to entering into a separation agreement in September 2019.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President and Chief Executive Officer—Olivier Rabiller.</w:t>
      </w:r>
    </w:p>
    <w:p>
      <w:pPr>
        <w:spacing w:after="0" w:line="196"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On May 2, 2018, Honeywell entered into an offer letter with Mr. Rabiller appointing him as President and Chief Executive Officer of the Company, which became effective upon the completion of the Spin-Off. The letter provides Mr. Rabiller with an annual base salary of $889,786 and an annual cash incentive target opportunity under the ICP equal to 100% of his annual base salary, which was increased to 125% in February 2019 after taking into consideration industry and market data, mix of target compensation for Mr. Rabiller, and other elements of his compensation.</w:t>
      </w:r>
    </w:p>
    <w:p>
      <w:pPr>
        <w:spacing w:after="0" w:line="162"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Additionally, under the offer letter, Mr. Rabiller is eligible for an annual grant of equity awards with an initial target opportunity of 325% of annual base salary, which was increased to 350% in April 2019 to further align his target compensation opportunity with the competitive market. Mr. Rabiller’s annual equity award will be determined by the Board and will be based on his individual performance. Further, in connection with the successful completion of the Spin-Off and pursuant to his offer letter, Mr. Rabiller received a grant of Company RSUs valued at $4,300,000, which vests in two equal installments on each of the third and fourth anniversaries of the Spin-Off, subject to continued employment through each vesting date.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Mr. Rabiller is eligible to receive vacation benefits in accordance with Company policy.</w:t>
      </w:r>
    </w:p>
    <w:p>
      <w:pPr>
        <w:spacing w:after="0" w:line="181"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In the event of Mr. Rabiller’s involuntary termination of employment without cause, he will be entitled to certain payments, as described under “Summary of Potential Payments and Benefits—Termination Events” below. Mr. Rabiller’s offer of employment is also contingent upon his execution of the Company’s intellectual property and non-competition agreements, which include two-year post-termination non-competition and non-solicitation restrictions and customary confidentiality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44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Senior Vice President and Chief Financial Officer—Alessandro Gili.</w:t>
      </w:r>
    </w:p>
    <w:p>
      <w:pPr>
        <w:spacing w:after="0" w:line="209"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In September 2019, we entered into a separation agreement with Mr. Gili as described under “Summary of Potential Payments and Benefits—Termination Events” below. Prior to entering into this separation agreement, Mr. Gili was party to an employment agreement under which he served as Senior Vice President and Chief Financial Officer of the Company. The agreement provided Mr. Gili with an annual base salary of $542,054 and an annual cash incentive target opportunity under the ICP equal to 75% of his annual base salary, which was increased to 80% in February 2019 after taking into consideration industry and market data, mix of target compensation for Mr. Gili, and other elements of his compensation.</w:t>
      </w:r>
    </w:p>
    <w:p>
      <w:pPr>
        <w:spacing w:after="0" w:line="16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Additionally, under the employment agreement, Mr. Gili was eligible for an annual grant of equity awards with an initial target opportunity of 182% of annual base salary. Mr. Gili’s annual equity award was to be determined by the Board. Further, in connection with the successful completion of the Spin-Off and pursuant to his employment agreement, Mr. Gili received a grant of Company RSUs valued at $1,479,806, which was scheduled to vest in two equal installments on each of the third and fourth anniversaries of the grant date, subject to continued employment through each vesting date. Mr. Gili also was granted 12,300 Honeywell RSUs, which was scheduled to vest in two equal installments on each of the first and second anniversaries of the grant date, subject to continued employment through each vesting date.</w:t>
      </w:r>
    </w:p>
    <w:p>
      <w:pPr>
        <w:spacing w:after="0" w:line="164" w:lineRule="exact"/>
        <w:rPr>
          <w:sz w:val="20"/>
          <w:szCs w:val="20"/>
          <w:color w:val="auto"/>
        </w:rPr>
      </w:pPr>
    </w:p>
    <w:p>
      <w:pPr>
        <w:ind w:left="120" w:right="780"/>
        <w:spacing w:after="0" w:line="260" w:lineRule="auto"/>
        <w:rPr>
          <w:sz w:val="20"/>
          <w:szCs w:val="20"/>
          <w:color w:val="auto"/>
        </w:rPr>
      </w:pPr>
      <w:r>
        <w:rPr>
          <w:rFonts w:ascii="Arial" w:cs="Arial" w:eastAsia="Arial" w:hAnsi="Arial"/>
          <w:sz w:val="16"/>
          <w:szCs w:val="16"/>
          <w:color w:val="auto"/>
        </w:rPr>
        <w:t>In addition, Mr. Gili was eligible to receive vacation benefits, a cash car allowance and relocation assistance in connection with his relocation to Switzerland, each, in accordance with Company policy.</w:t>
      </w:r>
    </w:p>
    <w:p>
      <w:pPr>
        <w:spacing w:after="0" w:line="168"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The employment agreement also provided Mr. Gili with certain payments upon a qualifying termination of employment, as described under “Summary of Potential Payments and Benefits—Termination Events”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Interim Chief Financial Officer—Peter Bracke.</w:t>
      </w:r>
    </w:p>
    <w:p>
      <w:pPr>
        <w:spacing w:after="0" w:line="196"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On September 15, 2015, Honeywell Technologies Sàrl, a subsidiary of Honeywell, entered into an employment agreement with Mr. Bracke appointing him as ECC Vice President and CFO. The agreement was amended in September 2019 when Mr. Bracke was appointed as our Interim Chief Financial Officer.</w:t>
      </w:r>
    </w:p>
    <w:p>
      <w:pPr>
        <w:spacing w:after="0" w:line="348"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The amended agreement provides Mr. Bracke with an annual base salary of CHF 445,593 (equal to approximately $448,301) and an annual cash incentive target opportunity under the ICP equal to 60% of his annual base salary. The amended agreement provides that Mr. Bracke’s annual base salary and target bonus will revert to the pre-appointment amounts (annual base salary of CHF 363,960 (equal to approximately $366,172) and a target bonus opportunity equal to 40% of base salary) when Mr. Bracke ceases to serve as Interim Chief Financial Officer.</w:t>
      </w:r>
    </w:p>
    <w:p>
      <w:pPr>
        <w:spacing w:after="0" w:line="17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Mr. Bracke is eligible for an annual grant of equity awards with an initial target opportunity of 100% of annual base salary, Mr. Bracke’s annual equity award will be determined by the Board. Additionally, under the amended employment agreement, Mr. Bracke received a restricted stock unit award valued at $200,000. The award will vest in full on the second anniversary of the grant date, subject to Mr. Bracke’s continued employment through such date.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Mr. Bracke is eligible to receive vacation benefits in accordance with Company policy.</w:t>
      </w:r>
    </w:p>
    <w:p>
      <w:pPr>
        <w:spacing w:after="0" w:line="181"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In the event of Mr. Bracke’s involuntary termination of employment without cause, he will be entitled to certain payments, as described under “Summary of Potential Payments and Benefits—Termination Events” below.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Other Named Executive Officers—Craig Balis, Thierry Mabru, and Jérôme Maironi.</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Honeywell entered into offer letters with each of Messrs. Balis, Mabru, and Maironi.</w:t>
      </w:r>
    </w:p>
    <w:p>
      <w:pPr>
        <w:spacing w:after="0" w:line="181"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auto"/>
        </w:rPr>
        <w:t>The offer letters for Messrs. Balis, Mabru, and Maironi each provide for an annual base salary of $409,097, $414,211, and $460,234, respectively, and an annual cash incentive target opportunity under the ICP equal to 55%, 55% and 60% of the executive’s annual base salary,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45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Additionally, under the offer letters, each of Messrs. Balis, Mabru, and Maironi is eligible for an annual grant of equity awards with an initial target opportunity of 200%, 160% and 189%, respectively, of the executive’s annual base salary. Annual equity awards will be determined by the Board and are based on the executive’s individual performance.</w:t>
      </w:r>
    </w:p>
    <w:p>
      <w:pPr>
        <w:spacing w:after="0" w:line="17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Under the offer letters and in connection with the successful completion of the Spin-Off, each of Messrs. Balis, Mabru, and Maironi also received grants of Company RSUs valued at $800,000 for Messrs. Balis and Mabru and $1,000,000 for Mr. Maironi. The awards vest in two equal installments on each of the third and fourth anniversaries of the Spin-Off, subject to continued employment through each vesting date.</w:t>
      </w:r>
    </w:p>
    <w:p>
      <w:pPr>
        <w:spacing w:after="0" w:line="161"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auto"/>
        </w:rPr>
        <w:t>In addition, Messrs. Balis, Mabru, and Maironi are eligible to receive vacation benefits in accordance with Company policy. Further, Mr. Maironi is also entitled to relocation assistance in connection with his relocation to Switzerland in accordance with Company policy.</w:t>
      </w:r>
    </w:p>
    <w:p>
      <w:pPr>
        <w:spacing w:after="0" w:line="155" w:lineRule="exact"/>
        <w:rPr>
          <w:sz w:val="20"/>
          <w:szCs w:val="20"/>
          <w:color w:val="auto"/>
        </w:rPr>
      </w:pPr>
    </w:p>
    <w:p>
      <w:pPr>
        <w:ind w:left="120" w:right="220"/>
        <w:spacing w:after="0" w:line="251" w:lineRule="auto"/>
        <w:rPr>
          <w:sz w:val="20"/>
          <w:szCs w:val="20"/>
          <w:color w:val="auto"/>
        </w:rPr>
      </w:pPr>
      <w:r>
        <w:rPr>
          <w:rFonts w:ascii="Arial" w:cs="Arial" w:eastAsia="Arial" w:hAnsi="Arial"/>
          <w:sz w:val="16"/>
          <w:szCs w:val="16"/>
          <w:color w:val="auto"/>
        </w:rPr>
        <w:t>In the event of Messrs. Balis, Mabru, or Maironi’s involuntary termination of employment without cause, they will be entitled to certain payments, as described under “Summary of Potential Payments and Benefits—Termination Events” below. The offer letters for Messrs. Balis, Mabru and Maironi are also contingent upon the execution of the Company’s intellectual property and non-competition agreements, which include two-year post-termination non-competition and non-solicitation provisions and customary confidentiality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61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46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OUTSTANDING EQUITY AWARDS AT 2019 FISCAL YEAR-END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all outstanding Company equity awards held by the named executive officers as of December 31, 2019:</w:t>
      </w: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Option Awards</w:t>
            </w:r>
          </w:p>
        </w:tc>
        <w:tc>
          <w:tcPr>
            <w:tcW w:w="6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color w:val="auto"/>
              </w:rPr>
              <w:t>Stock Awards</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vMerge w:val="restart"/>
          </w:tcPr>
          <w:p>
            <w:pPr>
              <w:jc w:val="center"/>
              <w:ind w:right="33"/>
              <w:spacing w:after="0"/>
              <w:rPr>
                <w:sz w:val="20"/>
                <w:szCs w:val="20"/>
                <w:color w:val="auto"/>
              </w:rPr>
            </w:pPr>
            <w:r>
              <w:rPr>
                <w:rFonts w:ascii="Arial" w:cs="Arial" w:eastAsia="Arial" w:hAnsi="Arial"/>
                <w:sz w:val="13"/>
                <w:szCs w:val="13"/>
                <w:color w:val="auto"/>
              </w:rPr>
              <w:t>Equity</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Incentive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00" w:type="dxa"/>
            <w:vAlign w:val="bottom"/>
          </w:tcPr>
          <w:p>
            <w:pPr>
              <w:jc w:val="center"/>
              <w:ind w:left="93"/>
              <w:spacing w:after="0" w:line="135" w:lineRule="exact"/>
              <w:rPr>
                <w:sz w:val="20"/>
                <w:szCs w:val="20"/>
                <w:color w:val="auto"/>
              </w:rPr>
            </w:pPr>
            <w:r>
              <w:rPr>
                <w:rFonts w:ascii="Arial" w:cs="Arial" w:eastAsia="Arial" w:hAnsi="Arial"/>
                <w:sz w:val="13"/>
                <w:szCs w:val="13"/>
                <w:color w:val="auto"/>
                <w:w w:val="99"/>
              </w:rPr>
              <w:t>Plan</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ind w:right="33"/>
              <w:spacing w:after="0"/>
              <w:rPr>
                <w:sz w:val="20"/>
                <w:szCs w:val="20"/>
                <w:color w:val="auto"/>
              </w:rPr>
            </w:pPr>
            <w:r>
              <w:rPr>
                <w:rFonts w:ascii="Arial" w:cs="Arial" w:eastAsia="Arial" w:hAnsi="Arial"/>
                <w:sz w:val="13"/>
                <w:szCs w:val="13"/>
                <w:color w:val="auto"/>
              </w:rPr>
              <w:t>Incentive</w:t>
            </w:r>
          </w:p>
        </w:tc>
        <w:tc>
          <w:tcPr>
            <w:tcW w:w="900" w:type="dxa"/>
            <w:vAlign w:val="bottom"/>
          </w:tcPr>
          <w:p>
            <w:pPr>
              <w:jc w:val="center"/>
              <w:ind w:left="113"/>
              <w:spacing w:after="0"/>
              <w:rPr>
                <w:sz w:val="20"/>
                <w:szCs w:val="20"/>
                <w:color w:val="auto"/>
              </w:rPr>
            </w:pPr>
            <w:r>
              <w:rPr>
                <w:rFonts w:ascii="Arial" w:cs="Arial" w:eastAsia="Arial" w:hAnsi="Arial"/>
                <w:sz w:val="13"/>
                <w:szCs w:val="13"/>
                <w:color w:val="auto"/>
              </w:rPr>
              <w:t>Awards:</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ind w:right="33"/>
              <w:spacing w:after="0"/>
              <w:rPr>
                <w:sz w:val="20"/>
                <w:szCs w:val="20"/>
                <w:color w:val="auto"/>
              </w:rPr>
            </w:pPr>
            <w:r>
              <w:rPr>
                <w:rFonts w:ascii="Arial" w:cs="Arial" w:eastAsia="Arial" w:hAnsi="Arial"/>
                <w:sz w:val="13"/>
                <w:szCs w:val="13"/>
                <w:color w:val="auto"/>
                <w:w w:val="99"/>
              </w:rPr>
              <w:t>Plan</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Market or</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ind w:right="13"/>
              <w:spacing w:after="0"/>
              <w:rPr>
                <w:sz w:val="20"/>
                <w:szCs w:val="20"/>
                <w:color w:val="auto"/>
              </w:rPr>
            </w:pPr>
            <w:r>
              <w:rPr>
                <w:rFonts w:ascii="Arial" w:cs="Arial" w:eastAsia="Arial" w:hAnsi="Arial"/>
                <w:sz w:val="13"/>
                <w:szCs w:val="13"/>
                <w:color w:val="auto"/>
              </w:rPr>
              <w:t>Awards:</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Payout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ind w:right="33"/>
              <w:spacing w:after="0"/>
              <w:rPr>
                <w:sz w:val="20"/>
                <w:szCs w:val="20"/>
                <w:color w:val="auto"/>
              </w:rPr>
            </w:pPr>
            <w:r>
              <w:rPr>
                <w:rFonts w:ascii="Arial" w:cs="Arial" w:eastAsia="Arial" w:hAnsi="Arial"/>
                <w:sz w:val="13"/>
                <w:szCs w:val="13"/>
                <w:color w:val="auto"/>
              </w:rPr>
              <w:t>Number of</w:t>
            </w:r>
          </w:p>
        </w:tc>
        <w:tc>
          <w:tcPr>
            <w:tcW w:w="900" w:type="dxa"/>
            <w:vAlign w:val="bottom"/>
          </w:tcPr>
          <w:p>
            <w:pPr>
              <w:jc w:val="center"/>
              <w:ind w:left="113"/>
              <w:spacing w:after="0"/>
              <w:rPr>
                <w:sz w:val="20"/>
                <w:szCs w:val="20"/>
                <w:color w:val="auto"/>
              </w:rPr>
            </w:pPr>
            <w:r>
              <w:rPr>
                <w:rFonts w:ascii="Arial" w:cs="Arial" w:eastAsia="Arial" w:hAnsi="Arial"/>
                <w:sz w:val="13"/>
                <w:szCs w:val="13"/>
                <w:color w:val="auto"/>
              </w:rPr>
              <w:t>Value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jc w:val="center"/>
              <w:ind w:right="13"/>
              <w:spacing w:after="0"/>
              <w:rPr>
                <w:sz w:val="20"/>
                <w:szCs w:val="20"/>
                <w:color w:val="auto"/>
              </w:rPr>
            </w:pPr>
            <w:r>
              <w:rPr>
                <w:rFonts w:ascii="Arial" w:cs="Arial" w:eastAsia="Arial" w:hAnsi="Arial"/>
                <w:sz w:val="13"/>
                <w:szCs w:val="13"/>
                <w:color w:val="auto"/>
              </w:rPr>
              <w:t>Unearned</w:t>
            </w:r>
          </w:p>
        </w:tc>
        <w:tc>
          <w:tcPr>
            <w:tcW w:w="900" w:type="dxa"/>
            <w:vAlign w:val="bottom"/>
          </w:tcPr>
          <w:p>
            <w:pPr>
              <w:jc w:val="center"/>
              <w:ind w:left="113"/>
              <w:spacing w:after="0"/>
              <w:rPr>
                <w:sz w:val="20"/>
                <w:szCs w:val="20"/>
                <w:color w:val="auto"/>
              </w:rPr>
            </w:pPr>
            <w:r>
              <w:rPr>
                <w:rFonts w:ascii="Arial" w:cs="Arial" w:eastAsia="Arial" w:hAnsi="Arial"/>
                <w:sz w:val="13"/>
                <w:szCs w:val="13"/>
                <w:color w:val="auto"/>
              </w:rPr>
              <w:t>Unearned</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center"/>
              <w:ind w:left="34"/>
              <w:spacing w:after="0"/>
              <w:rPr>
                <w:sz w:val="20"/>
                <w:szCs w:val="20"/>
                <w:color w:val="auto"/>
              </w:rPr>
            </w:pPr>
            <w:r>
              <w:rPr>
                <w:rFonts w:ascii="Arial" w:cs="Arial" w:eastAsia="Arial" w:hAnsi="Arial"/>
                <w:sz w:val="13"/>
                <w:szCs w:val="13"/>
                <w:color w:val="auto"/>
              </w:rPr>
              <w:t>Market</w:t>
            </w:r>
          </w:p>
        </w:tc>
        <w:tc>
          <w:tcPr>
            <w:tcW w:w="1000" w:type="dxa"/>
            <w:vAlign w:val="bottom"/>
          </w:tcPr>
          <w:p>
            <w:pPr>
              <w:jc w:val="center"/>
              <w:ind w:right="33"/>
              <w:spacing w:after="0"/>
              <w:rPr>
                <w:sz w:val="20"/>
                <w:szCs w:val="20"/>
                <w:color w:val="auto"/>
              </w:rPr>
            </w:pPr>
            <w:r>
              <w:rPr>
                <w:rFonts w:ascii="Arial" w:cs="Arial" w:eastAsia="Arial" w:hAnsi="Arial"/>
                <w:sz w:val="13"/>
                <w:szCs w:val="13"/>
                <w:color w:val="auto"/>
              </w:rPr>
              <w:t>Shares,</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Shares,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Value</w:t>
            </w:r>
          </w:p>
        </w:tc>
        <w:tc>
          <w:tcPr>
            <w:tcW w:w="1000" w:type="dxa"/>
            <w:vAlign w:val="bottom"/>
          </w:tcPr>
          <w:p>
            <w:pPr>
              <w:jc w:val="center"/>
              <w:ind w:right="33"/>
              <w:spacing w:after="0"/>
              <w:rPr>
                <w:sz w:val="20"/>
                <w:szCs w:val="20"/>
                <w:color w:val="auto"/>
              </w:rPr>
            </w:pPr>
            <w:r>
              <w:rPr>
                <w:rFonts w:ascii="Arial" w:cs="Arial" w:eastAsia="Arial" w:hAnsi="Arial"/>
                <w:sz w:val="13"/>
                <w:szCs w:val="13"/>
                <w:color w:val="auto"/>
              </w:rPr>
              <w:t>Units or</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Units, or</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jc w:val="center"/>
              <w:ind w:right="33"/>
              <w:spacing w:after="0"/>
              <w:rPr>
                <w:sz w:val="20"/>
                <w:szCs w:val="20"/>
                <w:color w:val="auto"/>
              </w:rPr>
            </w:pPr>
            <w:r>
              <w:rPr>
                <w:rFonts w:ascii="Arial" w:cs="Arial" w:eastAsia="Arial" w:hAnsi="Arial"/>
                <w:sz w:val="13"/>
                <w:szCs w:val="13"/>
                <w:color w:val="auto"/>
              </w:rPr>
              <w:t>Number of</w:t>
            </w:r>
          </w:p>
        </w:tc>
        <w:tc>
          <w:tcPr>
            <w:tcW w:w="1460" w:type="dxa"/>
            <w:vAlign w:val="bottom"/>
          </w:tcPr>
          <w:p>
            <w:pPr>
              <w:jc w:val="center"/>
              <w:ind w:right="273"/>
              <w:spacing w:after="0"/>
              <w:rPr>
                <w:sz w:val="20"/>
                <w:szCs w:val="20"/>
                <w:color w:val="auto"/>
              </w:rPr>
            </w:pPr>
            <w:r>
              <w:rPr>
                <w:rFonts w:ascii="Arial" w:cs="Arial" w:eastAsia="Arial" w:hAnsi="Arial"/>
                <w:sz w:val="13"/>
                <w:szCs w:val="13"/>
                <w:color w:val="auto"/>
              </w:rPr>
              <w:t>Number of</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73"/>
              <w:spacing w:after="0"/>
              <w:rPr>
                <w:sz w:val="20"/>
                <w:szCs w:val="20"/>
                <w:color w:val="auto"/>
              </w:rPr>
            </w:pPr>
            <w:r>
              <w:rPr>
                <w:rFonts w:ascii="Arial" w:cs="Arial" w:eastAsia="Arial" w:hAnsi="Arial"/>
                <w:sz w:val="13"/>
                <w:szCs w:val="13"/>
                <w:color w:val="auto"/>
              </w:rPr>
              <w:t>Number of</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of Shares</w:t>
            </w:r>
          </w:p>
        </w:tc>
        <w:tc>
          <w:tcPr>
            <w:tcW w:w="1000" w:type="dxa"/>
            <w:vAlign w:val="bottom"/>
          </w:tcPr>
          <w:p>
            <w:pPr>
              <w:jc w:val="center"/>
              <w:ind w:right="33"/>
              <w:spacing w:after="0"/>
              <w:rPr>
                <w:sz w:val="20"/>
                <w:szCs w:val="20"/>
                <w:color w:val="auto"/>
              </w:rPr>
            </w:pPr>
            <w:r>
              <w:rPr>
                <w:rFonts w:ascii="Arial" w:cs="Arial" w:eastAsia="Arial" w:hAnsi="Arial"/>
                <w:sz w:val="13"/>
                <w:szCs w:val="13"/>
                <w:color w:val="auto"/>
              </w:rPr>
              <w:t>Other</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Other</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jc w:val="center"/>
              <w:ind w:right="33"/>
              <w:spacing w:after="0" w:line="148" w:lineRule="exact"/>
              <w:rPr>
                <w:sz w:val="20"/>
                <w:szCs w:val="20"/>
                <w:color w:val="auto"/>
              </w:rPr>
            </w:pPr>
            <w:r>
              <w:rPr>
                <w:rFonts w:ascii="Arial" w:cs="Arial" w:eastAsia="Arial" w:hAnsi="Arial"/>
                <w:sz w:val="13"/>
                <w:szCs w:val="13"/>
                <w:color w:val="auto"/>
              </w:rPr>
              <w:t>Securities</w:t>
            </w:r>
          </w:p>
        </w:tc>
        <w:tc>
          <w:tcPr>
            <w:tcW w:w="1460" w:type="dxa"/>
            <w:vAlign w:val="bottom"/>
          </w:tcPr>
          <w:p>
            <w:pPr>
              <w:jc w:val="center"/>
              <w:ind w:right="273"/>
              <w:spacing w:after="0" w:line="148" w:lineRule="exact"/>
              <w:rPr>
                <w:sz w:val="20"/>
                <w:szCs w:val="20"/>
                <w:color w:val="auto"/>
              </w:rPr>
            </w:pPr>
            <w:r>
              <w:rPr>
                <w:rFonts w:ascii="Arial" w:cs="Arial" w:eastAsia="Arial" w:hAnsi="Arial"/>
                <w:sz w:val="13"/>
                <w:szCs w:val="13"/>
                <w:color w:val="auto"/>
              </w:rPr>
              <w:t>Securities</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73"/>
              <w:spacing w:after="0" w:line="148" w:lineRule="exact"/>
              <w:rPr>
                <w:sz w:val="20"/>
                <w:szCs w:val="20"/>
                <w:color w:val="auto"/>
              </w:rPr>
            </w:pPr>
            <w:r>
              <w:rPr>
                <w:rFonts w:ascii="Arial" w:cs="Arial" w:eastAsia="Arial" w:hAnsi="Arial"/>
                <w:sz w:val="13"/>
                <w:szCs w:val="13"/>
                <w:color w:val="auto"/>
              </w:rPr>
              <w:t>Shares or</w:t>
            </w:r>
          </w:p>
        </w:tc>
        <w:tc>
          <w:tcPr>
            <w:tcW w:w="1060" w:type="dxa"/>
            <w:vAlign w:val="bottom"/>
          </w:tcPr>
          <w:p>
            <w:pPr>
              <w:jc w:val="center"/>
              <w:ind w:left="54"/>
              <w:spacing w:after="0" w:line="148" w:lineRule="exact"/>
              <w:rPr>
                <w:sz w:val="20"/>
                <w:szCs w:val="20"/>
                <w:color w:val="auto"/>
              </w:rPr>
            </w:pPr>
            <w:r>
              <w:rPr>
                <w:rFonts w:ascii="Arial" w:cs="Arial" w:eastAsia="Arial" w:hAnsi="Arial"/>
                <w:sz w:val="13"/>
                <w:szCs w:val="13"/>
                <w:color w:val="auto"/>
              </w:rPr>
              <w:t>or Units of</w:t>
            </w:r>
          </w:p>
        </w:tc>
        <w:tc>
          <w:tcPr>
            <w:tcW w:w="1000" w:type="dxa"/>
            <w:vAlign w:val="bottom"/>
          </w:tcPr>
          <w:p>
            <w:pPr>
              <w:jc w:val="center"/>
              <w:ind w:right="33"/>
              <w:spacing w:after="0" w:line="148" w:lineRule="exact"/>
              <w:rPr>
                <w:sz w:val="20"/>
                <w:szCs w:val="20"/>
                <w:color w:val="auto"/>
              </w:rPr>
            </w:pPr>
            <w:r>
              <w:rPr>
                <w:rFonts w:ascii="Arial" w:cs="Arial" w:eastAsia="Arial" w:hAnsi="Arial"/>
                <w:sz w:val="13"/>
                <w:szCs w:val="13"/>
                <w:color w:val="auto"/>
              </w:rPr>
              <w:t>Rights</w:t>
            </w:r>
          </w:p>
        </w:tc>
        <w:tc>
          <w:tcPr>
            <w:tcW w:w="900" w:type="dxa"/>
            <w:vAlign w:val="bottom"/>
          </w:tcPr>
          <w:p>
            <w:pPr>
              <w:jc w:val="center"/>
              <w:ind w:left="93"/>
              <w:spacing w:after="0" w:line="148" w:lineRule="exact"/>
              <w:rPr>
                <w:sz w:val="20"/>
                <w:szCs w:val="20"/>
                <w:color w:val="auto"/>
              </w:rPr>
            </w:pPr>
            <w:r>
              <w:rPr>
                <w:rFonts w:ascii="Arial" w:cs="Arial" w:eastAsia="Arial" w:hAnsi="Arial"/>
                <w:sz w:val="13"/>
                <w:szCs w:val="13"/>
                <w:color w:val="auto"/>
              </w:rPr>
              <w:t>Rights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jc w:val="center"/>
              <w:ind w:right="53"/>
              <w:spacing w:after="0"/>
              <w:rPr>
                <w:sz w:val="20"/>
                <w:szCs w:val="20"/>
                <w:color w:val="auto"/>
              </w:rPr>
            </w:pPr>
            <w:r>
              <w:rPr>
                <w:rFonts w:ascii="Arial" w:cs="Arial" w:eastAsia="Arial" w:hAnsi="Arial"/>
                <w:sz w:val="13"/>
                <w:szCs w:val="13"/>
                <w:color w:val="auto"/>
              </w:rPr>
              <w:t>Underlying</w:t>
            </w:r>
          </w:p>
        </w:tc>
        <w:tc>
          <w:tcPr>
            <w:tcW w:w="1460" w:type="dxa"/>
            <w:vAlign w:val="bottom"/>
          </w:tcPr>
          <w:p>
            <w:pPr>
              <w:jc w:val="center"/>
              <w:ind w:right="273"/>
              <w:spacing w:after="0"/>
              <w:rPr>
                <w:sz w:val="20"/>
                <w:szCs w:val="20"/>
                <w:color w:val="auto"/>
              </w:rPr>
            </w:pPr>
            <w:r>
              <w:rPr>
                <w:rFonts w:ascii="Arial" w:cs="Arial" w:eastAsia="Arial" w:hAnsi="Arial"/>
                <w:sz w:val="13"/>
                <w:szCs w:val="13"/>
                <w:color w:val="auto"/>
              </w:rPr>
              <w:t>Underlying</w:t>
            </w:r>
          </w:p>
        </w:tc>
        <w:tc>
          <w:tcPr>
            <w:tcW w:w="660" w:type="dxa"/>
            <w:vAlign w:val="bottom"/>
          </w:tcPr>
          <w:p>
            <w:pPr>
              <w:jc w:val="center"/>
              <w:ind w:right="73"/>
              <w:spacing w:after="0"/>
              <w:rPr>
                <w:sz w:val="20"/>
                <w:szCs w:val="20"/>
                <w:color w:val="auto"/>
              </w:rPr>
            </w:pPr>
            <w:r>
              <w:rPr>
                <w:rFonts w:ascii="Arial" w:cs="Arial" w:eastAsia="Arial" w:hAnsi="Arial"/>
                <w:sz w:val="13"/>
                <w:szCs w:val="13"/>
                <w:color w:val="auto"/>
              </w:rPr>
              <w:t>Option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73"/>
              <w:spacing w:after="0"/>
              <w:rPr>
                <w:sz w:val="20"/>
                <w:szCs w:val="20"/>
                <w:color w:val="auto"/>
              </w:rPr>
            </w:pPr>
            <w:r>
              <w:rPr>
                <w:rFonts w:ascii="Arial" w:cs="Arial" w:eastAsia="Arial" w:hAnsi="Arial"/>
                <w:sz w:val="13"/>
                <w:szCs w:val="13"/>
                <w:color w:val="auto"/>
              </w:rPr>
              <w:t>Units of</w:t>
            </w:r>
          </w:p>
        </w:tc>
        <w:tc>
          <w:tcPr>
            <w:tcW w:w="1060" w:type="dxa"/>
            <w:vAlign w:val="bottom"/>
          </w:tcPr>
          <w:p>
            <w:pPr>
              <w:jc w:val="center"/>
              <w:ind w:left="34"/>
              <w:spacing w:after="0"/>
              <w:rPr>
                <w:sz w:val="20"/>
                <w:szCs w:val="20"/>
                <w:color w:val="auto"/>
              </w:rPr>
            </w:pPr>
            <w:r>
              <w:rPr>
                <w:rFonts w:ascii="Arial" w:cs="Arial" w:eastAsia="Arial" w:hAnsi="Arial"/>
                <w:sz w:val="13"/>
                <w:szCs w:val="13"/>
                <w:color w:val="auto"/>
              </w:rPr>
              <w:t>Stock That</w:t>
            </w:r>
          </w:p>
        </w:tc>
        <w:tc>
          <w:tcPr>
            <w:tcW w:w="1000" w:type="dxa"/>
            <w:vAlign w:val="bottom"/>
          </w:tcPr>
          <w:p>
            <w:pPr>
              <w:jc w:val="center"/>
              <w:ind w:right="33"/>
              <w:spacing w:after="0"/>
              <w:rPr>
                <w:sz w:val="20"/>
                <w:szCs w:val="20"/>
                <w:color w:val="auto"/>
              </w:rPr>
            </w:pPr>
            <w:r>
              <w:rPr>
                <w:rFonts w:ascii="Arial" w:cs="Arial" w:eastAsia="Arial" w:hAnsi="Arial"/>
                <w:sz w:val="13"/>
                <w:szCs w:val="13"/>
                <w:color w:val="auto"/>
              </w:rPr>
              <w:t>That Have</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w w:val="99"/>
              </w:rPr>
              <w:t>That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jc w:val="center"/>
              <w:ind w:right="33"/>
              <w:spacing w:after="0" w:line="148" w:lineRule="exact"/>
              <w:rPr>
                <w:sz w:val="20"/>
                <w:szCs w:val="20"/>
                <w:color w:val="auto"/>
              </w:rPr>
            </w:pPr>
            <w:r>
              <w:rPr>
                <w:rFonts w:ascii="Arial" w:cs="Arial" w:eastAsia="Arial" w:hAnsi="Arial"/>
                <w:sz w:val="13"/>
                <w:szCs w:val="13"/>
                <w:color w:val="auto"/>
              </w:rPr>
              <w:t>Unexercised</w:t>
            </w:r>
          </w:p>
        </w:tc>
        <w:tc>
          <w:tcPr>
            <w:tcW w:w="1460" w:type="dxa"/>
            <w:vAlign w:val="bottom"/>
          </w:tcPr>
          <w:p>
            <w:pPr>
              <w:jc w:val="center"/>
              <w:ind w:right="273"/>
              <w:spacing w:after="0" w:line="148" w:lineRule="exact"/>
              <w:rPr>
                <w:sz w:val="20"/>
                <w:szCs w:val="20"/>
                <w:color w:val="auto"/>
              </w:rPr>
            </w:pPr>
            <w:r>
              <w:rPr>
                <w:rFonts w:ascii="Arial" w:cs="Arial" w:eastAsia="Arial" w:hAnsi="Arial"/>
                <w:sz w:val="13"/>
                <w:szCs w:val="13"/>
                <w:color w:val="auto"/>
              </w:rPr>
              <w:t>Unexercised</w:t>
            </w:r>
          </w:p>
        </w:tc>
        <w:tc>
          <w:tcPr>
            <w:tcW w:w="660" w:type="dxa"/>
            <w:vAlign w:val="bottom"/>
          </w:tcPr>
          <w:p>
            <w:pPr>
              <w:jc w:val="center"/>
              <w:ind w:right="73"/>
              <w:spacing w:after="0" w:line="148" w:lineRule="exact"/>
              <w:rPr>
                <w:sz w:val="20"/>
                <w:szCs w:val="20"/>
                <w:color w:val="auto"/>
              </w:rPr>
            </w:pPr>
            <w:r>
              <w:rPr>
                <w:rFonts w:ascii="Arial" w:cs="Arial" w:eastAsia="Arial" w:hAnsi="Arial"/>
                <w:sz w:val="13"/>
                <w:szCs w:val="13"/>
                <w:color w:val="auto"/>
              </w:rPr>
              <w:t>Exercise</w:t>
            </w:r>
          </w:p>
        </w:tc>
        <w:tc>
          <w:tcPr>
            <w:tcW w:w="1000" w:type="dxa"/>
            <w:vAlign w:val="bottom"/>
            <w:gridSpan w:val="2"/>
          </w:tcPr>
          <w:p>
            <w:pPr>
              <w:jc w:val="center"/>
              <w:ind w:right="140"/>
              <w:spacing w:after="0" w:line="148" w:lineRule="exact"/>
              <w:rPr>
                <w:sz w:val="20"/>
                <w:szCs w:val="20"/>
                <w:color w:val="auto"/>
              </w:rPr>
            </w:pPr>
            <w:r>
              <w:rPr>
                <w:rFonts w:ascii="Arial" w:cs="Arial" w:eastAsia="Arial" w:hAnsi="Arial"/>
                <w:sz w:val="13"/>
                <w:szCs w:val="13"/>
                <w:color w:val="auto"/>
                <w:w w:val="99"/>
              </w:rPr>
              <w:t>Option</w:t>
            </w:r>
          </w:p>
        </w:tc>
        <w:tc>
          <w:tcPr>
            <w:tcW w:w="900" w:type="dxa"/>
            <w:vAlign w:val="bottom"/>
          </w:tcPr>
          <w:p>
            <w:pPr>
              <w:jc w:val="center"/>
              <w:ind w:right="193"/>
              <w:spacing w:after="0" w:line="148" w:lineRule="exact"/>
              <w:rPr>
                <w:sz w:val="20"/>
                <w:szCs w:val="20"/>
                <w:color w:val="auto"/>
              </w:rPr>
            </w:pPr>
            <w:r>
              <w:rPr>
                <w:rFonts w:ascii="Arial" w:cs="Arial" w:eastAsia="Arial" w:hAnsi="Arial"/>
                <w:sz w:val="13"/>
                <w:szCs w:val="13"/>
                <w:color w:val="auto"/>
              </w:rPr>
              <w:t>Stock That</w:t>
            </w:r>
          </w:p>
        </w:tc>
        <w:tc>
          <w:tcPr>
            <w:tcW w:w="1060" w:type="dxa"/>
            <w:vAlign w:val="bottom"/>
          </w:tcPr>
          <w:p>
            <w:pPr>
              <w:jc w:val="center"/>
              <w:ind w:left="34"/>
              <w:spacing w:after="0" w:line="148" w:lineRule="exact"/>
              <w:rPr>
                <w:sz w:val="20"/>
                <w:szCs w:val="20"/>
                <w:color w:val="auto"/>
              </w:rPr>
            </w:pPr>
            <w:r>
              <w:rPr>
                <w:rFonts w:ascii="Arial" w:cs="Arial" w:eastAsia="Arial" w:hAnsi="Arial"/>
                <w:sz w:val="13"/>
                <w:szCs w:val="13"/>
                <w:color w:val="auto"/>
              </w:rPr>
              <w:t>Have Not</w:t>
            </w:r>
          </w:p>
        </w:tc>
        <w:tc>
          <w:tcPr>
            <w:tcW w:w="1000" w:type="dxa"/>
            <w:vAlign w:val="bottom"/>
          </w:tcPr>
          <w:p>
            <w:pPr>
              <w:jc w:val="center"/>
              <w:ind w:right="33"/>
              <w:spacing w:after="0" w:line="148" w:lineRule="exact"/>
              <w:rPr>
                <w:sz w:val="20"/>
                <w:szCs w:val="20"/>
                <w:color w:val="auto"/>
              </w:rPr>
            </w:pPr>
            <w:r>
              <w:rPr>
                <w:rFonts w:ascii="Arial" w:cs="Arial" w:eastAsia="Arial" w:hAnsi="Arial"/>
                <w:sz w:val="13"/>
                <w:szCs w:val="13"/>
                <w:color w:val="auto"/>
              </w:rPr>
              <w:t>Not</w:t>
            </w:r>
          </w:p>
        </w:tc>
        <w:tc>
          <w:tcPr>
            <w:tcW w:w="900" w:type="dxa"/>
            <w:vAlign w:val="bottom"/>
          </w:tcPr>
          <w:p>
            <w:pPr>
              <w:jc w:val="center"/>
              <w:ind w:left="113"/>
              <w:spacing w:after="0" w:line="148" w:lineRule="exact"/>
              <w:rPr>
                <w:sz w:val="20"/>
                <w:szCs w:val="20"/>
                <w:color w:val="auto"/>
              </w:rPr>
            </w:pPr>
            <w:r>
              <w:rPr>
                <w:rFonts w:ascii="Arial" w:cs="Arial" w:eastAsia="Arial" w:hAnsi="Arial"/>
                <w:sz w:val="13"/>
                <w:szCs w:val="13"/>
                <w:color w:val="auto"/>
              </w:rPr>
              <w:t>Have Not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jc w:val="center"/>
              <w:ind w:right="33"/>
              <w:spacing w:after="0"/>
              <w:rPr>
                <w:sz w:val="20"/>
                <w:szCs w:val="20"/>
                <w:color w:val="auto"/>
              </w:rPr>
            </w:pPr>
            <w:r>
              <w:rPr>
                <w:rFonts w:ascii="Arial" w:cs="Arial" w:eastAsia="Arial" w:hAnsi="Arial"/>
                <w:sz w:val="13"/>
                <w:szCs w:val="13"/>
                <w:color w:val="auto"/>
              </w:rPr>
              <w:t>Options (#)</w:t>
            </w:r>
          </w:p>
        </w:tc>
        <w:tc>
          <w:tcPr>
            <w:tcW w:w="1460" w:type="dxa"/>
            <w:vAlign w:val="bottom"/>
          </w:tcPr>
          <w:p>
            <w:pPr>
              <w:jc w:val="center"/>
              <w:ind w:right="273"/>
              <w:spacing w:after="0"/>
              <w:rPr>
                <w:sz w:val="20"/>
                <w:szCs w:val="20"/>
                <w:color w:val="auto"/>
              </w:rPr>
            </w:pPr>
            <w:r>
              <w:rPr>
                <w:rFonts w:ascii="Arial" w:cs="Arial" w:eastAsia="Arial" w:hAnsi="Arial"/>
                <w:sz w:val="13"/>
                <w:szCs w:val="13"/>
                <w:color w:val="auto"/>
              </w:rPr>
              <w:t>Options (#)</w:t>
            </w:r>
          </w:p>
        </w:tc>
        <w:tc>
          <w:tcPr>
            <w:tcW w:w="660" w:type="dxa"/>
            <w:vAlign w:val="bottom"/>
          </w:tcPr>
          <w:p>
            <w:pPr>
              <w:jc w:val="center"/>
              <w:ind w:right="93"/>
              <w:spacing w:after="0"/>
              <w:rPr>
                <w:sz w:val="20"/>
                <w:szCs w:val="20"/>
                <w:color w:val="auto"/>
              </w:rPr>
            </w:pPr>
            <w:r>
              <w:rPr>
                <w:rFonts w:ascii="Arial" w:cs="Arial" w:eastAsia="Arial" w:hAnsi="Arial"/>
                <w:sz w:val="13"/>
                <w:szCs w:val="13"/>
                <w:color w:val="auto"/>
              </w:rPr>
              <w:t>Price</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color w:val="auto"/>
              </w:rPr>
              <w:t>Expiration</w:t>
            </w:r>
          </w:p>
        </w:tc>
        <w:tc>
          <w:tcPr>
            <w:tcW w:w="900" w:type="dxa"/>
            <w:vAlign w:val="bottom"/>
          </w:tcPr>
          <w:p>
            <w:pPr>
              <w:jc w:val="center"/>
              <w:ind w:right="193"/>
              <w:spacing w:after="0"/>
              <w:rPr>
                <w:sz w:val="20"/>
                <w:szCs w:val="20"/>
                <w:color w:val="auto"/>
              </w:rPr>
            </w:pPr>
            <w:r>
              <w:rPr>
                <w:rFonts w:ascii="Arial" w:cs="Arial" w:eastAsia="Arial" w:hAnsi="Arial"/>
                <w:sz w:val="13"/>
                <w:szCs w:val="13"/>
                <w:color w:val="auto"/>
              </w:rPr>
              <w:t>Have Not</w:t>
            </w:r>
          </w:p>
        </w:tc>
        <w:tc>
          <w:tcPr>
            <w:tcW w:w="1060" w:type="dxa"/>
            <w:vAlign w:val="bottom"/>
          </w:tcPr>
          <w:p>
            <w:pPr>
              <w:jc w:val="center"/>
              <w:ind w:left="34"/>
              <w:spacing w:after="0"/>
              <w:rPr>
                <w:sz w:val="20"/>
                <w:szCs w:val="20"/>
                <w:color w:val="auto"/>
              </w:rPr>
            </w:pPr>
            <w:r>
              <w:rPr>
                <w:rFonts w:ascii="Arial" w:cs="Arial" w:eastAsia="Arial" w:hAnsi="Arial"/>
                <w:sz w:val="13"/>
                <w:szCs w:val="13"/>
                <w:color w:val="auto"/>
              </w:rPr>
              <w:t>Vested ($)</w:t>
            </w:r>
          </w:p>
        </w:tc>
        <w:tc>
          <w:tcPr>
            <w:tcW w:w="1000" w:type="dxa"/>
            <w:vAlign w:val="bottom"/>
          </w:tcPr>
          <w:p>
            <w:pPr>
              <w:jc w:val="center"/>
              <w:ind w:right="33"/>
              <w:spacing w:after="0"/>
              <w:rPr>
                <w:sz w:val="20"/>
                <w:szCs w:val="20"/>
                <w:color w:val="auto"/>
              </w:rPr>
            </w:pPr>
            <w:r>
              <w:rPr>
                <w:rFonts w:ascii="Arial" w:cs="Arial" w:eastAsia="Arial" w:hAnsi="Arial"/>
                <w:sz w:val="13"/>
                <w:szCs w:val="13"/>
                <w:color w:val="auto"/>
              </w:rPr>
              <w:t>Vested</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Vested</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20"/>
                <w:szCs w:val="20"/>
                <w:color w:val="auto"/>
              </w:rPr>
            </w:pPr>
            <w:r>
              <w:rPr>
                <w:rFonts w:ascii="Arial" w:cs="Arial" w:eastAsia="Arial" w:hAnsi="Arial"/>
                <w:sz w:val="13"/>
                <w:szCs w:val="13"/>
                <w:color w:val="auto"/>
              </w:rPr>
              <w:t>Name</w:t>
            </w:r>
          </w:p>
        </w:tc>
        <w:tc>
          <w:tcPr>
            <w:tcW w:w="1840" w:type="dxa"/>
            <w:vAlign w:val="bottom"/>
          </w:tcPr>
          <w:p>
            <w:pPr>
              <w:ind w:left="900"/>
              <w:spacing w:after="0"/>
              <w:rPr>
                <w:sz w:val="20"/>
                <w:szCs w:val="20"/>
                <w:color w:val="auto"/>
              </w:rPr>
            </w:pPr>
            <w:r>
              <w:rPr>
                <w:rFonts w:ascii="Arial" w:cs="Arial" w:eastAsia="Arial" w:hAnsi="Arial"/>
                <w:sz w:val="13"/>
                <w:szCs w:val="13"/>
                <w:color w:val="auto"/>
              </w:rPr>
              <w:t>Grant Date</w:t>
            </w:r>
          </w:p>
        </w:tc>
        <w:tc>
          <w:tcPr>
            <w:tcW w:w="880" w:type="dxa"/>
            <w:vAlign w:val="bottom"/>
          </w:tcPr>
          <w:p>
            <w:pPr>
              <w:jc w:val="center"/>
              <w:ind w:right="33"/>
              <w:spacing w:after="0"/>
              <w:rPr>
                <w:sz w:val="20"/>
                <w:szCs w:val="20"/>
                <w:color w:val="auto"/>
              </w:rPr>
            </w:pPr>
            <w:r>
              <w:rPr>
                <w:rFonts w:ascii="Arial" w:cs="Arial" w:eastAsia="Arial" w:hAnsi="Arial"/>
                <w:sz w:val="13"/>
                <w:szCs w:val="13"/>
                <w:color w:val="auto"/>
              </w:rPr>
              <w:t>Exercisable</w:t>
            </w:r>
          </w:p>
        </w:tc>
        <w:tc>
          <w:tcPr>
            <w:tcW w:w="1460" w:type="dxa"/>
            <w:vAlign w:val="bottom"/>
          </w:tcPr>
          <w:p>
            <w:pPr>
              <w:jc w:val="center"/>
              <w:ind w:right="273"/>
              <w:spacing w:after="0"/>
              <w:rPr>
                <w:sz w:val="20"/>
                <w:szCs w:val="20"/>
                <w:color w:val="auto"/>
              </w:rPr>
            </w:pPr>
            <w:r>
              <w:rPr>
                <w:rFonts w:ascii="Arial" w:cs="Arial" w:eastAsia="Arial" w:hAnsi="Arial"/>
                <w:sz w:val="13"/>
                <w:szCs w:val="13"/>
                <w:color w:val="auto"/>
              </w:rPr>
              <w:t>Unexercisable</w:t>
            </w:r>
          </w:p>
        </w:tc>
        <w:tc>
          <w:tcPr>
            <w:tcW w:w="660" w:type="dxa"/>
            <w:vAlign w:val="bottom"/>
          </w:tcPr>
          <w:p>
            <w:pPr>
              <w:jc w:val="center"/>
              <w:ind w:right="73"/>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rPr>
              <w:t>Date</w:t>
            </w:r>
          </w:p>
        </w:tc>
        <w:tc>
          <w:tcPr>
            <w:tcW w:w="900" w:type="dxa"/>
            <w:vAlign w:val="bottom"/>
          </w:tcPr>
          <w:p>
            <w:pPr>
              <w:jc w:val="center"/>
              <w:ind w:right="173"/>
              <w:spacing w:after="0"/>
              <w:rPr>
                <w:sz w:val="20"/>
                <w:szCs w:val="20"/>
                <w:color w:val="auto"/>
              </w:rPr>
            </w:pPr>
            <w:r>
              <w:rPr>
                <w:rFonts w:ascii="Arial" w:cs="Arial" w:eastAsia="Arial" w:hAnsi="Arial"/>
                <w:sz w:val="13"/>
                <w:szCs w:val="13"/>
                <w:color w:val="auto"/>
              </w:rPr>
              <w:t>Vested (#)</w:t>
            </w:r>
          </w:p>
        </w:tc>
        <w:tc>
          <w:tcPr>
            <w:tcW w:w="1060" w:type="dxa"/>
            <w:vAlign w:val="bottom"/>
          </w:tcPr>
          <w:p>
            <w:pPr>
              <w:jc w:val="center"/>
              <w:ind w:left="54"/>
              <w:spacing w:after="0"/>
              <w:rPr>
                <w:sz w:val="20"/>
                <w:szCs w:val="20"/>
                <w:color w:val="auto"/>
              </w:rPr>
            </w:pPr>
            <w:r>
              <w:rPr>
                <w:rFonts w:ascii="Arial" w:cs="Arial" w:eastAsia="Arial" w:hAnsi="Arial"/>
                <w:sz w:val="11"/>
                <w:szCs w:val="11"/>
                <w:color w:val="auto"/>
              </w:rPr>
              <w:t>(1)</w:t>
            </w:r>
          </w:p>
        </w:tc>
        <w:tc>
          <w:tcPr>
            <w:tcW w:w="1000" w:type="dxa"/>
            <w:vAlign w:val="bottom"/>
          </w:tcPr>
          <w:p>
            <w:pPr>
              <w:jc w:val="center"/>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center"/>
              <w:ind w:left="93"/>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2687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2687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Olivier Rabiller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Craig Balis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100" w:type="dxa"/>
            <w:vAlign w:val="bottom"/>
          </w:tcPr>
          <w:p>
            <w:pPr>
              <w:jc w:val="right"/>
              <w:ind w:right="344"/>
              <w:spacing w:after="0" w:line="136" w:lineRule="exact"/>
              <w:rPr>
                <w:sz w:val="20"/>
                <w:szCs w:val="20"/>
                <w:color w:val="auto"/>
              </w:rPr>
            </w:pPr>
            <w:r>
              <w:rPr>
                <w:rFonts w:ascii="Arial" w:cs="Arial" w:eastAsia="Arial" w:hAnsi="Arial"/>
                <w:sz w:val="15"/>
                <w:szCs w:val="15"/>
                <w:color w:val="auto"/>
                <w:w w:val="98"/>
              </w:rPr>
              <w:t>7/26/2013</w:t>
            </w:r>
          </w:p>
        </w:tc>
        <w:tc>
          <w:tcPr>
            <w:tcW w:w="860" w:type="dxa"/>
            <w:vAlign w:val="bottom"/>
          </w:tcPr>
          <w:p>
            <w:pPr>
              <w:ind w:left="440"/>
              <w:spacing w:after="0" w:line="136"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36"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1"/>
                <w:szCs w:val="11"/>
                <w:color w:val="auto"/>
              </w:rPr>
            </w:pPr>
          </w:p>
        </w:tc>
        <w:tc>
          <w:tcPr>
            <w:tcW w:w="740" w:type="dxa"/>
            <w:vAlign w:val="bottom"/>
          </w:tcPr>
          <w:p>
            <w:pPr>
              <w:jc w:val="right"/>
              <w:ind w:right="84"/>
              <w:spacing w:after="0" w:line="13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04"/>
              <w:spacing w:after="0" w:line="136"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5"/>
                <w:szCs w:val="15"/>
                <w:color w:val="auto"/>
              </w:rPr>
              <w:t>13,684</w:t>
            </w:r>
          </w:p>
        </w:tc>
        <w:tc>
          <w:tcPr>
            <w:tcW w:w="360" w:type="dxa"/>
            <w:vAlign w:val="bottom"/>
            <w:vMerge w:val="restart"/>
          </w:tcPr>
          <w:p>
            <w:pPr>
              <w:spacing w:after="0"/>
              <w:rPr>
                <w:sz w:val="20"/>
                <w:szCs w:val="20"/>
                <w:color w:val="auto"/>
              </w:rPr>
            </w:pPr>
            <w:r>
              <w:rPr>
                <w:rFonts w:ascii="Arial" w:cs="Arial" w:eastAsia="Arial" w:hAnsi="Arial"/>
                <w:sz w:val="13"/>
                <w:szCs w:val="13"/>
                <w:color w:val="auto"/>
              </w:rPr>
              <w:t>(2)</w:t>
            </w:r>
          </w:p>
        </w:tc>
        <w:tc>
          <w:tcPr>
            <w:tcW w:w="1040" w:type="dxa"/>
            <w:vAlign w:val="bottom"/>
          </w:tcPr>
          <w:p>
            <w:pPr>
              <w:jc w:val="right"/>
              <w:ind w:right="124"/>
              <w:spacing w:after="0" w:line="136" w:lineRule="exact"/>
              <w:rPr>
                <w:sz w:val="20"/>
                <w:szCs w:val="20"/>
                <w:color w:val="auto"/>
              </w:rPr>
            </w:pPr>
            <w:r>
              <w:rPr>
                <w:rFonts w:ascii="Arial" w:cs="Arial" w:eastAsia="Arial" w:hAnsi="Arial"/>
                <w:sz w:val="15"/>
                <w:szCs w:val="15"/>
                <w:color w:val="auto"/>
              </w:rPr>
              <w:t>136,703</w:t>
            </w:r>
          </w:p>
        </w:tc>
        <w:tc>
          <w:tcPr>
            <w:tcW w:w="680" w:type="dxa"/>
            <w:vAlign w:val="bottom"/>
          </w:tcPr>
          <w:p>
            <w:pPr>
              <w:jc w:val="right"/>
              <w:spacing w:after="0" w:line="136"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2/25/2016</w:t>
            </w: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8,610</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86,014</w:t>
            </w: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(3)</w:t>
            </w:r>
          </w:p>
        </w:tc>
        <w:tc>
          <w:tcPr>
            <w:tcW w:w="10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7/29/2016</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57,083</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570,259</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(4)</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2/28/2017</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71,477</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714,055</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(5)</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2/28/2017</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24,623</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245,984</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(6)</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2/27/2018</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21,792</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217,702</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(7)</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2/27/2018</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15,150</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151,349</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(7)</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10/1/2018</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232,440</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2,322,076</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(8)</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48,873</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488,241</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(9)</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97,745</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976,473</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vMerge w:val="restart"/>
          </w:tcPr>
          <w:p>
            <w:pPr>
              <w:jc w:val="right"/>
              <w:ind w:right="75"/>
              <w:spacing w:after="0"/>
              <w:rPr>
                <w:sz w:val="20"/>
                <w:szCs w:val="20"/>
                <w:color w:val="auto"/>
              </w:rPr>
            </w:pPr>
            <w:r>
              <w:rPr>
                <w:rFonts w:ascii="Arial" w:cs="Arial" w:eastAsia="Arial" w:hAnsi="Arial"/>
                <w:sz w:val="13"/>
                <w:szCs w:val="13"/>
                <w:color w:val="auto"/>
                <w:w w:val="86"/>
              </w:rPr>
              <w:t>(10)</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7,112</w:t>
            </w:r>
          </w:p>
        </w:tc>
        <w:tc>
          <w:tcPr>
            <w:tcW w:w="360" w:type="dxa"/>
            <w:vAlign w:val="bottom"/>
            <w:vMerge w:val="continue"/>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71,049</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vMerge w:val="restart"/>
          </w:tcPr>
          <w:p>
            <w:pPr>
              <w:jc w:val="right"/>
              <w:ind w:right="75"/>
              <w:spacing w:after="0"/>
              <w:rPr>
                <w:sz w:val="20"/>
                <w:szCs w:val="20"/>
                <w:color w:val="auto"/>
              </w:rPr>
            </w:pPr>
            <w:r>
              <w:rPr>
                <w:rFonts w:ascii="Arial" w:cs="Arial" w:eastAsia="Arial" w:hAnsi="Arial"/>
                <w:sz w:val="13"/>
                <w:szCs w:val="13"/>
                <w:color w:val="auto"/>
                <w:w w:val="86"/>
              </w:rPr>
              <w:t>(11)</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108,554</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16.17</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3/4/2029</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vMerge w:val="continue"/>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vMerge w:val="restart"/>
          </w:tcPr>
          <w:p>
            <w:pPr>
              <w:jc w:val="right"/>
              <w:ind w:right="115"/>
              <w:spacing w:after="0"/>
              <w:rPr>
                <w:sz w:val="20"/>
                <w:szCs w:val="20"/>
                <w:color w:val="auto"/>
              </w:rPr>
            </w:pPr>
            <w:r>
              <w:rPr>
                <w:rFonts w:ascii="Arial" w:cs="Arial" w:eastAsia="Arial" w:hAnsi="Arial"/>
                <w:sz w:val="13"/>
                <w:szCs w:val="13"/>
                <w:color w:val="auto"/>
                <w:w w:val="86"/>
              </w:rPr>
              <w:t>(12)</w:t>
            </w: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rPr>
                <w:sz w:val="20"/>
                <w:szCs w:val="20"/>
                <w:color w:val="auto"/>
              </w:rPr>
            </w:pPr>
            <w:r>
              <w:rPr>
                <w:rFonts w:ascii="Arial" w:cs="Arial" w:eastAsia="Arial" w:hAnsi="Arial"/>
                <w:sz w:val="15"/>
                <w:szCs w:val="15"/>
                <w:color w:val="auto"/>
                <w:w w:val="98"/>
              </w:rPr>
              <w:t>7/26/2013</w:t>
            </w:r>
          </w:p>
        </w:tc>
        <w:tc>
          <w:tcPr>
            <w:tcW w:w="860" w:type="dxa"/>
            <w:vAlign w:val="bottom"/>
            <w:vMerge w:val="restart"/>
          </w:tcPr>
          <w:p>
            <w:pPr>
              <w:ind w:left="4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0" w:type="dxa"/>
            <w:vAlign w:val="bottom"/>
            <w:vMerge w:val="continue"/>
          </w:tcPr>
          <w:p>
            <w:pPr>
              <w:spacing w:after="0"/>
              <w:rPr>
                <w:sz w:val="3"/>
                <w:szCs w:val="3"/>
                <w:color w:val="auto"/>
              </w:rPr>
            </w:pPr>
          </w:p>
        </w:tc>
        <w:tc>
          <w:tcPr>
            <w:tcW w:w="740" w:type="dxa"/>
            <w:vAlign w:val="bottom"/>
            <w:vMerge w:val="restart"/>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22,132</w:t>
            </w:r>
          </w:p>
        </w:tc>
        <w:tc>
          <w:tcPr>
            <w:tcW w:w="360" w:type="dxa"/>
            <w:vAlign w:val="bottom"/>
          </w:tcPr>
          <w:p>
            <w:pPr>
              <w:spacing w:after="0"/>
              <w:rPr>
                <w:sz w:val="3"/>
                <w:szCs w:val="3"/>
                <w:color w:val="auto"/>
              </w:rPr>
            </w:pPr>
          </w:p>
        </w:tc>
        <w:tc>
          <w:tcPr>
            <w:tcW w:w="1040" w:type="dxa"/>
            <w:vAlign w:val="bottom"/>
            <w:vMerge w:val="restart"/>
          </w:tcPr>
          <w:p>
            <w:pPr>
              <w:jc w:val="right"/>
              <w:ind w:right="124"/>
              <w:spacing w:after="0"/>
              <w:rPr>
                <w:sz w:val="20"/>
                <w:szCs w:val="20"/>
                <w:color w:val="auto"/>
              </w:rPr>
            </w:pPr>
            <w:r>
              <w:rPr>
                <w:rFonts w:ascii="Arial" w:cs="Arial" w:eastAsia="Arial" w:hAnsi="Arial"/>
                <w:sz w:val="15"/>
                <w:szCs w:val="15"/>
                <w:color w:val="auto"/>
              </w:rPr>
              <w:t>221,099</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51"/>
        </w:trPr>
        <w:tc>
          <w:tcPr>
            <w:tcW w:w="11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(2)</w:t>
            </w:r>
          </w:p>
        </w:tc>
        <w:tc>
          <w:tcPr>
            <w:tcW w:w="10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2/27/2014</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16,864</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168,471</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(13)</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2/25/2016</w:t>
            </w: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10,328</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103,177</w:t>
            </w: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(3)</w:t>
            </w:r>
          </w:p>
        </w:tc>
        <w:tc>
          <w:tcPr>
            <w:tcW w:w="10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2/28/2017</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16,574</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165,574</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(5)</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2/28/2017</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21,682</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216,603</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(14)</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2/28/2017</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13,990</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139,760</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(5)</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7/27/2017</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18,519</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185,005</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(15)</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2/27/2018</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15,346</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153,307</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(16)</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2/27/2018</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11,314</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113,027</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(17)</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w w:val="98"/>
              </w:rPr>
              <w:t>10/1/2018</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43,250</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432,068</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(8)</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12,413</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124,006</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(9)</w:t>
            </w: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vMerge w:val="continue"/>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24,825</w:t>
            </w:r>
          </w:p>
        </w:tc>
        <w:tc>
          <w:tcPr>
            <w:tcW w:w="360" w:type="dxa"/>
            <w:vAlign w:val="bottom"/>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248,002</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vMerge w:val="restart"/>
          </w:tcPr>
          <w:p>
            <w:pPr>
              <w:jc w:val="right"/>
              <w:ind w:right="75"/>
              <w:spacing w:after="0"/>
              <w:rPr>
                <w:sz w:val="20"/>
                <w:szCs w:val="20"/>
                <w:color w:val="auto"/>
              </w:rPr>
            </w:pPr>
            <w:r>
              <w:rPr>
                <w:rFonts w:ascii="Arial" w:cs="Arial" w:eastAsia="Arial" w:hAnsi="Arial"/>
                <w:sz w:val="13"/>
                <w:szCs w:val="13"/>
                <w:color w:val="auto"/>
                <w:w w:val="86"/>
              </w:rPr>
              <w:t>(10)</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3,865</w:t>
            </w:r>
          </w:p>
        </w:tc>
        <w:tc>
          <w:tcPr>
            <w:tcW w:w="360" w:type="dxa"/>
            <w:vAlign w:val="bottom"/>
            <w:vMerge w:val="continue"/>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38,611</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vMerge w:val="restart"/>
          </w:tcPr>
          <w:p>
            <w:pPr>
              <w:jc w:val="right"/>
              <w:ind w:right="75"/>
              <w:spacing w:after="0"/>
              <w:rPr>
                <w:sz w:val="20"/>
                <w:szCs w:val="20"/>
                <w:color w:val="auto"/>
              </w:rPr>
            </w:pPr>
            <w:r>
              <w:rPr>
                <w:rFonts w:ascii="Arial" w:cs="Arial" w:eastAsia="Arial" w:hAnsi="Arial"/>
                <w:sz w:val="13"/>
                <w:szCs w:val="13"/>
                <w:color w:val="auto"/>
                <w:w w:val="86"/>
              </w:rPr>
              <w:t>(11)</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vMerge w:val="restart"/>
          </w:tcPr>
          <w:p>
            <w:pPr>
              <w:jc w:val="right"/>
              <w:ind w:right="344"/>
              <w:spacing w:after="0" w:line="162" w:lineRule="exact"/>
              <w:rPr>
                <w:sz w:val="20"/>
                <w:szCs w:val="20"/>
                <w:color w:val="auto"/>
              </w:rPr>
            </w:pPr>
            <w:r>
              <w:rPr>
                <w:rFonts w:ascii="Arial" w:cs="Arial" w:eastAsia="Arial" w:hAnsi="Arial"/>
                <w:sz w:val="15"/>
                <w:szCs w:val="15"/>
                <w:color w:val="auto"/>
              </w:rPr>
              <w:t>3/4/2019</w:t>
            </w:r>
          </w:p>
        </w:tc>
        <w:tc>
          <w:tcPr>
            <w:tcW w:w="860" w:type="dxa"/>
            <w:vAlign w:val="bottom"/>
            <w:vMerge w:val="restart"/>
          </w:tcPr>
          <w:p>
            <w:pPr>
              <w:ind w:left="440"/>
              <w:spacing w:after="0" w:line="162" w:lineRule="exact"/>
              <w:rPr>
                <w:sz w:val="20"/>
                <w:szCs w:val="20"/>
                <w:color w:val="auto"/>
              </w:rPr>
            </w:pPr>
            <w:r>
              <w:rPr>
                <w:rFonts w:ascii="Arial" w:cs="Arial" w:eastAsia="Arial" w:hAnsi="Arial"/>
                <w:sz w:val="15"/>
                <w:szCs w:val="15"/>
                <w:color w:val="auto"/>
              </w:rPr>
              <w:t>—</w:t>
            </w:r>
          </w:p>
        </w:tc>
        <w:tc>
          <w:tcPr>
            <w:tcW w:w="8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27,570</w:t>
            </w:r>
          </w:p>
        </w:tc>
        <w:tc>
          <w:tcPr>
            <w:tcW w:w="400" w:type="dxa"/>
            <w:vAlign w:val="bottom"/>
          </w:tcPr>
          <w:p>
            <w:pPr>
              <w:spacing w:after="0"/>
              <w:rPr>
                <w:sz w:val="3"/>
                <w:szCs w:val="3"/>
                <w:color w:val="auto"/>
              </w:rPr>
            </w:pPr>
          </w:p>
        </w:tc>
        <w:tc>
          <w:tcPr>
            <w:tcW w:w="740" w:type="dxa"/>
            <w:vAlign w:val="bottom"/>
            <w:vMerge w:val="restart"/>
          </w:tcPr>
          <w:p>
            <w:pPr>
              <w:jc w:val="right"/>
              <w:ind w:right="84"/>
              <w:spacing w:after="0" w:line="162" w:lineRule="exact"/>
              <w:rPr>
                <w:sz w:val="20"/>
                <w:szCs w:val="20"/>
                <w:color w:val="auto"/>
              </w:rPr>
            </w:pPr>
            <w:r>
              <w:rPr>
                <w:rFonts w:ascii="Arial" w:cs="Arial" w:eastAsia="Arial" w:hAnsi="Arial"/>
                <w:sz w:val="15"/>
                <w:szCs w:val="15"/>
                <w:color w:val="auto"/>
              </w:rPr>
              <w:t>16.17</w:t>
            </w:r>
          </w:p>
        </w:tc>
        <w:tc>
          <w:tcPr>
            <w:tcW w:w="920" w:type="dxa"/>
            <w:vAlign w:val="bottom"/>
            <w:vMerge w:val="restart"/>
          </w:tcPr>
          <w:p>
            <w:pPr>
              <w:jc w:val="right"/>
              <w:ind w:right="104"/>
              <w:spacing w:after="0" w:line="162" w:lineRule="exact"/>
              <w:rPr>
                <w:sz w:val="20"/>
                <w:szCs w:val="20"/>
                <w:color w:val="auto"/>
              </w:rPr>
            </w:pPr>
            <w:r>
              <w:rPr>
                <w:rFonts w:ascii="Arial" w:cs="Arial" w:eastAsia="Arial" w:hAnsi="Arial"/>
                <w:sz w:val="15"/>
                <w:szCs w:val="15"/>
                <w:color w:val="auto"/>
              </w:rPr>
              <w:t>3/4/2026</w:t>
            </w:r>
          </w:p>
        </w:tc>
        <w:tc>
          <w:tcPr>
            <w:tcW w:w="7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3"/>
                <w:szCs w:val="3"/>
                <w:color w:val="auto"/>
              </w:rPr>
            </w:pPr>
          </w:p>
        </w:tc>
        <w:tc>
          <w:tcPr>
            <w:tcW w:w="1040" w:type="dxa"/>
            <w:vAlign w:val="bottom"/>
            <w:vMerge w:val="restart"/>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vMerge w:val="continue"/>
          </w:tcPr>
          <w:p>
            <w:pPr>
              <w:spacing w:after="0"/>
              <w:rPr>
                <w:sz w:val="3"/>
                <w:szCs w:val="3"/>
                <w:color w:val="auto"/>
              </w:rPr>
            </w:pPr>
          </w:p>
        </w:tc>
        <w:tc>
          <w:tcPr>
            <w:tcW w:w="7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vMerge w:val="restart"/>
          </w:tcPr>
          <w:p>
            <w:pPr>
              <w:jc w:val="right"/>
              <w:ind w:right="115"/>
              <w:spacing w:after="0"/>
              <w:rPr>
                <w:sz w:val="20"/>
                <w:szCs w:val="20"/>
                <w:color w:val="auto"/>
              </w:rPr>
            </w:pPr>
            <w:r>
              <w:rPr>
                <w:rFonts w:ascii="Arial" w:cs="Arial" w:eastAsia="Arial" w:hAnsi="Arial"/>
                <w:sz w:val="13"/>
                <w:szCs w:val="13"/>
                <w:color w:val="auto"/>
                <w:w w:val="86"/>
              </w:rPr>
              <w:t>(12)</w:t>
            </w:r>
          </w:p>
        </w:tc>
        <w:tc>
          <w:tcPr>
            <w:tcW w:w="7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1640" w:space="720"/>
            <w:col w:w="87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51"/>
        </w:trPr>
        <w:tc>
          <w:tcPr>
            <w:tcW w:w="2000" w:type="dxa"/>
            <w:vAlign w:val="bottom"/>
            <w:shd w:val="clear" w:color="auto" w:fill="EDEDED"/>
          </w:tcPr>
          <w:p>
            <w:pPr>
              <w:spacing w:after="0"/>
              <w:rPr>
                <w:sz w:val="13"/>
                <w:szCs w:val="13"/>
                <w:color w:val="auto"/>
              </w:rPr>
            </w:pPr>
          </w:p>
        </w:tc>
        <w:tc>
          <w:tcPr>
            <w:tcW w:w="980" w:type="dxa"/>
            <w:vAlign w:val="bottom"/>
            <w:gridSpan w:val="3"/>
            <w:shd w:val="clear" w:color="auto" w:fill="EDEDED"/>
          </w:tcPr>
          <w:p>
            <w:pPr>
              <w:jc w:val="right"/>
              <w:ind w:right="60"/>
              <w:spacing w:after="0" w:line="151" w:lineRule="exact"/>
              <w:rPr>
                <w:sz w:val="20"/>
                <w:szCs w:val="20"/>
                <w:color w:val="auto"/>
              </w:rPr>
            </w:pPr>
            <w:r>
              <w:rPr>
                <w:rFonts w:ascii="Arial" w:cs="Arial" w:eastAsia="Arial" w:hAnsi="Arial"/>
                <w:sz w:val="15"/>
                <w:szCs w:val="15"/>
                <w:color w:val="auto"/>
              </w:rPr>
              <w:t>7/25/2014</w:t>
            </w:r>
          </w:p>
        </w:tc>
        <w:tc>
          <w:tcPr>
            <w:tcW w:w="380" w:type="dxa"/>
            <w:vAlign w:val="bottom"/>
            <w:shd w:val="clear" w:color="auto" w:fill="EDEDED"/>
          </w:tcPr>
          <w:p>
            <w:pPr>
              <w:spacing w:after="0"/>
              <w:rPr>
                <w:sz w:val="13"/>
                <w:szCs w:val="13"/>
                <w:color w:val="auto"/>
              </w:rPr>
            </w:pPr>
          </w:p>
        </w:tc>
        <w:tc>
          <w:tcPr>
            <w:tcW w:w="620" w:type="dxa"/>
            <w:vAlign w:val="bottom"/>
            <w:gridSpan w:val="2"/>
            <w:shd w:val="clear" w:color="auto" w:fill="EDEDED"/>
          </w:tcPr>
          <w:p>
            <w:pPr>
              <w:ind w:left="420"/>
              <w:spacing w:after="0" w:line="151"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13"/>
                <w:szCs w:val="13"/>
                <w:color w:val="auto"/>
              </w:rPr>
            </w:pPr>
          </w:p>
        </w:tc>
        <w:tc>
          <w:tcPr>
            <w:tcW w:w="800" w:type="dxa"/>
            <w:vAlign w:val="bottom"/>
            <w:shd w:val="clear" w:color="auto" w:fill="EDEDED"/>
          </w:tcPr>
          <w:p>
            <w:pPr>
              <w:jc w:val="right"/>
              <w:spacing w:after="0" w:line="151"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13"/>
                <w:szCs w:val="13"/>
                <w:color w:val="auto"/>
              </w:rPr>
            </w:pPr>
          </w:p>
        </w:tc>
        <w:tc>
          <w:tcPr>
            <w:tcW w:w="740" w:type="dxa"/>
            <w:vAlign w:val="bottom"/>
            <w:shd w:val="clear" w:color="auto" w:fill="EDEDED"/>
          </w:tcPr>
          <w:p>
            <w:pPr>
              <w:jc w:val="right"/>
              <w:ind w:right="84"/>
              <w:spacing w:after="0" w:line="151" w:lineRule="exact"/>
              <w:rPr>
                <w:sz w:val="20"/>
                <w:szCs w:val="20"/>
                <w:color w:val="auto"/>
              </w:rPr>
            </w:pPr>
            <w:r>
              <w:rPr>
                <w:rFonts w:ascii="Arial" w:cs="Arial" w:eastAsia="Arial" w:hAnsi="Arial"/>
                <w:sz w:val="15"/>
                <w:szCs w:val="15"/>
                <w:color w:val="auto"/>
              </w:rPr>
              <w:t>—</w:t>
            </w:r>
          </w:p>
        </w:tc>
        <w:tc>
          <w:tcPr>
            <w:tcW w:w="960" w:type="dxa"/>
            <w:vAlign w:val="bottom"/>
            <w:shd w:val="clear" w:color="auto" w:fill="EDEDED"/>
          </w:tcPr>
          <w:p>
            <w:pPr>
              <w:jc w:val="right"/>
              <w:ind w:right="144"/>
              <w:spacing w:after="0" w:line="151" w:lineRule="exact"/>
              <w:rPr>
                <w:sz w:val="20"/>
                <w:szCs w:val="20"/>
                <w:color w:val="auto"/>
              </w:rPr>
            </w:pPr>
            <w:r>
              <w:rPr>
                <w:rFonts w:ascii="Arial" w:cs="Arial" w:eastAsia="Arial" w:hAnsi="Arial"/>
                <w:sz w:val="15"/>
                <w:szCs w:val="15"/>
                <w:color w:val="auto"/>
              </w:rPr>
              <w:t>—</w:t>
            </w:r>
          </w:p>
        </w:tc>
        <w:tc>
          <w:tcPr>
            <w:tcW w:w="680" w:type="dxa"/>
            <w:vAlign w:val="bottom"/>
            <w:shd w:val="clear" w:color="auto" w:fill="EDEDED"/>
          </w:tcPr>
          <w:p>
            <w:pPr>
              <w:jc w:val="right"/>
              <w:spacing w:after="0" w:line="151" w:lineRule="exact"/>
              <w:rPr>
                <w:sz w:val="20"/>
                <w:szCs w:val="20"/>
                <w:color w:val="auto"/>
              </w:rPr>
            </w:pPr>
            <w:r>
              <w:rPr>
                <w:rFonts w:ascii="Arial" w:cs="Arial" w:eastAsia="Arial" w:hAnsi="Arial"/>
                <w:sz w:val="15"/>
                <w:szCs w:val="15"/>
                <w:color w:val="auto"/>
              </w:rPr>
              <w:t>11,753</w:t>
            </w: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(18)</w:t>
            </w:r>
          </w:p>
        </w:tc>
        <w:tc>
          <w:tcPr>
            <w:tcW w:w="960" w:type="dxa"/>
            <w:vAlign w:val="bottom"/>
            <w:shd w:val="clear" w:color="auto" w:fill="EDEDED"/>
          </w:tcPr>
          <w:p>
            <w:pPr>
              <w:jc w:val="right"/>
              <w:ind w:right="124"/>
              <w:spacing w:after="0" w:line="151" w:lineRule="exact"/>
              <w:rPr>
                <w:sz w:val="20"/>
                <w:szCs w:val="20"/>
                <w:color w:val="auto"/>
              </w:rPr>
            </w:pPr>
            <w:r>
              <w:rPr>
                <w:rFonts w:ascii="Arial" w:cs="Arial" w:eastAsia="Arial" w:hAnsi="Arial"/>
                <w:sz w:val="15"/>
                <w:szCs w:val="15"/>
                <w:color w:val="auto"/>
              </w:rPr>
              <w:t>117,412</w:t>
            </w:r>
          </w:p>
        </w:tc>
        <w:tc>
          <w:tcPr>
            <w:tcW w:w="680" w:type="dxa"/>
            <w:vAlign w:val="bottom"/>
            <w:shd w:val="clear" w:color="auto" w:fill="EDEDED"/>
          </w:tcPr>
          <w:p>
            <w:pPr>
              <w:jc w:val="right"/>
              <w:spacing w:after="0" w:line="151" w:lineRule="exact"/>
              <w:rPr>
                <w:sz w:val="20"/>
                <w:szCs w:val="20"/>
                <w:color w:val="auto"/>
              </w:rPr>
            </w:pPr>
            <w:r>
              <w:rPr>
                <w:rFonts w:ascii="Arial" w:cs="Arial" w:eastAsia="Arial" w:hAnsi="Arial"/>
                <w:sz w:val="15"/>
                <w:szCs w:val="15"/>
                <w:color w:val="auto"/>
              </w:rPr>
              <w:t>—</w:t>
            </w:r>
          </w:p>
        </w:tc>
        <w:tc>
          <w:tcPr>
            <w:tcW w:w="360" w:type="dxa"/>
            <w:vAlign w:val="bottom"/>
            <w:shd w:val="clear" w:color="auto" w:fill="EDEDED"/>
          </w:tcPr>
          <w:p>
            <w:pPr>
              <w:spacing w:after="0"/>
              <w:rPr>
                <w:sz w:val="13"/>
                <w:szCs w:val="13"/>
                <w:color w:val="auto"/>
              </w:rPr>
            </w:pPr>
          </w:p>
        </w:tc>
        <w:tc>
          <w:tcPr>
            <w:tcW w:w="760" w:type="dxa"/>
            <w:vAlign w:val="bottom"/>
            <w:shd w:val="clear" w:color="auto" w:fill="EDEDED"/>
          </w:tcPr>
          <w:p>
            <w:pPr>
              <w:jc w:val="right"/>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740" w:type="dxa"/>
            <w:vAlign w:val="bottom"/>
            <w:gridSpan w:val="2"/>
            <w:vMerge w:val="restart"/>
            <w:shd w:val="clear" w:color="auto" w:fill="EDEDED"/>
          </w:tcPr>
          <w:p>
            <w:pPr>
              <w:jc w:val="right"/>
              <w:ind w:right="60"/>
              <w:spacing w:after="0" w:line="162" w:lineRule="exact"/>
              <w:rPr>
                <w:sz w:val="20"/>
                <w:szCs w:val="20"/>
                <w:color w:val="auto"/>
              </w:rPr>
            </w:pPr>
            <w:r>
              <w:rPr>
                <w:rFonts w:ascii="Arial" w:cs="Arial" w:eastAsia="Arial" w:hAnsi="Arial"/>
                <w:sz w:val="15"/>
                <w:szCs w:val="15"/>
                <w:color w:val="auto"/>
                <w:w w:val="98"/>
              </w:rPr>
              <w:t>2/25/2016</w:t>
            </w:r>
          </w:p>
        </w:tc>
        <w:tc>
          <w:tcPr>
            <w:tcW w:w="380" w:type="dxa"/>
            <w:vAlign w:val="bottom"/>
            <w:shd w:val="clear" w:color="auto" w:fill="EDEDED"/>
          </w:tcPr>
          <w:p>
            <w:pPr>
              <w:spacing w:after="0"/>
              <w:rPr>
                <w:sz w:val="3"/>
                <w:szCs w:val="3"/>
                <w:color w:val="auto"/>
              </w:rPr>
            </w:pPr>
          </w:p>
        </w:tc>
        <w:tc>
          <w:tcPr>
            <w:tcW w:w="560" w:type="dxa"/>
            <w:vAlign w:val="bottom"/>
            <w:shd w:val="clear" w:color="auto" w:fill="EDEDED"/>
          </w:tcPr>
          <w:p>
            <w:pPr>
              <w:spacing w:after="0"/>
              <w:rPr>
                <w:sz w:val="3"/>
                <w:szCs w:val="3"/>
                <w:color w:val="auto"/>
              </w:rPr>
            </w:pP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0" w:type="dxa"/>
            <w:vAlign w:val="bottom"/>
            <w:shd w:val="clear" w:color="auto" w:fill="EDEDED"/>
          </w:tcPr>
          <w:p>
            <w:pPr>
              <w:spacing w:after="0"/>
              <w:rPr>
                <w:sz w:val="3"/>
                <w:szCs w:val="3"/>
                <w:color w:val="auto"/>
              </w:rPr>
            </w:pPr>
          </w:p>
        </w:tc>
        <w:tc>
          <w:tcPr>
            <w:tcW w:w="400" w:type="dxa"/>
            <w:vAlign w:val="bottom"/>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6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12,050</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120,380</w:t>
            </w:r>
          </w:p>
        </w:tc>
        <w:tc>
          <w:tcPr>
            <w:tcW w:w="680" w:type="dxa"/>
            <w:vAlign w:val="bottom"/>
            <w:shd w:val="clear" w:color="auto" w:fill="EDEDED"/>
          </w:tcPr>
          <w:p>
            <w:pPr>
              <w:spacing w:after="0"/>
              <w:rPr>
                <w:sz w:val="3"/>
                <w:szCs w:val="3"/>
                <w:color w:val="auto"/>
              </w:rPr>
            </w:pPr>
          </w:p>
        </w:tc>
        <w:tc>
          <w:tcPr>
            <w:tcW w:w="360" w:type="dxa"/>
            <w:vAlign w:val="bottom"/>
            <w:shd w:val="clear" w:color="auto" w:fill="EDEDED"/>
          </w:tcPr>
          <w:p>
            <w:pPr>
              <w:spacing w:after="0"/>
              <w:rPr>
                <w:sz w:val="3"/>
                <w:szCs w:val="3"/>
                <w:color w:val="auto"/>
              </w:rPr>
            </w:pPr>
          </w:p>
        </w:tc>
        <w:tc>
          <w:tcPr>
            <w:tcW w:w="76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740" w:type="dxa"/>
            <w:vAlign w:val="bottom"/>
            <w:gridSpan w:val="2"/>
            <w:vMerge w:val="continue"/>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560" w:type="dxa"/>
            <w:vAlign w:val="bottom"/>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shd w:val="clear" w:color="auto" w:fill="EDEDED"/>
          </w:tcPr>
          <w:p>
            <w:pPr>
              <w:spacing w:after="0"/>
              <w:rPr>
                <w:sz w:val="10"/>
                <w:szCs w:val="10"/>
                <w:color w:val="auto"/>
              </w:rPr>
            </w:pPr>
          </w:p>
        </w:tc>
        <w:tc>
          <w:tcPr>
            <w:tcW w:w="96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(3)</w:t>
            </w:r>
          </w:p>
        </w:tc>
        <w:tc>
          <w:tcPr>
            <w:tcW w:w="960" w:type="dxa"/>
            <w:vAlign w:val="bottom"/>
            <w:vMerge w:val="continue"/>
            <w:shd w:val="clear" w:color="auto" w:fill="EDEDED"/>
          </w:tcPr>
          <w:p>
            <w:pPr>
              <w:spacing w:after="0"/>
              <w:rPr>
                <w:sz w:val="10"/>
                <w:szCs w:val="10"/>
                <w:color w:val="auto"/>
              </w:rPr>
            </w:pPr>
          </w:p>
        </w:tc>
        <w:tc>
          <w:tcPr>
            <w:tcW w:w="680" w:type="dxa"/>
            <w:vAlign w:val="bottom"/>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76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2/28/2017</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18,518</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184,995</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(5)</w:t>
            </w: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2/28/2017</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24,453</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244,285</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(14)</w:t>
            </w: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2/28/2017</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15,669</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156,533</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(6)</w:t>
            </w: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2/27/2018</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14,528</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145,135</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2000" w:type="dxa"/>
            <w:vAlign w:val="bottom"/>
            <w:vMerge w:val="restart"/>
            <w:shd w:val="clear" w:color="auto" w:fill="EDEDED"/>
          </w:tcPr>
          <w:p>
            <w:pPr>
              <w:ind w:left="60"/>
              <w:spacing w:after="0"/>
              <w:rPr>
                <w:sz w:val="20"/>
                <w:szCs w:val="20"/>
                <w:color w:val="auto"/>
              </w:rPr>
            </w:pPr>
            <w:r>
              <w:rPr>
                <w:rFonts w:ascii="Arial" w:cs="Arial" w:eastAsia="Arial" w:hAnsi="Arial"/>
                <w:sz w:val="15"/>
                <w:szCs w:val="15"/>
                <w:color w:val="auto"/>
              </w:rPr>
              <w:t>Jérôme Maironi</w:t>
            </w: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(16)</w:t>
            </w: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vMerge w:val="continue"/>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w w:val="98"/>
              </w:rPr>
              <w:t>2/27/2018</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ind w:left="420"/>
              <w:spacing w:after="0"/>
              <w:rPr>
                <w:sz w:val="20"/>
                <w:szCs w:val="20"/>
                <w:color w:val="auto"/>
              </w:rPr>
            </w:pPr>
            <w:r>
              <w:rPr>
                <w:rFonts w:ascii="Arial" w:cs="Arial" w:eastAsia="Arial" w:hAnsi="Arial"/>
                <w:sz w:val="15"/>
                <w:szCs w:val="15"/>
                <w:color w:val="auto"/>
                <w:w w:val="79"/>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10,739</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rPr>
                <w:sz w:val="20"/>
                <w:szCs w:val="20"/>
                <w:color w:val="auto"/>
              </w:rPr>
            </w:pPr>
            <w:r>
              <w:rPr>
                <w:rFonts w:ascii="Arial" w:cs="Arial" w:eastAsia="Arial" w:hAnsi="Arial"/>
                <w:sz w:val="15"/>
                <w:szCs w:val="15"/>
                <w:color w:val="auto"/>
              </w:rPr>
              <w:t>107,283</w:t>
            </w:r>
          </w:p>
        </w:tc>
        <w:tc>
          <w:tcPr>
            <w:tcW w:w="68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38"/>
        </w:trPr>
        <w:tc>
          <w:tcPr>
            <w:tcW w:w="2000" w:type="dxa"/>
            <w:vAlign w:val="bottom"/>
            <w:vMerge w:val="continue"/>
            <w:shd w:val="clear" w:color="auto" w:fill="EDEDED"/>
          </w:tcPr>
          <w:p>
            <w:pPr>
              <w:spacing w:after="0"/>
              <w:rPr>
                <w:sz w:val="11"/>
                <w:szCs w:val="11"/>
                <w:color w:val="auto"/>
              </w:rPr>
            </w:pPr>
          </w:p>
        </w:tc>
        <w:tc>
          <w:tcPr>
            <w:tcW w:w="240" w:type="dxa"/>
            <w:vAlign w:val="bottom"/>
            <w:shd w:val="clear" w:color="auto" w:fill="EDEDED"/>
          </w:tcPr>
          <w:p>
            <w:pPr>
              <w:spacing w:after="0"/>
              <w:rPr>
                <w:sz w:val="11"/>
                <w:szCs w:val="11"/>
                <w:color w:val="auto"/>
              </w:rPr>
            </w:pPr>
          </w:p>
        </w:tc>
        <w:tc>
          <w:tcPr>
            <w:tcW w:w="680" w:type="dxa"/>
            <w:vAlign w:val="bottom"/>
            <w:vMerge w:val="continue"/>
            <w:shd w:val="clear" w:color="auto" w:fill="EDEDED"/>
          </w:tcPr>
          <w:p>
            <w:pPr>
              <w:spacing w:after="0"/>
              <w:rPr>
                <w:sz w:val="11"/>
                <w:szCs w:val="11"/>
                <w:color w:val="auto"/>
              </w:rPr>
            </w:pPr>
          </w:p>
        </w:tc>
        <w:tc>
          <w:tcPr>
            <w:tcW w:w="60" w:type="dxa"/>
            <w:vAlign w:val="bottom"/>
            <w:shd w:val="clear" w:color="auto" w:fill="EDEDED"/>
          </w:tcPr>
          <w:p>
            <w:pPr>
              <w:spacing w:after="0"/>
              <w:rPr>
                <w:sz w:val="11"/>
                <w:szCs w:val="11"/>
                <w:color w:val="auto"/>
              </w:rPr>
            </w:pPr>
          </w:p>
        </w:tc>
        <w:tc>
          <w:tcPr>
            <w:tcW w:w="380" w:type="dxa"/>
            <w:vAlign w:val="bottom"/>
            <w:shd w:val="clear" w:color="auto" w:fill="EDEDED"/>
          </w:tcPr>
          <w:p>
            <w:pPr>
              <w:spacing w:after="0"/>
              <w:rPr>
                <w:sz w:val="11"/>
                <w:szCs w:val="11"/>
                <w:color w:val="auto"/>
              </w:rPr>
            </w:pPr>
          </w:p>
        </w:tc>
        <w:tc>
          <w:tcPr>
            <w:tcW w:w="560" w:type="dxa"/>
            <w:vAlign w:val="bottom"/>
            <w:vMerge w:val="continue"/>
            <w:shd w:val="clear" w:color="auto" w:fill="EDEDED"/>
          </w:tcPr>
          <w:p>
            <w:pPr>
              <w:spacing w:after="0"/>
              <w:rPr>
                <w:sz w:val="11"/>
                <w:szCs w:val="11"/>
                <w:color w:val="auto"/>
              </w:rPr>
            </w:pPr>
          </w:p>
        </w:tc>
        <w:tc>
          <w:tcPr>
            <w:tcW w:w="60" w:type="dxa"/>
            <w:vAlign w:val="bottom"/>
            <w:shd w:val="clear" w:color="auto" w:fill="EDEDED"/>
          </w:tcPr>
          <w:p>
            <w:pPr>
              <w:spacing w:after="0"/>
              <w:rPr>
                <w:sz w:val="11"/>
                <w:szCs w:val="11"/>
                <w:color w:val="auto"/>
              </w:rPr>
            </w:pPr>
          </w:p>
        </w:tc>
        <w:tc>
          <w:tcPr>
            <w:tcW w:w="260" w:type="dxa"/>
            <w:vAlign w:val="bottom"/>
            <w:shd w:val="clear" w:color="auto" w:fill="EDEDED"/>
          </w:tcPr>
          <w:p>
            <w:pPr>
              <w:spacing w:after="0"/>
              <w:rPr>
                <w:sz w:val="11"/>
                <w:szCs w:val="11"/>
                <w:color w:val="auto"/>
              </w:rPr>
            </w:pPr>
          </w:p>
        </w:tc>
        <w:tc>
          <w:tcPr>
            <w:tcW w:w="800" w:type="dxa"/>
            <w:vAlign w:val="bottom"/>
            <w:vMerge w:val="continue"/>
            <w:shd w:val="clear" w:color="auto" w:fill="EDEDED"/>
          </w:tcPr>
          <w:p>
            <w:pPr>
              <w:spacing w:after="0"/>
              <w:rPr>
                <w:sz w:val="11"/>
                <w:szCs w:val="11"/>
                <w:color w:val="auto"/>
              </w:rPr>
            </w:pPr>
          </w:p>
        </w:tc>
        <w:tc>
          <w:tcPr>
            <w:tcW w:w="400" w:type="dxa"/>
            <w:vAlign w:val="bottom"/>
            <w:shd w:val="clear" w:color="auto" w:fill="EDEDED"/>
          </w:tcPr>
          <w:p>
            <w:pPr>
              <w:spacing w:after="0"/>
              <w:rPr>
                <w:sz w:val="11"/>
                <w:szCs w:val="11"/>
                <w:color w:val="auto"/>
              </w:rPr>
            </w:pPr>
          </w:p>
        </w:tc>
        <w:tc>
          <w:tcPr>
            <w:tcW w:w="740" w:type="dxa"/>
            <w:vAlign w:val="bottom"/>
            <w:vMerge w:val="continue"/>
            <w:shd w:val="clear" w:color="auto" w:fill="EDEDED"/>
          </w:tcPr>
          <w:p>
            <w:pPr>
              <w:spacing w:after="0"/>
              <w:rPr>
                <w:sz w:val="11"/>
                <w:szCs w:val="11"/>
                <w:color w:val="auto"/>
              </w:rPr>
            </w:pPr>
          </w:p>
        </w:tc>
        <w:tc>
          <w:tcPr>
            <w:tcW w:w="960" w:type="dxa"/>
            <w:vAlign w:val="bottom"/>
            <w:vMerge w:val="continue"/>
            <w:shd w:val="clear" w:color="auto" w:fill="EDEDED"/>
          </w:tcPr>
          <w:p>
            <w:pPr>
              <w:spacing w:after="0"/>
              <w:rPr>
                <w:sz w:val="11"/>
                <w:szCs w:val="11"/>
                <w:color w:val="auto"/>
              </w:rPr>
            </w:pPr>
          </w:p>
        </w:tc>
        <w:tc>
          <w:tcPr>
            <w:tcW w:w="680" w:type="dxa"/>
            <w:vAlign w:val="bottom"/>
            <w:vMerge w:val="continue"/>
            <w:shd w:val="clear" w:color="auto" w:fill="EDEDED"/>
          </w:tcPr>
          <w:p>
            <w:pPr>
              <w:spacing w:after="0"/>
              <w:rPr>
                <w:sz w:val="11"/>
                <w:szCs w:val="11"/>
                <w:color w:val="auto"/>
              </w:rPr>
            </w:pPr>
          </w:p>
        </w:tc>
        <w:tc>
          <w:tcPr>
            <w:tcW w:w="440" w:type="dxa"/>
            <w:vAlign w:val="bottom"/>
            <w:shd w:val="clear" w:color="auto" w:fill="EDEDED"/>
          </w:tcPr>
          <w:p>
            <w:pPr>
              <w:spacing w:after="0" w:line="138" w:lineRule="exact"/>
              <w:rPr>
                <w:sz w:val="20"/>
                <w:szCs w:val="20"/>
                <w:color w:val="auto"/>
              </w:rPr>
            </w:pPr>
            <w:r>
              <w:rPr>
                <w:rFonts w:ascii="Arial" w:cs="Arial" w:eastAsia="Arial" w:hAnsi="Arial"/>
                <w:sz w:val="13"/>
                <w:szCs w:val="13"/>
                <w:color w:val="auto"/>
              </w:rPr>
              <w:t>(16)</w:t>
            </w:r>
          </w:p>
        </w:tc>
        <w:tc>
          <w:tcPr>
            <w:tcW w:w="960" w:type="dxa"/>
            <w:vAlign w:val="bottom"/>
            <w:vMerge w:val="continue"/>
            <w:shd w:val="clear" w:color="auto" w:fill="EDEDED"/>
          </w:tcPr>
          <w:p>
            <w:pPr>
              <w:spacing w:after="0"/>
              <w:rPr>
                <w:sz w:val="11"/>
                <w:szCs w:val="11"/>
                <w:color w:val="auto"/>
              </w:rPr>
            </w:pPr>
          </w:p>
        </w:tc>
        <w:tc>
          <w:tcPr>
            <w:tcW w:w="680" w:type="dxa"/>
            <w:vAlign w:val="bottom"/>
            <w:vMerge w:val="continue"/>
            <w:shd w:val="clear" w:color="auto" w:fill="EDEDED"/>
          </w:tcPr>
          <w:p>
            <w:pPr>
              <w:spacing w:after="0"/>
              <w:rPr>
                <w:sz w:val="11"/>
                <w:szCs w:val="11"/>
                <w:color w:val="auto"/>
              </w:rPr>
            </w:pPr>
          </w:p>
        </w:tc>
        <w:tc>
          <w:tcPr>
            <w:tcW w:w="360" w:type="dxa"/>
            <w:vAlign w:val="bottom"/>
            <w:shd w:val="clear" w:color="auto" w:fill="EDEDED"/>
          </w:tcPr>
          <w:p>
            <w:pPr>
              <w:spacing w:after="0"/>
              <w:rPr>
                <w:sz w:val="11"/>
                <w:szCs w:val="11"/>
                <w:color w:val="auto"/>
              </w:rPr>
            </w:pPr>
          </w:p>
        </w:tc>
        <w:tc>
          <w:tcPr>
            <w:tcW w:w="76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00" w:type="dxa"/>
            <w:vAlign w:val="bottom"/>
            <w:shd w:val="clear" w:color="auto" w:fill="EDEDED"/>
          </w:tcPr>
          <w:p>
            <w:pPr>
              <w:spacing w:after="0"/>
              <w:rPr>
                <w:sz w:val="2"/>
                <w:szCs w:val="2"/>
                <w:color w:val="auto"/>
              </w:rPr>
            </w:pPr>
          </w:p>
        </w:tc>
        <w:tc>
          <w:tcPr>
            <w:tcW w:w="240" w:type="dxa"/>
            <w:vAlign w:val="bottom"/>
            <w:shd w:val="clear" w:color="auto" w:fill="EDEDED"/>
          </w:tcPr>
          <w:p>
            <w:pPr>
              <w:spacing w:after="0"/>
              <w:rPr>
                <w:sz w:val="2"/>
                <w:szCs w:val="2"/>
                <w:color w:val="auto"/>
              </w:rPr>
            </w:pPr>
          </w:p>
        </w:tc>
        <w:tc>
          <w:tcPr>
            <w:tcW w:w="680" w:type="dxa"/>
            <w:vAlign w:val="bottom"/>
            <w:vMerge w:val="continue"/>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560" w:type="dxa"/>
            <w:vAlign w:val="bottom"/>
            <w:vMerge w:val="continue"/>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260" w:type="dxa"/>
            <w:vAlign w:val="bottom"/>
            <w:shd w:val="clear" w:color="auto" w:fill="EDEDED"/>
          </w:tcPr>
          <w:p>
            <w:pPr>
              <w:spacing w:after="0"/>
              <w:rPr>
                <w:sz w:val="2"/>
                <w:szCs w:val="2"/>
                <w:color w:val="auto"/>
              </w:rPr>
            </w:pPr>
          </w:p>
        </w:tc>
        <w:tc>
          <w:tcPr>
            <w:tcW w:w="800" w:type="dxa"/>
            <w:vAlign w:val="bottom"/>
            <w:vMerge w:val="continue"/>
            <w:shd w:val="clear" w:color="auto" w:fill="EDEDED"/>
          </w:tcPr>
          <w:p>
            <w:pPr>
              <w:spacing w:after="0"/>
              <w:rPr>
                <w:sz w:val="2"/>
                <w:szCs w:val="2"/>
                <w:color w:val="auto"/>
              </w:rPr>
            </w:pPr>
          </w:p>
        </w:tc>
        <w:tc>
          <w:tcPr>
            <w:tcW w:w="400" w:type="dxa"/>
            <w:vAlign w:val="bottom"/>
            <w:shd w:val="clear" w:color="auto" w:fill="EDEDED"/>
          </w:tcPr>
          <w:p>
            <w:pPr>
              <w:spacing w:after="0"/>
              <w:rPr>
                <w:sz w:val="2"/>
                <w:szCs w:val="2"/>
                <w:color w:val="auto"/>
              </w:rPr>
            </w:pPr>
          </w:p>
        </w:tc>
        <w:tc>
          <w:tcPr>
            <w:tcW w:w="740" w:type="dxa"/>
            <w:vAlign w:val="bottom"/>
            <w:vMerge w:val="continue"/>
            <w:shd w:val="clear" w:color="auto" w:fill="EDEDED"/>
          </w:tcPr>
          <w:p>
            <w:pPr>
              <w:spacing w:after="0"/>
              <w:rPr>
                <w:sz w:val="2"/>
                <w:szCs w:val="2"/>
                <w:color w:val="auto"/>
              </w:rPr>
            </w:pPr>
          </w:p>
        </w:tc>
        <w:tc>
          <w:tcPr>
            <w:tcW w:w="960" w:type="dxa"/>
            <w:vAlign w:val="bottom"/>
            <w:vMerge w:val="continue"/>
            <w:shd w:val="clear" w:color="auto" w:fill="EDEDED"/>
          </w:tcPr>
          <w:p>
            <w:pPr>
              <w:spacing w:after="0"/>
              <w:rPr>
                <w:sz w:val="2"/>
                <w:szCs w:val="2"/>
                <w:color w:val="auto"/>
              </w:rPr>
            </w:pPr>
          </w:p>
        </w:tc>
        <w:tc>
          <w:tcPr>
            <w:tcW w:w="680" w:type="dxa"/>
            <w:vAlign w:val="bottom"/>
            <w:vMerge w:val="continue"/>
            <w:shd w:val="clear" w:color="auto" w:fill="EDEDED"/>
          </w:tcPr>
          <w:p>
            <w:pPr>
              <w:spacing w:after="0"/>
              <w:rPr>
                <w:sz w:val="2"/>
                <w:szCs w:val="2"/>
                <w:color w:val="auto"/>
              </w:rPr>
            </w:pPr>
          </w:p>
        </w:tc>
        <w:tc>
          <w:tcPr>
            <w:tcW w:w="440" w:type="dxa"/>
            <w:vAlign w:val="bottom"/>
            <w:shd w:val="clear" w:color="auto" w:fill="EDEDED"/>
          </w:tcPr>
          <w:p>
            <w:pPr>
              <w:spacing w:after="0"/>
              <w:rPr>
                <w:sz w:val="2"/>
                <w:szCs w:val="2"/>
                <w:color w:val="auto"/>
              </w:rPr>
            </w:pPr>
          </w:p>
        </w:tc>
        <w:tc>
          <w:tcPr>
            <w:tcW w:w="960" w:type="dxa"/>
            <w:vAlign w:val="bottom"/>
            <w:vMerge w:val="continue"/>
            <w:shd w:val="clear" w:color="auto" w:fill="EDEDED"/>
          </w:tcPr>
          <w:p>
            <w:pPr>
              <w:spacing w:after="0"/>
              <w:rPr>
                <w:sz w:val="2"/>
                <w:szCs w:val="2"/>
                <w:color w:val="auto"/>
              </w:rPr>
            </w:pPr>
          </w:p>
        </w:tc>
        <w:tc>
          <w:tcPr>
            <w:tcW w:w="680" w:type="dxa"/>
            <w:vAlign w:val="bottom"/>
            <w:vMerge w:val="continue"/>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760" w:type="dxa"/>
            <w:vAlign w:val="bottom"/>
            <w:vMerge w:val="continue"/>
            <w:shd w:val="clear" w:color="auto" w:fill="EDEDE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10/1/2018</w:t>
            </w: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560" w:type="dxa"/>
            <w:vAlign w:val="bottom"/>
            <w:shd w:val="clear" w:color="auto" w:fill="EDEDED"/>
          </w:tcPr>
          <w:p>
            <w:pPr>
              <w:ind w:left="420"/>
              <w:spacing w:after="0" w:line="125"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w:t>
            </w:r>
          </w:p>
        </w:tc>
        <w:tc>
          <w:tcPr>
            <w:tcW w:w="400" w:type="dxa"/>
            <w:vAlign w:val="bottom"/>
            <w:shd w:val="clear" w:color="auto" w:fill="EDEDED"/>
          </w:tcPr>
          <w:p>
            <w:pPr>
              <w:spacing w:after="0"/>
              <w:rPr>
                <w:sz w:val="10"/>
                <w:szCs w:val="10"/>
                <w:color w:val="auto"/>
              </w:rPr>
            </w:pPr>
          </w:p>
        </w:tc>
        <w:tc>
          <w:tcPr>
            <w:tcW w:w="740" w:type="dxa"/>
            <w:vAlign w:val="bottom"/>
            <w:shd w:val="clear" w:color="auto" w:fill="EDEDED"/>
          </w:tcPr>
          <w:p>
            <w:pPr>
              <w:jc w:val="right"/>
              <w:ind w:right="84"/>
              <w:spacing w:after="0" w:line="125" w:lineRule="exact"/>
              <w:rPr>
                <w:sz w:val="20"/>
                <w:szCs w:val="20"/>
                <w:color w:val="auto"/>
              </w:rPr>
            </w:pPr>
            <w:r>
              <w:rPr>
                <w:rFonts w:ascii="Arial" w:cs="Arial" w:eastAsia="Arial" w:hAnsi="Arial"/>
                <w:sz w:val="14"/>
                <w:szCs w:val="14"/>
                <w:color w:val="auto"/>
              </w:rPr>
              <w:t>—</w:t>
            </w:r>
          </w:p>
        </w:tc>
        <w:tc>
          <w:tcPr>
            <w:tcW w:w="960" w:type="dxa"/>
            <w:vAlign w:val="bottom"/>
            <w:shd w:val="clear" w:color="auto" w:fill="EDEDED"/>
          </w:tcPr>
          <w:p>
            <w:pPr>
              <w:jc w:val="right"/>
              <w:ind w:right="144"/>
              <w:spacing w:after="0" w:line="125" w:lineRule="exact"/>
              <w:rPr>
                <w:sz w:val="20"/>
                <w:szCs w:val="20"/>
                <w:color w:val="auto"/>
              </w:rPr>
            </w:pPr>
            <w:r>
              <w:rPr>
                <w:rFonts w:ascii="Arial" w:cs="Arial" w:eastAsia="Arial" w:hAnsi="Arial"/>
                <w:sz w:val="14"/>
                <w:szCs w:val="14"/>
                <w:color w:val="auto"/>
              </w:rPr>
              <w:t>—</w:t>
            </w:r>
          </w:p>
        </w:tc>
        <w:tc>
          <w:tcPr>
            <w:tcW w:w="68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54,060</w:t>
            </w: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(8)</w:t>
            </w:r>
          </w:p>
        </w:tc>
        <w:tc>
          <w:tcPr>
            <w:tcW w:w="960" w:type="dxa"/>
            <w:vAlign w:val="bottom"/>
            <w:shd w:val="clear" w:color="auto" w:fill="EDEDED"/>
          </w:tcPr>
          <w:p>
            <w:pPr>
              <w:jc w:val="right"/>
              <w:ind w:right="124"/>
              <w:spacing w:after="0" w:line="125" w:lineRule="exact"/>
              <w:rPr>
                <w:sz w:val="20"/>
                <w:szCs w:val="20"/>
                <w:color w:val="auto"/>
              </w:rPr>
            </w:pPr>
            <w:r>
              <w:rPr>
                <w:rFonts w:ascii="Arial" w:cs="Arial" w:eastAsia="Arial" w:hAnsi="Arial"/>
                <w:sz w:val="14"/>
                <w:szCs w:val="14"/>
                <w:color w:val="auto"/>
              </w:rPr>
              <w:t>540,059</w:t>
            </w:r>
          </w:p>
        </w:tc>
        <w:tc>
          <w:tcPr>
            <w:tcW w:w="68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w:t>
            </w:r>
          </w:p>
        </w:tc>
        <w:tc>
          <w:tcPr>
            <w:tcW w:w="360" w:type="dxa"/>
            <w:vAlign w:val="bottom"/>
            <w:shd w:val="clear" w:color="auto" w:fill="EDEDED"/>
          </w:tcPr>
          <w:p>
            <w:pPr>
              <w:spacing w:after="0"/>
              <w:rPr>
                <w:sz w:val="10"/>
                <w:szCs w:val="10"/>
                <w:color w:val="auto"/>
              </w:rPr>
            </w:pPr>
          </w:p>
        </w:tc>
        <w:tc>
          <w:tcPr>
            <w:tcW w:w="76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3/4/2019</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w w:val="79"/>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13,196</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131,828</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56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(9)</w:t>
            </w: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3/4/2019</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w w:val="79"/>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26,392</w:t>
            </w:r>
          </w:p>
        </w:tc>
        <w:tc>
          <w:tcPr>
            <w:tcW w:w="360" w:type="dxa"/>
            <w:vAlign w:val="bottom"/>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263,656</w:t>
            </w: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56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vMerge w:val="restart"/>
            <w:shd w:val="clear" w:color="auto" w:fill="EDEDED"/>
          </w:tcPr>
          <w:p>
            <w:pPr>
              <w:jc w:val="right"/>
              <w:ind w:right="75"/>
              <w:spacing w:after="0"/>
              <w:rPr>
                <w:sz w:val="20"/>
                <w:szCs w:val="20"/>
                <w:color w:val="auto"/>
              </w:rPr>
            </w:pPr>
            <w:r>
              <w:rPr>
                <w:rFonts w:ascii="Arial" w:cs="Arial" w:eastAsia="Arial" w:hAnsi="Arial"/>
                <w:sz w:val="13"/>
                <w:szCs w:val="13"/>
                <w:color w:val="auto"/>
                <w:w w:val="86"/>
              </w:rPr>
              <w:t>(10)</w:t>
            </w: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3/4/2019</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w w:val="79"/>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3,634</w:t>
            </w:r>
          </w:p>
        </w:tc>
        <w:tc>
          <w:tcPr>
            <w:tcW w:w="360" w:type="dxa"/>
            <w:vAlign w:val="bottom"/>
            <w:vMerge w:val="continue"/>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36,304</w:t>
            </w: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56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shd w:val="clear" w:color="auto" w:fill="EDEDED"/>
          </w:tcPr>
          <w:p>
            <w:pPr>
              <w:spacing w:after="0"/>
              <w:rPr>
                <w:sz w:val="10"/>
                <w:szCs w:val="10"/>
                <w:color w:val="auto"/>
              </w:rPr>
            </w:pP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vMerge w:val="restart"/>
            <w:shd w:val="clear" w:color="auto" w:fill="EDEDED"/>
          </w:tcPr>
          <w:p>
            <w:pPr>
              <w:jc w:val="right"/>
              <w:ind w:right="75"/>
              <w:spacing w:after="0"/>
              <w:rPr>
                <w:sz w:val="20"/>
                <w:szCs w:val="20"/>
                <w:color w:val="auto"/>
              </w:rPr>
            </w:pPr>
            <w:r>
              <w:rPr>
                <w:rFonts w:ascii="Arial" w:cs="Arial" w:eastAsia="Arial" w:hAnsi="Arial"/>
                <w:sz w:val="13"/>
                <w:szCs w:val="13"/>
                <w:color w:val="auto"/>
                <w:w w:val="86"/>
              </w:rPr>
              <w:t>(11)</w:t>
            </w: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3/4/2019</w:t>
            </w: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ind w:left="420"/>
              <w:spacing w:after="0" w:line="162" w:lineRule="exact"/>
              <w:rPr>
                <w:sz w:val="20"/>
                <w:szCs w:val="20"/>
                <w:color w:val="auto"/>
              </w:rPr>
            </w:pPr>
            <w:r>
              <w:rPr>
                <w:rFonts w:ascii="Arial" w:cs="Arial" w:eastAsia="Arial" w:hAnsi="Arial"/>
                <w:sz w:val="15"/>
                <w:szCs w:val="15"/>
                <w:color w:val="auto"/>
                <w:w w:val="79"/>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29,310</w:t>
            </w:r>
          </w:p>
        </w:tc>
        <w:tc>
          <w:tcPr>
            <w:tcW w:w="400" w:type="dxa"/>
            <w:vAlign w:val="bottom"/>
            <w:shd w:val="clear" w:color="auto" w:fill="EDEDED"/>
          </w:tcPr>
          <w:p>
            <w:pPr>
              <w:spacing w:after="0"/>
              <w:rPr>
                <w:sz w:val="3"/>
                <w:szCs w:val="3"/>
                <w:color w:val="auto"/>
              </w:rPr>
            </w:pPr>
          </w:p>
        </w:tc>
        <w:tc>
          <w:tcPr>
            <w:tcW w:w="740" w:type="dxa"/>
            <w:vAlign w:val="bottom"/>
            <w:vMerge w:val="restart"/>
            <w:shd w:val="clear" w:color="auto" w:fill="EDEDED"/>
          </w:tcPr>
          <w:p>
            <w:pPr>
              <w:jc w:val="right"/>
              <w:ind w:right="84"/>
              <w:spacing w:after="0" w:line="162" w:lineRule="exact"/>
              <w:rPr>
                <w:sz w:val="20"/>
                <w:szCs w:val="20"/>
                <w:color w:val="auto"/>
              </w:rPr>
            </w:pPr>
            <w:r>
              <w:rPr>
                <w:rFonts w:ascii="Arial" w:cs="Arial" w:eastAsia="Arial" w:hAnsi="Arial"/>
                <w:sz w:val="15"/>
                <w:szCs w:val="15"/>
                <w:color w:val="auto"/>
              </w:rPr>
              <w:t>16.17</w:t>
            </w:r>
          </w:p>
        </w:tc>
        <w:tc>
          <w:tcPr>
            <w:tcW w:w="960" w:type="dxa"/>
            <w:vAlign w:val="bottom"/>
            <w:vMerge w:val="restart"/>
            <w:shd w:val="clear" w:color="auto" w:fill="EDEDED"/>
          </w:tcPr>
          <w:p>
            <w:pPr>
              <w:jc w:val="right"/>
              <w:ind w:right="144"/>
              <w:spacing w:after="0" w:line="162" w:lineRule="exact"/>
              <w:rPr>
                <w:sz w:val="20"/>
                <w:szCs w:val="20"/>
                <w:color w:val="auto"/>
              </w:rPr>
            </w:pPr>
            <w:r>
              <w:rPr>
                <w:rFonts w:ascii="Arial" w:cs="Arial" w:eastAsia="Arial" w:hAnsi="Arial"/>
                <w:sz w:val="15"/>
                <w:szCs w:val="15"/>
                <w:color w:val="auto"/>
              </w:rPr>
              <w:t>3/4/2026</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EDEDED"/>
          </w:tcPr>
          <w:p>
            <w:pPr>
              <w:spacing w:after="0"/>
              <w:rPr>
                <w:sz w:val="3"/>
                <w:szCs w:val="3"/>
                <w:color w:val="auto"/>
              </w:rPr>
            </w:pPr>
          </w:p>
        </w:tc>
        <w:tc>
          <w:tcPr>
            <w:tcW w:w="960" w:type="dxa"/>
            <w:vAlign w:val="bottom"/>
            <w:vMerge w:val="restart"/>
            <w:shd w:val="clear" w:color="auto" w:fill="EDEDED"/>
          </w:tcPr>
          <w:p>
            <w:pPr>
              <w:jc w:val="right"/>
              <w:ind w:right="124"/>
              <w:spacing w:after="0" w:line="162" w:lineRule="exact"/>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360" w:type="dxa"/>
            <w:vAlign w:val="bottom"/>
            <w:vMerge w:val="continue"/>
            <w:shd w:val="clear" w:color="auto" w:fill="EDEDED"/>
          </w:tcPr>
          <w:p>
            <w:pPr>
              <w:spacing w:after="0"/>
              <w:rPr>
                <w:sz w:val="3"/>
                <w:szCs w:val="3"/>
                <w:color w:val="auto"/>
              </w:rPr>
            </w:pPr>
          </w:p>
        </w:tc>
        <w:tc>
          <w:tcPr>
            <w:tcW w:w="7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2000" w:type="dxa"/>
            <w:vAlign w:val="bottom"/>
            <w:shd w:val="clear" w:color="auto" w:fill="EDEDED"/>
          </w:tcPr>
          <w:p>
            <w:pPr>
              <w:spacing w:after="0"/>
              <w:rPr>
                <w:sz w:val="10"/>
                <w:szCs w:val="10"/>
                <w:color w:val="auto"/>
              </w:rPr>
            </w:pPr>
          </w:p>
        </w:tc>
        <w:tc>
          <w:tcPr>
            <w:tcW w:w="24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380" w:type="dxa"/>
            <w:vAlign w:val="bottom"/>
            <w:shd w:val="clear" w:color="auto" w:fill="EDEDED"/>
          </w:tcPr>
          <w:p>
            <w:pPr>
              <w:spacing w:after="0"/>
              <w:rPr>
                <w:sz w:val="10"/>
                <w:szCs w:val="10"/>
                <w:color w:val="auto"/>
              </w:rPr>
            </w:pPr>
          </w:p>
        </w:tc>
        <w:tc>
          <w:tcPr>
            <w:tcW w:w="56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0" w:type="dxa"/>
            <w:vAlign w:val="bottom"/>
            <w:vMerge w:val="continue"/>
            <w:shd w:val="clear" w:color="auto" w:fill="EDEDED"/>
          </w:tcPr>
          <w:p>
            <w:pPr>
              <w:spacing w:after="0"/>
              <w:rPr>
                <w:sz w:val="10"/>
                <w:szCs w:val="10"/>
                <w:color w:val="auto"/>
              </w:rPr>
            </w:pPr>
          </w:p>
        </w:tc>
        <w:tc>
          <w:tcPr>
            <w:tcW w:w="400" w:type="dxa"/>
            <w:vAlign w:val="bottom"/>
            <w:vMerge w:val="restart"/>
            <w:shd w:val="clear" w:color="auto" w:fill="EDEDED"/>
          </w:tcPr>
          <w:p>
            <w:pPr>
              <w:jc w:val="right"/>
              <w:ind w:right="115"/>
              <w:spacing w:after="0"/>
              <w:rPr>
                <w:sz w:val="20"/>
                <w:szCs w:val="20"/>
                <w:color w:val="auto"/>
              </w:rPr>
            </w:pPr>
            <w:r>
              <w:rPr>
                <w:rFonts w:ascii="Arial" w:cs="Arial" w:eastAsia="Arial" w:hAnsi="Arial"/>
                <w:sz w:val="13"/>
                <w:szCs w:val="13"/>
                <w:color w:val="auto"/>
                <w:w w:val="86"/>
              </w:rPr>
              <w:t>(12)</w:t>
            </w:r>
          </w:p>
        </w:tc>
        <w:tc>
          <w:tcPr>
            <w:tcW w:w="740" w:type="dxa"/>
            <w:vAlign w:val="bottom"/>
            <w:vMerge w:val="continue"/>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440" w:type="dxa"/>
            <w:vAlign w:val="bottom"/>
            <w:shd w:val="clear" w:color="auto" w:fill="EDEDED"/>
          </w:tcPr>
          <w:p>
            <w:pPr>
              <w:spacing w:after="0"/>
              <w:rPr>
                <w:sz w:val="10"/>
                <w:szCs w:val="10"/>
                <w:color w:val="auto"/>
              </w:rPr>
            </w:pPr>
          </w:p>
        </w:tc>
        <w:tc>
          <w:tcPr>
            <w:tcW w:w="960" w:type="dxa"/>
            <w:vAlign w:val="bottom"/>
            <w:vMerge w:val="continue"/>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360" w:type="dxa"/>
            <w:vAlign w:val="bottom"/>
            <w:shd w:val="clear" w:color="auto" w:fill="EDEDED"/>
          </w:tcPr>
          <w:p>
            <w:pPr>
              <w:spacing w:after="0"/>
              <w:rPr>
                <w:sz w:val="10"/>
                <w:szCs w:val="10"/>
                <w:color w:val="auto"/>
              </w:rPr>
            </w:pPr>
          </w:p>
        </w:tc>
        <w:tc>
          <w:tcPr>
            <w:tcW w:w="76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00" w:type="dxa"/>
            <w:vAlign w:val="bottom"/>
            <w:shd w:val="clear" w:color="auto" w:fill="EDEDED"/>
          </w:tcPr>
          <w:p>
            <w:pPr>
              <w:spacing w:after="0"/>
              <w:rPr>
                <w:sz w:val="3"/>
                <w:szCs w:val="3"/>
                <w:color w:val="auto"/>
              </w:rPr>
            </w:pPr>
          </w:p>
        </w:tc>
        <w:tc>
          <w:tcPr>
            <w:tcW w:w="24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60" w:type="dxa"/>
            <w:vAlign w:val="bottom"/>
            <w:shd w:val="clear" w:color="auto" w:fill="EDEDED"/>
          </w:tcPr>
          <w:p>
            <w:pPr>
              <w:spacing w:after="0"/>
              <w:rPr>
                <w:sz w:val="3"/>
                <w:szCs w:val="3"/>
                <w:color w:val="auto"/>
              </w:rPr>
            </w:pPr>
          </w:p>
        </w:tc>
        <w:tc>
          <w:tcPr>
            <w:tcW w:w="380" w:type="dxa"/>
            <w:vAlign w:val="bottom"/>
            <w:shd w:val="clear" w:color="auto" w:fill="EDEDED"/>
          </w:tcPr>
          <w:p>
            <w:pPr>
              <w:spacing w:after="0"/>
              <w:rPr>
                <w:sz w:val="3"/>
                <w:szCs w:val="3"/>
                <w:color w:val="auto"/>
              </w:rPr>
            </w:pPr>
          </w:p>
        </w:tc>
        <w:tc>
          <w:tcPr>
            <w:tcW w:w="560" w:type="dxa"/>
            <w:vAlign w:val="bottom"/>
            <w:shd w:val="clear" w:color="auto" w:fill="EDEDED"/>
          </w:tcPr>
          <w:p>
            <w:pPr>
              <w:spacing w:after="0"/>
              <w:rPr>
                <w:sz w:val="3"/>
                <w:szCs w:val="3"/>
                <w:color w:val="auto"/>
              </w:rPr>
            </w:pP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0" w:type="dxa"/>
            <w:vAlign w:val="bottom"/>
            <w:shd w:val="clear" w:color="auto" w:fill="EDEDED"/>
          </w:tcPr>
          <w:p>
            <w:pPr>
              <w:spacing w:after="0"/>
              <w:rPr>
                <w:sz w:val="3"/>
                <w:szCs w:val="3"/>
                <w:color w:val="auto"/>
              </w:rPr>
            </w:pPr>
          </w:p>
        </w:tc>
        <w:tc>
          <w:tcPr>
            <w:tcW w:w="400" w:type="dxa"/>
            <w:vAlign w:val="bottom"/>
            <w:vMerge w:val="continue"/>
            <w:shd w:val="clear" w:color="auto" w:fill="EDEDED"/>
          </w:tcPr>
          <w:p>
            <w:pPr>
              <w:spacing w:after="0"/>
              <w:rPr>
                <w:sz w:val="3"/>
                <w:szCs w:val="3"/>
                <w:color w:val="auto"/>
              </w:rPr>
            </w:pPr>
          </w:p>
        </w:tc>
        <w:tc>
          <w:tcPr>
            <w:tcW w:w="740" w:type="dxa"/>
            <w:vAlign w:val="bottom"/>
            <w:shd w:val="clear" w:color="auto" w:fill="EDEDED"/>
          </w:tcPr>
          <w:p>
            <w:pPr>
              <w:spacing w:after="0"/>
              <w:rPr>
                <w:sz w:val="3"/>
                <w:szCs w:val="3"/>
                <w:color w:val="auto"/>
              </w:rPr>
            </w:pPr>
          </w:p>
        </w:tc>
        <w:tc>
          <w:tcPr>
            <w:tcW w:w="96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440" w:type="dxa"/>
            <w:vAlign w:val="bottom"/>
            <w:shd w:val="clear" w:color="auto" w:fill="EDEDED"/>
          </w:tcPr>
          <w:p>
            <w:pPr>
              <w:spacing w:after="0"/>
              <w:rPr>
                <w:sz w:val="3"/>
                <w:szCs w:val="3"/>
                <w:color w:val="auto"/>
              </w:rPr>
            </w:pPr>
          </w:p>
        </w:tc>
        <w:tc>
          <w:tcPr>
            <w:tcW w:w="96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360" w:type="dxa"/>
            <w:vAlign w:val="bottom"/>
            <w:shd w:val="clear" w:color="auto" w:fill="EDEDED"/>
          </w:tcPr>
          <w:p>
            <w:pPr>
              <w:spacing w:after="0"/>
              <w:rPr>
                <w:sz w:val="3"/>
                <w:szCs w:val="3"/>
                <w:color w:val="auto"/>
              </w:rPr>
            </w:pPr>
          </w:p>
        </w:tc>
        <w:tc>
          <w:tcPr>
            <w:tcW w:w="76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00" w:type="dxa"/>
            <w:vAlign w:val="bottom"/>
            <w:shd w:val="clear" w:color="auto" w:fill="EDEDED"/>
          </w:tcPr>
          <w:p>
            <w:pPr>
              <w:spacing w:after="0"/>
              <w:rPr>
                <w:sz w:val="2"/>
                <w:szCs w:val="2"/>
                <w:color w:val="auto"/>
              </w:rPr>
            </w:pPr>
          </w:p>
        </w:tc>
        <w:tc>
          <w:tcPr>
            <w:tcW w:w="240" w:type="dxa"/>
            <w:vAlign w:val="bottom"/>
            <w:shd w:val="clear" w:color="auto" w:fill="EDEDED"/>
          </w:tcPr>
          <w:p>
            <w:pPr>
              <w:spacing w:after="0"/>
              <w:rPr>
                <w:sz w:val="2"/>
                <w:szCs w:val="2"/>
                <w:color w:val="auto"/>
              </w:rPr>
            </w:pPr>
          </w:p>
        </w:tc>
        <w:tc>
          <w:tcPr>
            <w:tcW w:w="680" w:type="dxa"/>
            <w:vAlign w:val="bottom"/>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560" w:type="dxa"/>
            <w:vAlign w:val="bottom"/>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260" w:type="dxa"/>
            <w:vAlign w:val="bottom"/>
            <w:shd w:val="clear" w:color="auto" w:fill="EDEDED"/>
          </w:tcPr>
          <w:p>
            <w:pPr>
              <w:spacing w:after="0"/>
              <w:rPr>
                <w:sz w:val="2"/>
                <w:szCs w:val="2"/>
                <w:color w:val="auto"/>
              </w:rPr>
            </w:pPr>
          </w:p>
        </w:tc>
        <w:tc>
          <w:tcPr>
            <w:tcW w:w="800" w:type="dxa"/>
            <w:vAlign w:val="bottom"/>
            <w:shd w:val="clear" w:color="auto" w:fill="EDEDED"/>
          </w:tcPr>
          <w:p>
            <w:pPr>
              <w:spacing w:after="0"/>
              <w:rPr>
                <w:sz w:val="2"/>
                <w:szCs w:val="2"/>
                <w:color w:val="auto"/>
              </w:rPr>
            </w:pPr>
          </w:p>
        </w:tc>
        <w:tc>
          <w:tcPr>
            <w:tcW w:w="400" w:type="dxa"/>
            <w:vAlign w:val="bottom"/>
            <w:shd w:val="clear" w:color="auto" w:fill="EDEDED"/>
          </w:tcPr>
          <w:p>
            <w:pPr>
              <w:spacing w:after="0"/>
              <w:rPr>
                <w:sz w:val="2"/>
                <w:szCs w:val="2"/>
                <w:color w:val="auto"/>
              </w:rPr>
            </w:pPr>
          </w:p>
        </w:tc>
        <w:tc>
          <w:tcPr>
            <w:tcW w:w="740" w:type="dxa"/>
            <w:vAlign w:val="bottom"/>
            <w:shd w:val="clear" w:color="auto" w:fill="EDEDED"/>
          </w:tcPr>
          <w:p>
            <w:pPr>
              <w:spacing w:after="0"/>
              <w:rPr>
                <w:sz w:val="2"/>
                <w:szCs w:val="2"/>
                <w:color w:val="auto"/>
              </w:rPr>
            </w:pPr>
          </w:p>
        </w:tc>
        <w:tc>
          <w:tcPr>
            <w:tcW w:w="960" w:type="dxa"/>
            <w:vAlign w:val="bottom"/>
            <w:shd w:val="clear" w:color="auto" w:fill="EDEDED"/>
          </w:tcPr>
          <w:p>
            <w:pPr>
              <w:spacing w:after="0"/>
              <w:rPr>
                <w:sz w:val="2"/>
                <w:szCs w:val="2"/>
                <w:color w:val="auto"/>
              </w:rPr>
            </w:pPr>
          </w:p>
        </w:tc>
        <w:tc>
          <w:tcPr>
            <w:tcW w:w="680" w:type="dxa"/>
            <w:vAlign w:val="bottom"/>
            <w:shd w:val="clear" w:color="auto" w:fill="EDEDED"/>
          </w:tcPr>
          <w:p>
            <w:pPr>
              <w:spacing w:after="0"/>
              <w:rPr>
                <w:sz w:val="2"/>
                <w:szCs w:val="2"/>
                <w:color w:val="auto"/>
              </w:rPr>
            </w:pPr>
          </w:p>
        </w:tc>
        <w:tc>
          <w:tcPr>
            <w:tcW w:w="440" w:type="dxa"/>
            <w:vAlign w:val="bottom"/>
            <w:shd w:val="clear" w:color="auto" w:fill="EDEDED"/>
          </w:tcPr>
          <w:p>
            <w:pPr>
              <w:spacing w:after="0"/>
              <w:rPr>
                <w:sz w:val="2"/>
                <w:szCs w:val="2"/>
                <w:color w:val="auto"/>
              </w:rPr>
            </w:pPr>
          </w:p>
        </w:tc>
        <w:tc>
          <w:tcPr>
            <w:tcW w:w="960" w:type="dxa"/>
            <w:vAlign w:val="bottom"/>
            <w:shd w:val="clear" w:color="auto" w:fill="EDEDED"/>
          </w:tcPr>
          <w:p>
            <w:pPr>
              <w:spacing w:after="0"/>
              <w:rPr>
                <w:sz w:val="2"/>
                <w:szCs w:val="2"/>
                <w:color w:val="auto"/>
              </w:rPr>
            </w:pPr>
          </w:p>
        </w:tc>
        <w:tc>
          <w:tcPr>
            <w:tcW w:w="68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760" w:type="dxa"/>
            <w:vAlign w:val="bottom"/>
            <w:shd w:val="clear" w:color="auto" w:fill="EDED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6995160" cy="6254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47</w:t>
      </w:r>
    </w:p>
    <w:p>
      <w:pPr>
        <w:sectPr>
          <w:pgSz w:w="11900" w:h="16838" w:orient="portrait"/>
          <w:cols w:equalWidth="0" w:num="1">
            <w:col w:w="1114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Option Awards</w:t>
            </w:r>
          </w:p>
        </w:tc>
        <w:tc>
          <w:tcPr>
            <w:tcW w:w="7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3"/>
                <w:szCs w:val="13"/>
                <w:color w:val="auto"/>
              </w:rPr>
              <w:t>Stock Awards</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vMerge w:val="restart"/>
          </w:tcPr>
          <w:p>
            <w:pPr>
              <w:jc w:val="center"/>
              <w:ind w:right="148"/>
              <w:spacing w:after="0"/>
              <w:rPr>
                <w:sz w:val="20"/>
                <w:szCs w:val="20"/>
                <w:color w:val="auto"/>
              </w:rPr>
            </w:pPr>
            <w:r>
              <w:rPr>
                <w:rFonts w:ascii="Arial" w:cs="Arial" w:eastAsia="Arial" w:hAnsi="Arial"/>
                <w:sz w:val="13"/>
                <w:szCs w:val="13"/>
                <w:color w:val="auto"/>
              </w:rPr>
              <w:t>Equity</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20" w:type="dxa"/>
            <w:vAlign w:val="bottom"/>
          </w:tcPr>
          <w:p>
            <w:pPr>
              <w:jc w:val="center"/>
              <w:ind w:left="8"/>
              <w:spacing w:after="0" w:line="135" w:lineRule="exact"/>
              <w:rPr>
                <w:sz w:val="20"/>
                <w:szCs w:val="20"/>
                <w:color w:val="auto"/>
              </w:rPr>
            </w:pPr>
            <w:r>
              <w:rPr>
                <w:rFonts w:ascii="Arial" w:cs="Arial" w:eastAsia="Arial" w:hAnsi="Arial"/>
                <w:sz w:val="13"/>
                <w:szCs w:val="13"/>
                <w:color w:val="auto"/>
              </w:rPr>
              <w:t>Incentive</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Incentive</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w w:val="99"/>
              </w:rPr>
              <w:t>Plan</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w w:val="99"/>
              </w:rPr>
              <w:t>Plan</w:t>
            </w:r>
          </w:p>
        </w:tc>
        <w:tc>
          <w:tcPr>
            <w:tcW w:w="820" w:type="dxa"/>
            <w:vAlign w:val="bottom"/>
          </w:tcPr>
          <w:p>
            <w:pPr>
              <w:jc w:val="center"/>
              <w:ind w:left="28"/>
              <w:spacing w:after="0"/>
              <w:rPr>
                <w:sz w:val="20"/>
                <w:szCs w:val="20"/>
                <w:color w:val="auto"/>
              </w:rPr>
            </w:pPr>
            <w:r>
              <w:rPr>
                <w:rFonts w:ascii="Arial" w:cs="Arial" w:eastAsia="Arial" w:hAnsi="Arial"/>
                <w:sz w:val="13"/>
                <w:szCs w:val="13"/>
                <w:color w:val="auto"/>
              </w:rPr>
              <w:t>Awards:</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jc w:val="center"/>
              <w:ind w:right="168"/>
              <w:spacing w:after="0"/>
              <w:rPr>
                <w:sz w:val="20"/>
                <w:szCs w:val="20"/>
                <w:color w:val="auto"/>
              </w:rPr>
            </w:pPr>
            <w:r>
              <w:rPr>
                <w:rFonts w:ascii="Arial" w:cs="Arial" w:eastAsia="Arial" w:hAnsi="Arial"/>
                <w:sz w:val="13"/>
                <w:szCs w:val="13"/>
                <w:color w:val="auto"/>
              </w:rPr>
              <w:t>Awards:</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Market or</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Number of</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Payout</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Unearned</w:t>
            </w:r>
          </w:p>
        </w:tc>
        <w:tc>
          <w:tcPr>
            <w:tcW w:w="820" w:type="dxa"/>
            <w:vAlign w:val="bottom"/>
          </w:tcPr>
          <w:p>
            <w:pPr>
              <w:jc w:val="center"/>
              <w:ind w:left="28"/>
              <w:spacing w:after="0"/>
              <w:rPr>
                <w:sz w:val="20"/>
                <w:szCs w:val="20"/>
                <w:color w:val="auto"/>
              </w:rPr>
            </w:pPr>
            <w:r>
              <w:rPr>
                <w:rFonts w:ascii="Arial" w:cs="Arial" w:eastAsia="Arial" w:hAnsi="Arial"/>
                <w:sz w:val="13"/>
                <w:szCs w:val="13"/>
                <w:color w:val="auto"/>
              </w:rPr>
              <w:t>Value of</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Shares,</w:t>
            </w:r>
          </w:p>
        </w:tc>
        <w:tc>
          <w:tcPr>
            <w:tcW w:w="820" w:type="dxa"/>
            <w:vAlign w:val="bottom"/>
          </w:tcPr>
          <w:p>
            <w:pPr>
              <w:jc w:val="center"/>
              <w:ind w:left="28"/>
              <w:spacing w:after="0"/>
              <w:rPr>
                <w:sz w:val="20"/>
                <w:szCs w:val="20"/>
                <w:color w:val="auto"/>
              </w:rPr>
            </w:pPr>
            <w:r>
              <w:rPr>
                <w:rFonts w:ascii="Arial" w:cs="Arial" w:eastAsia="Arial" w:hAnsi="Arial"/>
                <w:sz w:val="13"/>
                <w:szCs w:val="13"/>
                <w:color w:val="auto"/>
              </w:rPr>
              <w:t>Unearned</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Market</w:t>
            </w: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Units or</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Shares,</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Value</w:t>
            </w: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Other</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Units, or</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Number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3"/>
                <w:szCs w:val="13"/>
                <w:color w:val="auto"/>
              </w:rPr>
              <w:t>Number of</w:t>
            </w: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Number of</w:t>
            </w:r>
          </w:p>
        </w:tc>
        <w:tc>
          <w:tcPr>
            <w:tcW w:w="3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of Shares</w:t>
            </w: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Rights</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Other</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ind w:left="80"/>
              <w:spacing w:after="0"/>
              <w:rPr>
                <w:sz w:val="20"/>
                <w:szCs w:val="20"/>
                <w:color w:val="auto"/>
              </w:rPr>
            </w:pPr>
            <w:r>
              <w:rPr>
                <w:rFonts w:ascii="Arial" w:cs="Arial" w:eastAsia="Arial" w:hAnsi="Arial"/>
                <w:sz w:val="13"/>
                <w:szCs w:val="13"/>
                <w:color w:val="auto"/>
              </w:rPr>
              <w:t>Securities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3"/>
                <w:szCs w:val="13"/>
                <w:color w:val="auto"/>
              </w:rPr>
              <w:t>Securities</w:t>
            </w: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Shares or</w:t>
            </w:r>
          </w:p>
        </w:tc>
        <w:tc>
          <w:tcPr>
            <w:tcW w:w="3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or Units of</w:t>
            </w:r>
          </w:p>
        </w:tc>
        <w:tc>
          <w:tcPr>
            <w:tcW w:w="1160" w:type="dxa"/>
            <w:vAlign w:val="bottom"/>
          </w:tcPr>
          <w:p>
            <w:pPr>
              <w:jc w:val="center"/>
              <w:ind w:right="188"/>
              <w:spacing w:after="0"/>
              <w:rPr>
                <w:sz w:val="20"/>
                <w:szCs w:val="20"/>
                <w:color w:val="auto"/>
              </w:rPr>
            </w:pPr>
            <w:r>
              <w:rPr>
                <w:rFonts w:ascii="Arial" w:cs="Arial" w:eastAsia="Arial" w:hAnsi="Arial"/>
                <w:sz w:val="13"/>
                <w:szCs w:val="13"/>
                <w:color w:val="auto"/>
                <w:w w:val="99"/>
              </w:rPr>
              <w:t>That</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Rights</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color w:val="auto"/>
              </w:rPr>
              <w:t>Underlying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3"/>
                <w:szCs w:val="13"/>
                <w:color w:val="auto"/>
              </w:rPr>
              <w:t>Underlying</w:t>
            </w:r>
          </w:p>
        </w:tc>
        <w:tc>
          <w:tcPr>
            <w:tcW w:w="700" w:type="dxa"/>
            <w:vAlign w:val="bottom"/>
          </w:tcPr>
          <w:p>
            <w:pPr>
              <w:jc w:val="center"/>
              <w:ind w:right="86"/>
              <w:spacing w:after="0"/>
              <w:rPr>
                <w:sz w:val="20"/>
                <w:szCs w:val="20"/>
                <w:color w:val="auto"/>
              </w:rPr>
            </w:pPr>
            <w:r>
              <w:rPr>
                <w:rFonts w:ascii="Arial" w:cs="Arial" w:eastAsia="Arial" w:hAnsi="Arial"/>
                <w:sz w:val="13"/>
                <w:szCs w:val="13"/>
                <w:color w:val="auto"/>
                <w:w w:val="99"/>
              </w:rPr>
              <w:t>Option</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w w:val="99"/>
              </w:rPr>
              <w:t>Units of</w:t>
            </w:r>
          </w:p>
        </w:tc>
        <w:tc>
          <w:tcPr>
            <w:tcW w:w="3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Stock That</w:t>
            </w:r>
          </w:p>
        </w:tc>
        <w:tc>
          <w:tcPr>
            <w:tcW w:w="1160" w:type="dxa"/>
            <w:vAlign w:val="bottom"/>
          </w:tcPr>
          <w:p>
            <w:pPr>
              <w:jc w:val="center"/>
              <w:ind w:right="168"/>
              <w:spacing w:after="0"/>
              <w:rPr>
                <w:sz w:val="20"/>
                <w:szCs w:val="20"/>
                <w:color w:val="auto"/>
              </w:rPr>
            </w:pPr>
            <w:r>
              <w:rPr>
                <w:rFonts w:ascii="Arial" w:cs="Arial" w:eastAsia="Arial" w:hAnsi="Arial"/>
                <w:sz w:val="13"/>
                <w:szCs w:val="13"/>
                <w:color w:val="auto"/>
              </w:rPr>
              <w:t>Have</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w w:val="99"/>
              </w:rPr>
              <w:t>That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w w:val="99"/>
              </w:rPr>
              <w:t>Unexercised</w:t>
            </w:r>
          </w:p>
        </w:tc>
        <w:tc>
          <w:tcPr>
            <w:tcW w:w="260" w:type="dxa"/>
            <w:vAlign w:val="bottom"/>
          </w:tcPr>
          <w:p>
            <w:pPr>
              <w:spacing w:after="0"/>
              <w:rPr>
                <w:sz w:val="12"/>
                <w:szCs w:val="12"/>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3"/>
                <w:szCs w:val="13"/>
                <w:color w:val="auto"/>
              </w:rPr>
              <w:t>Unexercised</w:t>
            </w:r>
          </w:p>
        </w:tc>
        <w:tc>
          <w:tcPr>
            <w:tcW w:w="700" w:type="dxa"/>
            <w:vAlign w:val="bottom"/>
          </w:tcPr>
          <w:p>
            <w:pPr>
              <w:jc w:val="center"/>
              <w:ind w:right="86"/>
              <w:spacing w:after="0"/>
              <w:rPr>
                <w:sz w:val="20"/>
                <w:szCs w:val="20"/>
                <w:color w:val="auto"/>
              </w:rPr>
            </w:pPr>
            <w:r>
              <w:rPr>
                <w:rFonts w:ascii="Arial" w:cs="Arial" w:eastAsia="Arial" w:hAnsi="Arial"/>
                <w:sz w:val="13"/>
                <w:szCs w:val="13"/>
                <w:color w:val="auto"/>
              </w:rPr>
              <w:t>Exercise</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color w:val="auto"/>
              </w:rPr>
              <w:t>Option</w:t>
            </w:r>
          </w:p>
        </w:tc>
        <w:tc>
          <w:tcPr>
            <w:tcW w:w="640" w:type="dxa"/>
            <w:vAlign w:val="bottom"/>
          </w:tcPr>
          <w:p>
            <w:pPr>
              <w:jc w:val="center"/>
              <w:spacing w:after="0"/>
              <w:rPr>
                <w:sz w:val="20"/>
                <w:szCs w:val="20"/>
                <w:color w:val="auto"/>
              </w:rPr>
            </w:pPr>
            <w:r>
              <w:rPr>
                <w:rFonts w:ascii="Arial" w:cs="Arial" w:eastAsia="Arial" w:hAnsi="Arial"/>
                <w:sz w:val="13"/>
                <w:szCs w:val="13"/>
                <w:color w:val="auto"/>
              </w:rPr>
              <w:t>Stock That</w:t>
            </w:r>
          </w:p>
        </w:tc>
        <w:tc>
          <w:tcPr>
            <w:tcW w:w="3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Have Not</w:t>
            </w: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Not</w:t>
            </w:r>
          </w:p>
        </w:tc>
        <w:tc>
          <w:tcPr>
            <w:tcW w:w="820" w:type="dxa"/>
            <w:vAlign w:val="bottom"/>
          </w:tcPr>
          <w:p>
            <w:pPr>
              <w:jc w:val="center"/>
              <w:ind w:left="28"/>
              <w:spacing w:after="0"/>
              <w:rPr>
                <w:sz w:val="20"/>
                <w:szCs w:val="20"/>
                <w:color w:val="auto"/>
              </w:rPr>
            </w:pPr>
            <w:r>
              <w:rPr>
                <w:rFonts w:ascii="Arial" w:cs="Arial" w:eastAsia="Arial" w:hAnsi="Arial"/>
                <w:sz w:val="13"/>
                <w:szCs w:val="13"/>
                <w:color w:val="auto"/>
              </w:rPr>
              <w:t>Have Not</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color w:val="auto"/>
              </w:rPr>
              <w:t>Options (#)</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3"/>
                <w:szCs w:val="13"/>
                <w:color w:val="auto"/>
              </w:rPr>
              <w:t>Options (#)</w:t>
            </w:r>
          </w:p>
        </w:tc>
        <w:tc>
          <w:tcPr>
            <w:tcW w:w="700" w:type="dxa"/>
            <w:vAlign w:val="bottom"/>
          </w:tcPr>
          <w:p>
            <w:pPr>
              <w:jc w:val="center"/>
              <w:ind w:right="86"/>
              <w:spacing w:after="0"/>
              <w:rPr>
                <w:sz w:val="20"/>
                <w:szCs w:val="20"/>
                <w:color w:val="auto"/>
              </w:rPr>
            </w:pPr>
            <w:r>
              <w:rPr>
                <w:rFonts w:ascii="Arial" w:cs="Arial" w:eastAsia="Arial" w:hAnsi="Arial"/>
                <w:sz w:val="13"/>
                <w:szCs w:val="13"/>
                <w:color w:val="auto"/>
              </w:rPr>
              <w:t>Price</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color w:val="auto"/>
              </w:rPr>
              <w:t>Expiration</w:t>
            </w:r>
          </w:p>
        </w:tc>
        <w:tc>
          <w:tcPr>
            <w:tcW w:w="640" w:type="dxa"/>
            <w:vAlign w:val="bottom"/>
          </w:tcPr>
          <w:p>
            <w:pPr>
              <w:jc w:val="center"/>
              <w:spacing w:after="0"/>
              <w:rPr>
                <w:sz w:val="20"/>
                <w:szCs w:val="20"/>
                <w:color w:val="auto"/>
              </w:rPr>
            </w:pPr>
            <w:r>
              <w:rPr>
                <w:rFonts w:ascii="Arial" w:cs="Arial" w:eastAsia="Arial" w:hAnsi="Arial"/>
                <w:sz w:val="13"/>
                <w:szCs w:val="13"/>
                <w:color w:val="auto"/>
              </w:rPr>
              <w:t>Have Not</w:t>
            </w:r>
          </w:p>
        </w:tc>
        <w:tc>
          <w:tcPr>
            <w:tcW w:w="3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Vested</w:t>
            </w:r>
          </w:p>
        </w:tc>
        <w:tc>
          <w:tcPr>
            <w:tcW w:w="1160" w:type="dxa"/>
            <w:vAlign w:val="bottom"/>
          </w:tcPr>
          <w:p>
            <w:pPr>
              <w:jc w:val="center"/>
              <w:ind w:right="148"/>
              <w:spacing w:after="0"/>
              <w:rPr>
                <w:sz w:val="20"/>
                <w:szCs w:val="20"/>
                <w:color w:val="auto"/>
              </w:rPr>
            </w:pPr>
            <w:r>
              <w:rPr>
                <w:rFonts w:ascii="Arial" w:cs="Arial" w:eastAsia="Arial" w:hAnsi="Arial"/>
                <w:sz w:val="13"/>
                <w:szCs w:val="13"/>
                <w:color w:val="auto"/>
              </w:rPr>
              <w:t>Vested</w:t>
            </w:r>
          </w:p>
        </w:tc>
        <w:tc>
          <w:tcPr>
            <w:tcW w:w="820" w:type="dxa"/>
            <w:vAlign w:val="bottom"/>
          </w:tcPr>
          <w:p>
            <w:pPr>
              <w:jc w:val="center"/>
              <w:ind w:left="8"/>
              <w:spacing w:after="0"/>
              <w:rPr>
                <w:sz w:val="20"/>
                <w:szCs w:val="20"/>
                <w:color w:val="auto"/>
              </w:rPr>
            </w:pPr>
            <w:r>
              <w:rPr>
                <w:rFonts w:ascii="Arial" w:cs="Arial" w:eastAsia="Arial" w:hAnsi="Arial"/>
                <w:sz w:val="13"/>
                <w:szCs w:val="13"/>
                <w:color w:val="auto"/>
              </w:rPr>
              <w:t>Vested</w:t>
            </w:r>
          </w:p>
        </w:tc>
        <w:tc>
          <w:tcPr>
            <w:tcW w:w="0" w:type="dxa"/>
            <w:vAlign w:val="bottom"/>
          </w:tcPr>
          <w:p>
            <w:pPr>
              <w:spacing w:after="0"/>
              <w:rPr>
                <w:sz w:val="1"/>
                <w:szCs w:val="1"/>
                <w:color w:val="auto"/>
              </w:rPr>
            </w:pPr>
          </w:p>
        </w:tc>
      </w:tr>
      <w:tr>
        <w:trPr>
          <w:trHeight w:val="170"/>
        </w:trPr>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Name</w:t>
            </w: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color w:val="auto"/>
              </w:rPr>
              <w:t>Grant Date</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Exercisable</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3"/>
                <w:szCs w:val="13"/>
                <w:color w:val="auto"/>
              </w:rPr>
              <w:t>Unexercisable</w:t>
            </w:r>
          </w:p>
        </w:tc>
        <w:tc>
          <w:tcPr>
            <w:tcW w:w="70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color w:val="auto"/>
              </w:rPr>
              <w:t>Date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Vested (#)</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(1)</w:t>
            </w:r>
          </w:p>
        </w:tc>
        <w:tc>
          <w:tcPr>
            <w:tcW w:w="1160" w:type="dxa"/>
            <w:vAlign w:val="bottom"/>
            <w:tcBorders>
              <w:bottom w:val="single" w:sz="8" w:color="auto"/>
            </w:tcBorders>
          </w:tcPr>
          <w:p>
            <w:pPr>
              <w:jc w:val="center"/>
              <w:ind w:right="168"/>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3"/>
                <w:szCs w:val="13"/>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0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7/31/2015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right"/>
              <w:ind w:right="520"/>
              <w:spacing w:after="0" w:line="12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6"/>
              <w:spacing w:after="0" w:line="122"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line="12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4"/>
                <w:szCs w:val="14"/>
                <w:color w:val="auto"/>
              </w:rPr>
              <w:t>19,452</w:t>
            </w:r>
          </w:p>
        </w:tc>
        <w:tc>
          <w:tcPr>
            <w:tcW w:w="380" w:type="dxa"/>
            <w:vAlign w:val="bottom"/>
            <w:vMerge w:val="restart"/>
          </w:tcPr>
          <w:p>
            <w:pPr>
              <w:spacing w:after="0"/>
              <w:rPr>
                <w:sz w:val="20"/>
                <w:szCs w:val="20"/>
                <w:color w:val="auto"/>
              </w:rPr>
            </w:pPr>
            <w:r>
              <w:rPr>
                <w:rFonts w:ascii="Arial" w:cs="Arial" w:eastAsia="Arial" w:hAnsi="Arial"/>
                <w:sz w:val="13"/>
                <w:szCs w:val="13"/>
                <w:color w:val="auto"/>
              </w:rPr>
              <w:t>(19)</w:t>
            </w:r>
          </w:p>
        </w:tc>
        <w:tc>
          <w:tcPr>
            <w:tcW w:w="960" w:type="dxa"/>
            <w:vAlign w:val="bottom"/>
          </w:tcPr>
          <w:p>
            <w:pPr>
              <w:jc w:val="right"/>
              <w:ind w:right="87"/>
              <w:spacing w:after="0" w:line="122" w:lineRule="exact"/>
              <w:rPr>
                <w:sz w:val="20"/>
                <w:szCs w:val="20"/>
                <w:color w:val="auto"/>
              </w:rPr>
            </w:pPr>
            <w:r>
              <w:rPr>
                <w:rFonts w:ascii="Arial" w:cs="Arial" w:eastAsia="Arial" w:hAnsi="Arial"/>
                <w:sz w:val="14"/>
                <w:szCs w:val="14"/>
                <w:color w:val="auto"/>
              </w:rPr>
              <w:t>194,325</w:t>
            </w:r>
          </w:p>
        </w:tc>
        <w:tc>
          <w:tcPr>
            <w:tcW w:w="1160" w:type="dxa"/>
            <w:vAlign w:val="bottom"/>
          </w:tcPr>
          <w:p>
            <w:pPr>
              <w:jc w:val="right"/>
              <w:ind w:right="308"/>
              <w:spacing w:after="0" w:line="122"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line="162" w:lineRule="exact"/>
              <w:rPr>
                <w:sz w:val="20"/>
                <w:szCs w:val="20"/>
                <w:color w:val="auto"/>
              </w:rPr>
            </w:pPr>
            <w:r>
              <w:rPr>
                <w:rFonts w:ascii="Arial" w:cs="Arial" w:eastAsia="Arial" w:hAnsi="Arial"/>
                <w:sz w:val="15"/>
                <w:szCs w:val="15"/>
                <w:color w:val="auto"/>
              </w:rPr>
              <w:t>2/25/2016</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7,747</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line="162" w:lineRule="exact"/>
              <w:rPr>
                <w:sz w:val="20"/>
                <w:szCs w:val="20"/>
                <w:color w:val="auto"/>
              </w:rPr>
            </w:pPr>
            <w:r>
              <w:rPr>
                <w:rFonts w:ascii="Arial" w:cs="Arial" w:eastAsia="Arial" w:hAnsi="Arial"/>
                <w:sz w:val="15"/>
                <w:szCs w:val="15"/>
                <w:color w:val="auto"/>
              </w:rPr>
              <w:t>77,393</w:t>
            </w: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auto"/>
              </w:rPr>
              <w:t>(3)</w:t>
            </w:r>
          </w:p>
        </w:tc>
        <w:tc>
          <w:tcPr>
            <w:tcW w:w="9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line="162" w:lineRule="exact"/>
              <w:rPr>
                <w:sz w:val="20"/>
                <w:szCs w:val="20"/>
                <w:color w:val="auto"/>
              </w:rPr>
            </w:pPr>
            <w:r>
              <w:rPr>
                <w:rFonts w:ascii="Arial" w:cs="Arial" w:eastAsia="Arial" w:hAnsi="Arial"/>
                <w:sz w:val="15"/>
                <w:szCs w:val="15"/>
                <w:color w:val="auto"/>
              </w:rPr>
              <w:t>2/28/2017</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12,870</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line="162" w:lineRule="exact"/>
              <w:rPr>
                <w:sz w:val="20"/>
                <w:szCs w:val="20"/>
                <w:color w:val="auto"/>
              </w:rPr>
            </w:pPr>
            <w:r>
              <w:rPr>
                <w:rFonts w:ascii="Arial" w:cs="Arial" w:eastAsia="Arial" w:hAnsi="Arial"/>
                <w:sz w:val="15"/>
                <w:szCs w:val="15"/>
                <w:color w:val="auto"/>
              </w:rPr>
              <w:t>128,571</w:t>
            </w:r>
          </w:p>
        </w:tc>
        <w:tc>
          <w:tcPr>
            <w:tcW w:w="1160" w:type="dxa"/>
            <w:vAlign w:val="bottom"/>
            <w:vMerge w:val="restart"/>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auto"/>
              </w:rPr>
              <w:t>(5)</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line="162" w:lineRule="exact"/>
              <w:rPr>
                <w:sz w:val="20"/>
                <w:szCs w:val="20"/>
                <w:color w:val="auto"/>
              </w:rPr>
            </w:pPr>
            <w:r>
              <w:rPr>
                <w:rFonts w:ascii="Arial" w:cs="Arial" w:eastAsia="Arial" w:hAnsi="Arial"/>
                <w:sz w:val="15"/>
                <w:szCs w:val="15"/>
                <w:color w:val="auto"/>
              </w:rPr>
              <w:t>2/28/2017</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17,036</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line="162" w:lineRule="exact"/>
              <w:rPr>
                <w:sz w:val="20"/>
                <w:szCs w:val="20"/>
                <w:color w:val="auto"/>
              </w:rPr>
            </w:pPr>
            <w:r>
              <w:rPr>
                <w:rFonts w:ascii="Arial" w:cs="Arial" w:eastAsia="Arial" w:hAnsi="Arial"/>
                <w:sz w:val="15"/>
                <w:szCs w:val="15"/>
                <w:color w:val="auto"/>
              </w:rPr>
              <w:t>170,190</w:t>
            </w:r>
          </w:p>
        </w:tc>
        <w:tc>
          <w:tcPr>
            <w:tcW w:w="1160" w:type="dxa"/>
            <w:vAlign w:val="bottom"/>
            <w:vMerge w:val="restart"/>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vMerge w:val="restart"/>
          </w:tcPr>
          <w:p>
            <w:pPr>
              <w:ind w:left="60"/>
              <w:spacing w:after="0"/>
              <w:rPr>
                <w:sz w:val="20"/>
                <w:szCs w:val="20"/>
                <w:color w:val="auto"/>
              </w:rPr>
            </w:pPr>
            <w:r>
              <w:rPr>
                <w:rFonts w:ascii="Arial" w:cs="Arial" w:eastAsia="Arial" w:hAnsi="Arial"/>
                <w:sz w:val="15"/>
                <w:szCs w:val="15"/>
                <w:color w:val="auto"/>
              </w:rPr>
              <w:t>Thierry Mabru</w:t>
            </w:r>
          </w:p>
        </w:tc>
        <w:tc>
          <w:tcPr>
            <w:tcW w:w="10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auto"/>
              </w:rPr>
              <w:t>(5)</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vMerge w:val="continue"/>
          </w:tcPr>
          <w:p>
            <w:pPr>
              <w:spacing w:after="0"/>
              <w:rPr>
                <w:sz w:val="3"/>
                <w:szCs w:val="3"/>
                <w:color w:val="auto"/>
              </w:rPr>
            </w:pP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2/28/2017</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10,857</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5"/>
                <w:szCs w:val="15"/>
                <w:color w:val="auto"/>
              </w:rPr>
              <w:t>108,461</w:t>
            </w:r>
          </w:p>
        </w:tc>
        <w:tc>
          <w:tcPr>
            <w:tcW w:w="1160" w:type="dxa"/>
            <w:vAlign w:val="bottom"/>
            <w:vMerge w:val="restart"/>
          </w:tcPr>
          <w:p>
            <w:pPr>
              <w:jc w:val="right"/>
              <w:ind w:right="308"/>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38"/>
        </w:trPr>
        <w:tc>
          <w:tcPr>
            <w:tcW w:w="1480" w:type="dxa"/>
            <w:vAlign w:val="bottom"/>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80" w:type="dxa"/>
            <w:vAlign w:val="bottom"/>
          </w:tcPr>
          <w:p>
            <w:pPr>
              <w:spacing w:after="0" w:line="138" w:lineRule="exact"/>
              <w:rPr>
                <w:sz w:val="20"/>
                <w:szCs w:val="20"/>
                <w:color w:val="auto"/>
              </w:rPr>
            </w:pPr>
            <w:r>
              <w:rPr>
                <w:rFonts w:ascii="Arial" w:cs="Arial" w:eastAsia="Arial" w:hAnsi="Arial"/>
                <w:sz w:val="13"/>
                <w:szCs w:val="13"/>
                <w:color w:val="auto"/>
              </w:rPr>
              <w:t>(5)</w:t>
            </w:r>
          </w:p>
        </w:tc>
        <w:tc>
          <w:tcPr>
            <w:tcW w:w="96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148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1480" w:type="dxa"/>
            <w:vAlign w:val="bottom"/>
          </w:tcPr>
          <w:p>
            <w:pPr>
              <w:spacing w:after="0"/>
              <w:rPr>
                <w:sz w:val="10"/>
                <w:szCs w:val="10"/>
                <w:color w:val="auto"/>
              </w:rPr>
            </w:pPr>
          </w:p>
        </w:tc>
        <w:tc>
          <w:tcPr>
            <w:tcW w:w="1060" w:type="dxa"/>
            <w:vAlign w:val="bottom"/>
            <w:gridSpan w:val="3"/>
          </w:tcPr>
          <w:p>
            <w:pPr>
              <w:jc w:val="right"/>
              <w:ind w:right="60"/>
              <w:spacing w:after="0" w:line="125" w:lineRule="exact"/>
              <w:rPr>
                <w:sz w:val="20"/>
                <w:szCs w:val="20"/>
                <w:color w:val="auto"/>
              </w:rPr>
            </w:pPr>
            <w:r>
              <w:rPr>
                <w:rFonts w:ascii="Arial" w:cs="Arial" w:eastAsia="Arial" w:hAnsi="Arial"/>
                <w:sz w:val="14"/>
                <w:szCs w:val="14"/>
                <w:color w:val="auto"/>
              </w:rPr>
              <w:t>7/27/2017</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right"/>
              <w:ind w:right="60"/>
              <w:spacing w:after="0" w:line="12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right"/>
              <w:ind w:right="520"/>
              <w:spacing w:after="0" w:line="125"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86"/>
              <w:spacing w:after="0" w:line="12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20"/>
              <w:spacing w:after="0" w:line="12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25" w:lineRule="exact"/>
              <w:rPr>
                <w:sz w:val="20"/>
                <w:szCs w:val="20"/>
                <w:color w:val="auto"/>
              </w:rPr>
            </w:pPr>
            <w:r>
              <w:rPr>
                <w:rFonts w:ascii="Arial" w:cs="Arial" w:eastAsia="Arial" w:hAnsi="Arial"/>
                <w:sz w:val="14"/>
                <w:szCs w:val="14"/>
                <w:color w:val="auto"/>
              </w:rPr>
              <w:t>15,432</w:t>
            </w:r>
          </w:p>
        </w:tc>
        <w:tc>
          <w:tcPr>
            <w:tcW w:w="380" w:type="dxa"/>
            <w:vAlign w:val="bottom"/>
            <w:vMerge w:val="restart"/>
          </w:tcPr>
          <w:p>
            <w:pPr>
              <w:spacing w:after="0"/>
              <w:rPr>
                <w:sz w:val="20"/>
                <w:szCs w:val="20"/>
                <w:color w:val="auto"/>
              </w:rPr>
            </w:pPr>
            <w:r>
              <w:rPr>
                <w:rFonts w:ascii="Arial" w:cs="Arial" w:eastAsia="Arial" w:hAnsi="Arial"/>
                <w:sz w:val="13"/>
                <w:szCs w:val="13"/>
                <w:color w:val="auto"/>
              </w:rPr>
              <w:t>(15)</w:t>
            </w:r>
          </w:p>
        </w:tc>
        <w:tc>
          <w:tcPr>
            <w:tcW w:w="960" w:type="dxa"/>
            <w:vAlign w:val="bottom"/>
          </w:tcPr>
          <w:p>
            <w:pPr>
              <w:jc w:val="right"/>
              <w:ind w:right="87"/>
              <w:spacing w:after="0" w:line="125" w:lineRule="exact"/>
              <w:rPr>
                <w:sz w:val="20"/>
                <w:szCs w:val="20"/>
                <w:color w:val="auto"/>
              </w:rPr>
            </w:pPr>
            <w:r>
              <w:rPr>
                <w:rFonts w:ascii="Arial" w:cs="Arial" w:eastAsia="Arial" w:hAnsi="Arial"/>
                <w:sz w:val="14"/>
                <w:szCs w:val="14"/>
                <w:color w:val="auto"/>
              </w:rPr>
              <w:t>154,166</w:t>
            </w:r>
          </w:p>
        </w:tc>
        <w:tc>
          <w:tcPr>
            <w:tcW w:w="1160" w:type="dxa"/>
            <w:vAlign w:val="bottom"/>
          </w:tcPr>
          <w:p>
            <w:pPr>
              <w:jc w:val="right"/>
              <w:ind w:right="308"/>
              <w:spacing w:after="0" w:line="12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line="162" w:lineRule="exact"/>
              <w:rPr>
                <w:sz w:val="20"/>
                <w:szCs w:val="20"/>
                <w:color w:val="auto"/>
              </w:rPr>
            </w:pPr>
            <w:r>
              <w:rPr>
                <w:rFonts w:ascii="Arial" w:cs="Arial" w:eastAsia="Arial" w:hAnsi="Arial"/>
                <w:sz w:val="15"/>
                <w:szCs w:val="15"/>
                <w:color w:val="auto"/>
              </w:rPr>
              <w:t>2/27/2018</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11,350</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line="162" w:lineRule="exact"/>
              <w:rPr>
                <w:sz w:val="20"/>
                <w:szCs w:val="20"/>
                <w:color w:val="auto"/>
              </w:rPr>
            </w:pPr>
            <w:r>
              <w:rPr>
                <w:rFonts w:ascii="Arial" w:cs="Arial" w:eastAsia="Arial" w:hAnsi="Arial"/>
                <w:sz w:val="15"/>
                <w:szCs w:val="15"/>
                <w:color w:val="auto"/>
              </w:rPr>
              <w:t>113,387</w:t>
            </w:r>
          </w:p>
        </w:tc>
        <w:tc>
          <w:tcPr>
            <w:tcW w:w="1160" w:type="dxa"/>
            <w:vAlign w:val="bottom"/>
            <w:vMerge w:val="restart"/>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auto"/>
              </w:rPr>
              <w:t>(16)</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line="162" w:lineRule="exact"/>
              <w:rPr>
                <w:sz w:val="20"/>
                <w:szCs w:val="20"/>
                <w:color w:val="auto"/>
              </w:rPr>
            </w:pPr>
            <w:r>
              <w:rPr>
                <w:rFonts w:ascii="Arial" w:cs="Arial" w:eastAsia="Arial" w:hAnsi="Arial"/>
                <w:sz w:val="15"/>
                <w:szCs w:val="15"/>
                <w:color w:val="auto"/>
              </w:rPr>
              <w:t>2/27/2018</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8,342</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line="162" w:lineRule="exact"/>
              <w:rPr>
                <w:sz w:val="20"/>
                <w:szCs w:val="20"/>
                <w:color w:val="auto"/>
              </w:rPr>
            </w:pPr>
            <w:r>
              <w:rPr>
                <w:rFonts w:ascii="Arial" w:cs="Arial" w:eastAsia="Arial" w:hAnsi="Arial"/>
                <w:sz w:val="15"/>
                <w:szCs w:val="15"/>
                <w:color w:val="auto"/>
              </w:rPr>
              <w:t>83,337</w:t>
            </w:r>
          </w:p>
        </w:tc>
        <w:tc>
          <w:tcPr>
            <w:tcW w:w="1160" w:type="dxa"/>
            <w:vAlign w:val="bottom"/>
            <w:vMerge w:val="restart"/>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auto"/>
              </w:rPr>
              <w:t>(16)</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line="162" w:lineRule="exact"/>
              <w:rPr>
                <w:sz w:val="20"/>
                <w:szCs w:val="20"/>
                <w:color w:val="auto"/>
              </w:rPr>
            </w:pPr>
            <w:r>
              <w:rPr>
                <w:rFonts w:ascii="Arial" w:cs="Arial" w:eastAsia="Arial" w:hAnsi="Arial"/>
                <w:sz w:val="15"/>
                <w:szCs w:val="15"/>
                <w:color w:val="auto"/>
              </w:rPr>
              <w:t>10/1/2018</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43,250</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line="162" w:lineRule="exact"/>
              <w:rPr>
                <w:sz w:val="20"/>
                <w:szCs w:val="20"/>
                <w:color w:val="auto"/>
              </w:rPr>
            </w:pPr>
            <w:r>
              <w:rPr>
                <w:rFonts w:ascii="Arial" w:cs="Arial" w:eastAsia="Arial" w:hAnsi="Arial"/>
                <w:sz w:val="15"/>
                <w:szCs w:val="15"/>
                <w:color w:val="auto"/>
              </w:rPr>
              <w:t>432,068</w:t>
            </w:r>
          </w:p>
        </w:tc>
        <w:tc>
          <w:tcPr>
            <w:tcW w:w="1160" w:type="dxa"/>
            <w:vAlign w:val="bottom"/>
            <w:vMerge w:val="restart"/>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auto"/>
              </w:rPr>
              <w:t>(8)</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line="162" w:lineRule="exact"/>
              <w:rPr>
                <w:sz w:val="20"/>
                <w:szCs w:val="20"/>
                <w:color w:val="auto"/>
              </w:rPr>
            </w:pPr>
            <w:r>
              <w:rPr>
                <w:rFonts w:ascii="Arial" w:cs="Arial" w:eastAsia="Arial" w:hAnsi="Arial"/>
                <w:sz w:val="15"/>
                <w:szCs w:val="15"/>
                <w:color w:val="auto"/>
              </w:rPr>
              <w:t>3/4/2019</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10,054</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line="162" w:lineRule="exact"/>
              <w:rPr>
                <w:sz w:val="20"/>
                <w:szCs w:val="20"/>
                <w:color w:val="auto"/>
              </w:rPr>
            </w:pPr>
            <w:r>
              <w:rPr>
                <w:rFonts w:ascii="Arial" w:cs="Arial" w:eastAsia="Arial" w:hAnsi="Arial"/>
                <w:sz w:val="15"/>
                <w:szCs w:val="15"/>
                <w:color w:val="auto"/>
              </w:rPr>
              <w:t>100,439</w:t>
            </w:r>
          </w:p>
        </w:tc>
        <w:tc>
          <w:tcPr>
            <w:tcW w:w="1160" w:type="dxa"/>
            <w:vAlign w:val="bottom"/>
            <w:vMerge w:val="restart"/>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vMerge w:val="restart"/>
          </w:tcPr>
          <w:p>
            <w:pPr>
              <w:spacing w:after="0"/>
              <w:rPr>
                <w:sz w:val="20"/>
                <w:szCs w:val="20"/>
                <w:color w:val="auto"/>
              </w:rPr>
            </w:pPr>
            <w:r>
              <w:rPr>
                <w:rFonts w:ascii="Arial" w:cs="Arial" w:eastAsia="Arial" w:hAnsi="Arial"/>
                <w:sz w:val="13"/>
                <w:szCs w:val="13"/>
                <w:color w:val="auto"/>
              </w:rPr>
              <w:t>(9)</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tcPr>
          <w:p>
            <w:pPr>
              <w:spacing w:after="0"/>
              <w:rPr>
                <w:sz w:val="3"/>
                <w:szCs w:val="3"/>
                <w:color w:val="auto"/>
              </w:rPr>
            </w:pP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3/4/2019</w:t>
            </w: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86"/>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80" w:type="dxa"/>
            <w:vAlign w:val="bottom"/>
            <w:vMerge w:val="continue"/>
          </w:tcPr>
          <w:p>
            <w:pPr>
              <w:spacing w:after="0"/>
              <w:rPr>
                <w:sz w:val="3"/>
                <w:szCs w:val="3"/>
                <w:color w:val="auto"/>
              </w:rPr>
            </w:pPr>
          </w:p>
        </w:tc>
        <w:tc>
          <w:tcPr>
            <w:tcW w:w="960" w:type="dxa"/>
            <w:vAlign w:val="bottom"/>
            <w:vMerge w:val="restart"/>
          </w:tcPr>
          <w:p>
            <w:pPr>
              <w:jc w:val="right"/>
              <w:ind w:right="87"/>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color w:val="auto"/>
              </w:rPr>
              <w:t>20,108</w:t>
            </w:r>
            <w:r>
              <w:rPr>
                <w:rFonts w:ascii="Arial" w:cs="Arial" w:eastAsia="Arial" w:hAnsi="Arial"/>
                <w:sz w:val="13"/>
                <w:szCs w:val="13"/>
                <w:color w:val="auto"/>
              </w:rPr>
              <w:t>(10)</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200,879</w:t>
            </w:r>
          </w:p>
        </w:tc>
        <w:tc>
          <w:tcPr>
            <w:tcW w:w="0" w:type="dxa"/>
            <w:vAlign w:val="bottom"/>
          </w:tcPr>
          <w:p>
            <w:pPr>
              <w:spacing w:after="0" w:line="20" w:lineRule="exact"/>
              <w:rPr>
                <w:sz w:val="1"/>
                <w:szCs w:val="1"/>
                <w:color w:val="auto"/>
              </w:rPr>
            </w:pPr>
          </w:p>
        </w:tc>
      </w:tr>
      <w:tr>
        <w:trPr>
          <w:trHeight w:val="161"/>
        </w:trPr>
        <w:tc>
          <w:tcPr>
            <w:tcW w:w="14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06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3/4/2019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87"/>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68"/>
              <w:spacing w:after="0" w:line="162" w:lineRule="exact"/>
              <w:rPr>
                <w:sz w:val="20"/>
                <w:szCs w:val="20"/>
                <w:color w:val="auto"/>
              </w:rPr>
            </w:pPr>
            <w:r>
              <w:rPr>
                <w:rFonts w:ascii="Arial" w:cs="Arial" w:eastAsia="Arial" w:hAnsi="Arial"/>
                <w:sz w:val="15"/>
                <w:szCs w:val="15"/>
                <w:color w:val="auto"/>
              </w:rPr>
              <w:t>2,860</w:t>
            </w:r>
            <w:r>
              <w:rPr>
                <w:rFonts w:ascii="Arial" w:cs="Arial" w:eastAsia="Arial" w:hAnsi="Arial"/>
                <w:sz w:val="13"/>
                <w:szCs w:val="13"/>
                <w:color w:val="auto"/>
              </w:rPr>
              <w:t>(11)</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28,571</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5"/>
                <w:szCs w:val="15"/>
                <w:color w:val="auto"/>
              </w:rPr>
              <w:t>3/4/2019</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640" w:type="dxa"/>
            <w:vAlign w:val="bottom"/>
            <w:gridSpan w:val="4"/>
          </w:tcPr>
          <w:p>
            <w:pPr>
              <w:jc w:val="right"/>
              <w:ind w:right="280"/>
              <w:spacing w:after="0"/>
              <w:rPr>
                <w:sz w:val="20"/>
                <w:szCs w:val="20"/>
                <w:color w:val="auto"/>
              </w:rPr>
            </w:pPr>
            <w:r>
              <w:rPr>
                <w:rFonts w:ascii="Arial" w:cs="Arial" w:eastAsia="Arial" w:hAnsi="Arial"/>
                <w:sz w:val="15"/>
                <w:szCs w:val="15"/>
                <w:color w:val="auto"/>
              </w:rPr>
              <w:t>22,331</w:t>
            </w:r>
            <w:r>
              <w:rPr>
                <w:rFonts w:ascii="Arial" w:cs="Arial" w:eastAsia="Arial" w:hAnsi="Arial"/>
                <w:sz w:val="13"/>
                <w:szCs w:val="13"/>
                <w:color w:val="auto"/>
              </w:rPr>
              <w:t>(12)</w:t>
            </w:r>
          </w:p>
        </w:tc>
        <w:tc>
          <w:tcPr>
            <w:tcW w:w="700" w:type="dxa"/>
            <w:vAlign w:val="bottom"/>
          </w:tcPr>
          <w:p>
            <w:pPr>
              <w:jc w:val="right"/>
              <w:ind w:right="86"/>
              <w:spacing w:after="0"/>
              <w:rPr>
                <w:sz w:val="20"/>
                <w:szCs w:val="20"/>
                <w:color w:val="auto"/>
              </w:rPr>
            </w:pPr>
            <w:r>
              <w:rPr>
                <w:rFonts w:ascii="Arial" w:cs="Arial" w:eastAsia="Arial" w:hAnsi="Arial"/>
                <w:sz w:val="15"/>
                <w:szCs w:val="15"/>
                <w:color w:val="auto"/>
              </w:rPr>
              <w:t>16.17</w:t>
            </w:r>
          </w:p>
        </w:tc>
        <w:tc>
          <w:tcPr>
            <w:tcW w:w="860" w:type="dxa"/>
            <w:vAlign w:val="bottom"/>
          </w:tcPr>
          <w:p>
            <w:pPr>
              <w:jc w:val="right"/>
              <w:spacing w:after="0"/>
              <w:rPr>
                <w:sz w:val="20"/>
                <w:szCs w:val="20"/>
                <w:color w:val="auto"/>
              </w:rPr>
            </w:pPr>
            <w:r>
              <w:rPr>
                <w:rFonts w:ascii="Arial" w:cs="Arial" w:eastAsia="Arial" w:hAnsi="Arial"/>
                <w:sz w:val="15"/>
                <w:szCs w:val="15"/>
                <w:color w:val="auto"/>
              </w:rPr>
              <w:t>3/4/2026</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96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08"/>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9"/>
        </w:trPr>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480" w:type="dxa"/>
            <w:vAlign w:val="bottom"/>
            <w:shd w:val="clear" w:color="auto" w:fill="EDEDED"/>
          </w:tcPr>
          <w:p>
            <w:pPr>
              <w:spacing w:after="0"/>
              <w:rPr>
                <w:sz w:val="10"/>
                <w:szCs w:val="10"/>
                <w:color w:val="auto"/>
              </w:rPr>
            </w:pPr>
          </w:p>
        </w:tc>
        <w:tc>
          <w:tcPr>
            <w:tcW w:w="1060" w:type="dxa"/>
            <w:vAlign w:val="bottom"/>
            <w:gridSpan w:val="3"/>
            <w:shd w:val="clear" w:color="auto" w:fill="EDEDED"/>
          </w:tcPr>
          <w:p>
            <w:pPr>
              <w:jc w:val="right"/>
              <w:ind w:right="60"/>
              <w:spacing w:after="0" w:line="122" w:lineRule="exact"/>
              <w:rPr>
                <w:sz w:val="20"/>
                <w:szCs w:val="20"/>
                <w:color w:val="auto"/>
              </w:rPr>
            </w:pPr>
            <w:r>
              <w:rPr>
                <w:rFonts w:ascii="Arial" w:cs="Arial" w:eastAsia="Arial" w:hAnsi="Arial"/>
                <w:sz w:val="14"/>
                <w:szCs w:val="14"/>
                <w:color w:val="auto"/>
              </w:rPr>
              <w:t>7/26/2013</w:t>
            </w: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620" w:type="dxa"/>
            <w:vAlign w:val="bottom"/>
            <w:gridSpan w:val="2"/>
            <w:shd w:val="clear" w:color="auto" w:fill="EDEDED"/>
          </w:tcPr>
          <w:p>
            <w:pPr>
              <w:jc w:val="right"/>
              <w:ind w:right="60"/>
              <w:spacing w:after="0" w:line="122" w:lineRule="exact"/>
              <w:rPr>
                <w:sz w:val="20"/>
                <w:szCs w:val="20"/>
                <w:color w:val="auto"/>
              </w:rPr>
            </w:pPr>
            <w:r>
              <w:rPr>
                <w:rFonts w:ascii="Arial" w:cs="Arial" w:eastAsia="Arial" w:hAnsi="Arial"/>
                <w:sz w:val="14"/>
                <w:szCs w:val="14"/>
                <w:color w:val="auto"/>
              </w:rPr>
              <w:t>—</w:t>
            </w: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300" w:type="dxa"/>
            <w:vAlign w:val="bottom"/>
            <w:gridSpan w:val="2"/>
            <w:shd w:val="clear" w:color="auto" w:fill="EDEDED"/>
          </w:tcPr>
          <w:p>
            <w:pPr>
              <w:jc w:val="right"/>
              <w:ind w:right="520"/>
              <w:spacing w:after="0" w:line="122" w:lineRule="exact"/>
              <w:rPr>
                <w:sz w:val="20"/>
                <w:szCs w:val="20"/>
                <w:color w:val="auto"/>
              </w:rPr>
            </w:pPr>
            <w:r>
              <w:rPr>
                <w:rFonts w:ascii="Arial" w:cs="Arial" w:eastAsia="Arial" w:hAnsi="Arial"/>
                <w:sz w:val="14"/>
                <w:szCs w:val="14"/>
                <w:color w:val="auto"/>
              </w:rPr>
              <w:t>—</w:t>
            </w:r>
          </w:p>
        </w:tc>
        <w:tc>
          <w:tcPr>
            <w:tcW w:w="700" w:type="dxa"/>
            <w:vAlign w:val="bottom"/>
            <w:shd w:val="clear" w:color="auto" w:fill="EDEDED"/>
          </w:tcPr>
          <w:p>
            <w:pPr>
              <w:jc w:val="right"/>
              <w:ind w:right="86"/>
              <w:spacing w:after="0" w:line="122"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DEDED"/>
          </w:tcPr>
          <w:p>
            <w:pPr>
              <w:jc w:val="right"/>
              <w:ind w:right="320"/>
              <w:spacing w:after="0" w:line="122" w:lineRule="exact"/>
              <w:rPr>
                <w:sz w:val="20"/>
                <w:szCs w:val="20"/>
                <w:color w:val="auto"/>
              </w:rPr>
            </w:pPr>
            <w:r>
              <w:rPr>
                <w:rFonts w:ascii="Arial" w:cs="Arial" w:eastAsia="Arial" w:hAnsi="Arial"/>
                <w:sz w:val="14"/>
                <w:szCs w:val="14"/>
                <w:color w:val="auto"/>
              </w:rPr>
              <w:t>—</w:t>
            </w:r>
          </w:p>
        </w:tc>
        <w:tc>
          <w:tcPr>
            <w:tcW w:w="64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rPr>
              <w:t>22,236</w:t>
            </w: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(20)</w:t>
            </w:r>
          </w:p>
        </w:tc>
        <w:tc>
          <w:tcPr>
            <w:tcW w:w="960" w:type="dxa"/>
            <w:vAlign w:val="bottom"/>
            <w:shd w:val="clear" w:color="auto" w:fill="EDEDED"/>
          </w:tcPr>
          <w:p>
            <w:pPr>
              <w:jc w:val="right"/>
              <w:ind w:right="87"/>
              <w:spacing w:after="0" w:line="122" w:lineRule="exact"/>
              <w:rPr>
                <w:sz w:val="20"/>
                <w:szCs w:val="20"/>
                <w:color w:val="auto"/>
              </w:rPr>
            </w:pPr>
            <w:r>
              <w:rPr>
                <w:rFonts w:ascii="Arial" w:cs="Arial" w:eastAsia="Arial" w:hAnsi="Arial"/>
                <w:sz w:val="14"/>
                <w:szCs w:val="14"/>
                <w:color w:val="auto"/>
              </w:rPr>
              <w:t>222,138</w:t>
            </w:r>
          </w:p>
        </w:tc>
        <w:tc>
          <w:tcPr>
            <w:tcW w:w="1160" w:type="dxa"/>
            <w:vAlign w:val="bottom"/>
            <w:shd w:val="clear" w:color="auto" w:fill="EDEDED"/>
          </w:tcPr>
          <w:p>
            <w:pPr>
              <w:jc w:val="right"/>
              <w:ind w:right="308"/>
              <w:spacing w:after="0" w:line="122" w:lineRule="exact"/>
              <w:rPr>
                <w:sz w:val="20"/>
                <w:szCs w:val="20"/>
                <w:color w:val="auto"/>
              </w:rPr>
            </w:pPr>
            <w:r>
              <w:rPr>
                <w:rFonts w:ascii="Arial" w:cs="Arial" w:eastAsia="Arial" w:hAnsi="Arial"/>
                <w:sz w:val="14"/>
                <w:szCs w:val="14"/>
                <w:color w:val="auto"/>
              </w:rPr>
              <w:t>—</w:t>
            </w:r>
          </w:p>
        </w:tc>
        <w:tc>
          <w:tcPr>
            <w:tcW w:w="820" w:type="dxa"/>
            <w:vAlign w:val="bottom"/>
            <w:shd w:val="clear" w:color="auto" w:fill="EDEDED"/>
          </w:tcPr>
          <w:p>
            <w:pPr>
              <w:jc w:val="right"/>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740" w:type="dxa"/>
            <w:vAlign w:val="bottom"/>
            <w:gridSpan w:val="2"/>
            <w:vMerge w:val="restart"/>
            <w:shd w:val="clear" w:color="auto" w:fill="EDEDED"/>
          </w:tcPr>
          <w:p>
            <w:pPr>
              <w:jc w:val="right"/>
              <w:ind w:right="60"/>
              <w:spacing w:after="0" w:line="162" w:lineRule="exact"/>
              <w:rPr>
                <w:sz w:val="20"/>
                <w:szCs w:val="20"/>
                <w:color w:val="auto"/>
              </w:rPr>
            </w:pPr>
            <w:r>
              <w:rPr>
                <w:rFonts w:ascii="Arial" w:cs="Arial" w:eastAsia="Arial" w:hAnsi="Arial"/>
                <w:sz w:val="15"/>
                <w:szCs w:val="15"/>
                <w:color w:val="auto"/>
                <w:w w:val="98"/>
              </w:rPr>
              <w:t>9/24/2015</w:t>
            </w: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1300" w:type="dxa"/>
            <w:vAlign w:val="bottom"/>
            <w:gridSpan w:val="2"/>
            <w:vMerge w:val="restart"/>
            <w:shd w:val="clear" w:color="auto" w:fill="EDEDED"/>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EDEDED"/>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EDEDED"/>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19,351</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193,316</w:t>
            </w:r>
          </w:p>
        </w:tc>
        <w:tc>
          <w:tcPr>
            <w:tcW w:w="1160" w:type="dxa"/>
            <w:vAlign w:val="bottom"/>
            <w:vMerge w:val="restart"/>
            <w:shd w:val="clear" w:color="auto" w:fill="EDEDED"/>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74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300" w:type="dxa"/>
            <w:vAlign w:val="bottom"/>
            <w:gridSpan w:val="2"/>
            <w:vMerge w:val="continue"/>
            <w:shd w:val="clear" w:color="auto" w:fill="EDEDED"/>
          </w:tcPr>
          <w:p>
            <w:pPr>
              <w:spacing w:after="0"/>
              <w:rPr>
                <w:sz w:val="10"/>
                <w:szCs w:val="10"/>
                <w:color w:val="auto"/>
              </w:rPr>
            </w:pPr>
          </w:p>
        </w:tc>
        <w:tc>
          <w:tcPr>
            <w:tcW w:w="700" w:type="dxa"/>
            <w:vAlign w:val="bottom"/>
            <w:vMerge w:val="continue"/>
            <w:shd w:val="clear" w:color="auto" w:fill="EDEDED"/>
          </w:tcPr>
          <w:p>
            <w:pPr>
              <w:spacing w:after="0"/>
              <w:rPr>
                <w:sz w:val="10"/>
                <w:szCs w:val="10"/>
                <w:color w:val="auto"/>
              </w:rPr>
            </w:pPr>
          </w:p>
        </w:tc>
        <w:tc>
          <w:tcPr>
            <w:tcW w:w="1120" w:type="dxa"/>
            <w:vAlign w:val="bottom"/>
            <w:gridSpan w:val="2"/>
            <w:vMerge w:val="continue"/>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(21)</w:t>
            </w:r>
          </w:p>
        </w:tc>
        <w:tc>
          <w:tcPr>
            <w:tcW w:w="960" w:type="dxa"/>
            <w:vAlign w:val="bottom"/>
            <w:vMerge w:val="continue"/>
            <w:shd w:val="clear" w:color="auto" w:fill="EDEDED"/>
          </w:tcPr>
          <w:p>
            <w:pPr>
              <w:spacing w:after="0"/>
              <w:rPr>
                <w:sz w:val="10"/>
                <w:szCs w:val="10"/>
                <w:color w:val="auto"/>
              </w:rPr>
            </w:pPr>
          </w:p>
        </w:tc>
        <w:tc>
          <w:tcPr>
            <w:tcW w:w="1160" w:type="dxa"/>
            <w:vAlign w:val="bottom"/>
            <w:vMerge w:val="continue"/>
            <w:shd w:val="clear" w:color="auto" w:fill="EDEDED"/>
          </w:tcPr>
          <w:p>
            <w:pPr>
              <w:spacing w:after="0"/>
              <w:rPr>
                <w:sz w:val="10"/>
                <w:szCs w:val="10"/>
                <w:color w:val="auto"/>
              </w:rPr>
            </w:pPr>
          </w:p>
        </w:tc>
        <w:tc>
          <w:tcPr>
            <w:tcW w:w="82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2/25/2016</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560" w:type="dxa"/>
            <w:vAlign w:val="bottom"/>
            <w:shd w:val="clear" w:color="auto" w:fill="EDEDED"/>
          </w:tcPr>
          <w:p>
            <w:pPr>
              <w:spacing w:after="0"/>
              <w:rPr>
                <w:sz w:val="3"/>
                <w:szCs w:val="3"/>
                <w:color w:val="auto"/>
              </w:rPr>
            </w:pP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780" w:type="dxa"/>
            <w:vAlign w:val="bottom"/>
            <w:shd w:val="clear" w:color="auto" w:fill="EDEDED"/>
          </w:tcPr>
          <w:p>
            <w:pPr>
              <w:spacing w:after="0"/>
              <w:rPr>
                <w:sz w:val="3"/>
                <w:szCs w:val="3"/>
                <w:color w:val="auto"/>
              </w:rPr>
            </w:pPr>
          </w:p>
        </w:tc>
        <w:tc>
          <w:tcPr>
            <w:tcW w:w="520" w:type="dxa"/>
            <w:vAlign w:val="bottom"/>
            <w:shd w:val="clear" w:color="auto" w:fill="EDEDED"/>
          </w:tcPr>
          <w:p>
            <w:pPr>
              <w:spacing w:after="0"/>
              <w:rPr>
                <w:sz w:val="3"/>
                <w:szCs w:val="3"/>
                <w:color w:val="auto"/>
              </w:rPr>
            </w:pPr>
          </w:p>
        </w:tc>
        <w:tc>
          <w:tcPr>
            <w:tcW w:w="700" w:type="dxa"/>
            <w:vAlign w:val="bottom"/>
            <w:shd w:val="clear" w:color="auto" w:fill="EDEDED"/>
          </w:tcPr>
          <w:p>
            <w:pPr>
              <w:spacing w:after="0"/>
              <w:rPr>
                <w:sz w:val="3"/>
                <w:szCs w:val="3"/>
                <w:color w:val="auto"/>
              </w:rPr>
            </w:pPr>
          </w:p>
        </w:tc>
        <w:tc>
          <w:tcPr>
            <w:tcW w:w="8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12,050</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120,380</w:t>
            </w:r>
          </w:p>
        </w:tc>
        <w:tc>
          <w:tcPr>
            <w:tcW w:w="1160" w:type="dxa"/>
            <w:vAlign w:val="bottom"/>
            <w:shd w:val="clear" w:color="auto" w:fill="EDEDED"/>
          </w:tcPr>
          <w:p>
            <w:pPr>
              <w:spacing w:after="0"/>
              <w:rPr>
                <w:sz w:val="3"/>
                <w:szCs w:val="3"/>
                <w:color w:val="auto"/>
              </w:rPr>
            </w:pPr>
          </w:p>
        </w:tc>
        <w:tc>
          <w:tcPr>
            <w:tcW w:w="82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560" w:type="dxa"/>
            <w:vAlign w:val="bottom"/>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780" w:type="dxa"/>
            <w:vAlign w:val="bottom"/>
            <w:shd w:val="clear" w:color="auto" w:fill="EDEDED"/>
          </w:tcPr>
          <w:p>
            <w:pPr>
              <w:spacing w:after="0"/>
              <w:rPr>
                <w:sz w:val="10"/>
                <w:szCs w:val="10"/>
                <w:color w:val="auto"/>
              </w:rPr>
            </w:pPr>
          </w:p>
        </w:tc>
        <w:tc>
          <w:tcPr>
            <w:tcW w:w="520" w:type="dxa"/>
            <w:vAlign w:val="bottom"/>
            <w:shd w:val="clear" w:color="auto" w:fill="EDEDED"/>
          </w:tcPr>
          <w:p>
            <w:pPr>
              <w:spacing w:after="0"/>
              <w:rPr>
                <w:sz w:val="10"/>
                <w:szCs w:val="10"/>
                <w:color w:val="auto"/>
              </w:rPr>
            </w:pPr>
          </w:p>
        </w:tc>
        <w:tc>
          <w:tcPr>
            <w:tcW w:w="70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(3)</w:t>
            </w:r>
          </w:p>
        </w:tc>
        <w:tc>
          <w:tcPr>
            <w:tcW w:w="960" w:type="dxa"/>
            <w:vAlign w:val="bottom"/>
            <w:vMerge w:val="continue"/>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82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2/28/2017</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1300" w:type="dxa"/>
            <w:vAlign w:val="bottom"/>
            <w:gridSpan w:val="2"/>
            <w:vMerge w:val="restart"/>
            <w:shd w:val="clear" w:color="auto" w:fill="EDEDED"/>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EDEDED"/>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EDEDED"/>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19,907</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198,871</w:t>
            </w:r>
          </w:p>
        </w:tc>
        <w:tc>
          <w:tcPr>
            <w:tcW w:w="1160" w:type="dxa"/>
            <w:vAlign w:val="bottom"/>
            <w:vMerge w:val="restart"/>
            <w:shd w:val="clear" w:color="auto" w:fill="EDEDED"/>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300" w:type="dxa"/>
            <w:vAlign w:val="bottom"/>
            <w:gridSpan w:val="2"/>
            <w:vMerge w:val="continue"/>
            <w:shd w:val="clear" w:color="auto" w:fill="EDEDED"/>
          </w:tcPr>
          <w:p>
            <w:pPr>
              <w:spacing w:after="0"/>
              <w:rPr>
                <w:sz w:val="10"/>
                <w:szCs w:val="10"/>
                <w:color w:val="auto"/>
              </w:rPr>
            </w:pPr>
          </w:p>
        </w:tc>
        <w:tc>
          <w:tcPr>
            <w:tcW w:w="700" w:type="dxa"/>
            <w:vAlign w:val="bottom"/>
            <w:vMerge w:val="continue"/>
            <w:shd w:val="clear" w:color="auto" w:fill="EDEDED"/>
          </w:tcPr>
          <w:p>
            <w:pPr>
              <w:spacing w:after="0"/>
              <w:rPr>
                <w:sz w:val="10"/>
                <w:szCs w:val="10"/>
                <w:color w:val="auto"/>
              </w:rPr>
            </w:pPr>
          </w:p>
        </w:tc>
        <w:tc>
          <w:tcPr>
            <w:tcW w:w="1120" w:type="dxa"/>
            <w:vAlign w:val="bottom"/>
            <w:gridSpan w:val="2"/>
            <w:vMerge w:val="continue"/>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(5)</w:t>
            </w:r>
          </w:p>
        </w:tc>
        <w:tc>
          <w:tcPr>
            <w:tcW w:w="960" w:type="dxa"/>
            <w:vAlign w:val="bottom"/>
            <w:vMerge w:val="continue"/>
            <w:shd w:val="clear" w:color="auto" w:fill="EDEDED"/>
          </w:tcPr>
          <w:p>
            <w:pPr>
              <w:spacing w:after="0"/>
              <w:rPr>
                <w:sz w:val="10"/>
                <w:szCs w:val="10"/>
                <w:color w:val="auto"/>
              </w:rPr>
            </w:pPr>
          </w:p>
        </w:tc>
        <w:tc>
          <w:tcPr>
            <w:tcW w:w="1160" w:type="dxa"/>
            <w:vAlign w:val="bottom"/>
            <w:vMerge w:val="continue"/>
            <w:shd w:val="clear" w:color="auto" w:fill="EDEDED"/>
          </w:tcPr>
          <w:p>
            <w:pPr>
              <w:spacing w:after="0"/>
              <w:rPr>
                <w:sz w:val="10"/>
                <w:szCs w:val="10"/>
                <w:color w:val="auto"/>
              </w:rPr>
            </w:pPr>
          </w:p>
        </w:tc>
        <w:tc>
          <w:tcPr>
            <w:tcW w:w="82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2/28/2017</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1300" w:type="dxa"/>
            <w:vAlign w:val="bottom"/>
            <w:gridSpan w:val="2"/>
            <w:vMerge w:val="restart"/>
            <w:shd w:val="clear" w:color="auto" w:fill="EDEDED"/>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EDEDED"/>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EDEDED"/>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23,933</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239,091</w:t>
            </w:r>
          </w:p>
        </w:tc>
        <w:tc>
          <w:tcPr>
            <w:tcW w:w="1160" w:type="dxa"/>
            <w:vAlign w:val="bottom"/>
            <w:vMerge w:val="restart"/>
            <w:shd w:val="clear" w:color="auto" w:fill="EDEDED"/>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300" w:type="dxa"/>
            <w:vAlign w:val="bottom"/>
            <w:gridSpan w:val="2"/>
            <w:vMerge w:val="continue"/>
            <w:shd w:val="clear" w:color="auto" w:fill="EDEDED"/>
          </w:tcPr>
          <w:p>
            <w:pPr>
              <w:spacing w:after="0"/>
              <w:rPr>
                <w:sz w:val="10"/>
                <w:szCs w:val="10"/>
                <w:color w:val="auto"/>
              </w:rPr>
            </w:pPr>
          </w:p>
        </w:tc>
        <w:tc>
          <w:tcPr>
            <w:tcW w:w="700" w:type="dxa"/>
            <w:vAlign w:val="bottom"/>
            <w:vMerge w:val="continue"/>
            <w:shd w:val="clear" w:color="auto" w:fill="EDEDED"/>
          </w:tcPr>
          <w:p>
            <w:pPr>
              <w:spacing w:after="0"/>
              <w:rPr>
                <w:sz w:val="10"/>
                <w:szCs w:val="10"/>
                <w:color w:val="auto"/>
              </w:rPr>
            </w:pPr>
          </w:p>
        </w:tc>
        <w:tc>
          <w:tcPr>
            <w:tcW w:w="1120" w:type="dxa"/>
            <w:vAlign w:val="bottom"/>
            <w:gridSpan w:val="2"/>
            <w:vMerge w:val="continue"/>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(14)</w:t>
            </w:r>
          </w:p>
        </w:tc>
        <w:tc>
          <w:tcPr>
            <w:tcW w:w="960" w:type="dxa"/>
            <w:vAlign w:val="bottom"/>
            <w:vMerge w:val="continue"/>
            <w:shd w:val="clear" w:color="auto" w:fill="EDEDED"/>
          </w:tcPr>
          <w:p>
            <w:pPr>
              <w:spacing w:after="0"/>
              <w:rPr>
                <w:sz w:val="10"/>
                <w:szCs w:val="10"/>
                <w:color w:val="auto"/>
              </w:rPr>
            </w:pPr>
          </w:p>
        </w:tc>
        <w:tc>
          <w:tcPr>
            <w:tcW w:w="1160" w:type="dxa"/>
            <w:vAlign w:val="bottom"/>
            <w:vMerge w:val="continue"/>
            <w:shd w:val="clear" w:color="auto" w:fill="EDEDED"/>
          </w:tcPr>
          <w:p>
            <w:pPr>
              <w:spacing w:after="0"/>
              <w:rPr>
                <w:sz w:val="10"/>
                <w:szCs w:val="10"/>
                <w:color w:val="auto"/>
              </w:rPr>
            </w:pPr>
          </w:p>
        </w:tc>
        <w:tc>
          <w:tcPr>
            <w:tcW w:w="82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2/28/2017</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620" w:type="dxa"/>
            <w:vAlign w:val="bottom"/>
            <w:gridSpan w:val="2"/>
            <w:vMerge w:val="restart"/>
            <w:shd w:val="clear" w:color="auto" w:fill="EDEDED"/>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1300" w:type="dxa"/>
            <w:vAlign w:val="bottom"/>
            <w:gridSpan w:val="2"/>
            <w:vMerge w:val="restart"/>
            <w:shd w:val="clear" w:color="auto" w:fill="EDEDED"/>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EDEDED"/>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EDEDED"/>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16,788</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167,712</w:t>
            </w:r>
          </w:p>
        </w:tc>
        <w:tc>
          <w:tcPr>
            <w:tcW w:w="1160" w:type="dxa"/>
            <w:vAlign w:val="bottom"/>
            <w:vMerge w:val="restart"/>
            <w:shd w:val="clear" w:color="auto" w:fill="EDEDED"/>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vMerge w:val="restart"/>
            <w:shd w:val="clear" w:color="auto" w:fill="EDEDED"/>
          </w:tcPr>
          <w:p>
            <w:pPr>
              <w:ind w:left="60"/>
              <w:spacing w:after="0"/>
              <w:rPr>
                <w:sz w:val="20"/>
                <w:szCs w:val="20"/>
                <w:color w:val="auto"/>
              </w:rPr>
            </w:pPr>
            <w:r>
              <w:rPr>
                <w:rFonts w:ascii="Arial" w:cs="Arial" w:eastAsia="Arial" w:hAnsi="Arial"/>
                <w:sz w:val="15"/>
                <w:szCs w:val="15"/>
                <w:color w:val="auto"/>
              </w:rPr>
              <w:t>Peter Bracke</w:t>
            </w:r>
          </w:p>
        </w:tc>
        <w:tc>
          <w:tcPr>
            <w:tcW w:w="32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620" w:type="dxa"/>
            <w:vAlign w:val="bottom"/>
            <w:gridSpan w:val="2"/>
            <w:vMerge w:val="continue"/>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300" w:type="dxa"/>
            <w:vAlign w:val="bottom"/>
            <w:gridSpan w:val="2"/>
            <w:vMerge w:val="continue"/>
            <w:shd w:val="clear" w:color="auto" w:fill="EDEDED"/>
          </w:tcPr>
          <w:p>
            <w:pPr>
              <w:spacing w:after="0"/>
              <w:rPr>
                <w:sz w:val="10"/>
                <w:szCs w:val="10"/>
                <w:color w:val="auto"/>
              </w:rPr>
            </w:pPr>
          </w:p>
        </w:tc>
        <w:tc>
          <w:tcPr>
            <w:tcW w:w="700" w:type="dxa"/>
            <w:vAlign w:val="bottom"/>
            <w:vMerge w:val="continue"/>
            <w:shd w:val="clear" w:color="auto" w:fill="EDEDED"/>
          </w:tcPr>
          <w:p>
            <w:pPr>
              <w:spacing w:after="0"/>
              <w:rPr>
                <w:sz w:val="10"/>
                <w:szCs w:val="10"/>
                <w:color w:val="auto"/>
              </w:rPr>
            </w:pPr>
          </w:p>
        </w:tc>
        <w:tc>
          <w:tcPr>
            <w:tcW w:w="1120" w:type="dxa"/>
            <w:vAlign w:val="bottom"/>
            <w:gridSpan w:val="2"/>
            <w:vMerge w:val="continue"/>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(6)</w:t>
            </w:r>
          </w:p>
        </w:tc>
        <w:tc>
          <w:tcPr>
            <w:tcW w:w="960" w:type="dxa"/>
            <w:vAlign w:val="bottom"/>
            <w:vMerge w:val="continue"/>
            <w:shd w:val="clear" w:color="auto" w:fill="EDEDED"/>
          </w:tcPr>
          <w:p>
            <w:pPr>
              <w:spacing w:after="0"/>
              <w:rPr>
                <w:sz w:val="10"/>
                <w:szCs w:val="10"/>
                <w:color w:val="auto"/>
              </w:rPr>
            </w:pPr>
          </w:p>
        </w:tc>
        <w:tc>
          <w:tcPr>
            <w:tcW w:w="1160" w:type="dxa"/>
            <w:vAlign w:val="bottom"/>
            <w:vMerge w:val="continue"/>
            <w:shd w:val="clear" w:color="auto" w:fill="EDEDED"/>
          </w:tcPr>
          <w:p>
            <w:pPr>
              <w:spacing w:after="0"/>
              <w:rPr>
                <w:sz w:val="10"/>
                <w:szCs w:val="10"/>
                <w:color w:val="auto"/>
              </w:rPr>
            </w:pPr>
          </w:p>
        </w:tc>
        <w:tc>
          <w:tcPr>
            <w:tcW w:w="82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vMerge w:val="continue"/>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2/27/2018</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1300" w:type="dxa"/>
            <w:vAlign w:val="bottom"/>
            <w:gridSpan w:val="2"/>
            <w:vMerge w:val="restart"/>
            <w:shd w:val="clear" w:color="auto" w:fill="EDEDED"/>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EDEDED"/>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EDEDED"/>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6,538</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65,315</w:t>
            </w:r>
          </w:p>
        </w:tc>
        <w:tc>
          <w:tcPr>
            <w:tcW w:w="1160" w:type="dxa"/>
            <w:vAlign w:val="bottom"/>
            <w:vMerge w:val="restart"/>
            <w:shd w:val="clear" w:color="auto" w:fill="EDEDED"/>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04"/>
        </w:trPr>
        <w:tc>
          <w:tcPr>
            <w:tcW w:w="1480" w:type="dxa"/>
            <w:vAlign w:val="bottom"/>
            <w:vMerge w:val="continue"/>
            <w:shd w:val="clear" w:color="auto" w:fill="EDEDED"/>
          </w:tcPr>
          <w:p>
            <w:pPr>
              <w:spacing w:after="0"/>
              <w:rPr>
                <w:sz w:val="9"/>
                <w:szCs w:val="9"/>
                <w:color w:val="auto"/>
              </w:rPr>
            </w:pPr>
          </w:p>
        </w:tc>
        <w:tc>
          <w:tcPr>
            <w:tcW w:w="320" w:type="dxa"/>
            <w:vAlign w:val="bottom"/>
            <w:shd w:val="clear" w:color="auto" w:fill="EDEDED"/>
          </w:tcPr>
          <w:p>
            <w:pPr>
              <w:spacing w:after="0"/>
              <w:rPr>
                <w:sz w:val="9"/>
                <w:szCs w:val="9"/>
                <w:color w:val="auto"/>
              </w:rPr>
            </w:pPr>
          </w:p>
        </w:tc>
        <w:tc>
          <w:tcPr>
            <w:tcW w:w="680" w:type="dxa"/>
            <w:vAlign w:val="bottom"/>
            <w:vMerge w:val="continue"/>
            <w:shd w:val="clear" w:color="auto" w:fill="EDEDED"/>
          </w:tcPr>
          <w:p>
            <w:pPr>
              <w:spacing w:after="0"/>
              <w:rPr>
                <w:sz w:val="9"/>
                <w:szCs w:val="9"/>
                <w:color w:val="auto"/>
              </w:rPr>
            </w:pPr>
          </w:p>
        </w:tc>
        <w:tc>
          <w:tcPr>
            <w:tcW w:w="60" w:type="dxa"/>
            <w:vAlign w:val="bottom"/>
            <w:shd w:val="clear" w:color="auto" w:fill="EDEDED"/>
          </w:tcPr>
          <w:p>
            <w:pPr>
              <w:spacing w:after="0"/>
              <w:rPr>
                <w:sz w:val="9"/>
                <w:szCs w:val="9"/>
                <w:color w:val="auto"/>
              </w:rPr>
            </w:pPr>
          </w:p>
        </w:tc>
        <w:tc>
          <w:tcPr>
            <w:tcW w:w="260" w:type="dxa"/>
            <w:vAlign w:val="bottom"/>
            <w:shd w:val="clear" w:color="auto" w:fill="EDEDED"/>
          </w:tcPr>
          <w:p>
            <w:pPr>
              <w:spacing w:after="0"/>
              <w:rPr>
                <w:sz w:val="9"/>
                <w:szCs w:val="9"/>
                <w:color w:val="auto"/>
              </w:rPr>
            </w:pPr>
          </w:p>
        </w:tc>
        <w:tc>
          <w:tcPr>
            <w:tcW w:w="180" w:type="dxa"/>
            <w:vAlign w:val="bottom"/>
            <w:shd w:val="clear" w:color="auto" w:fill="EDEDED"/>
          </w:tcPr>
          <w:p>
            <w:pPr>
              <w:spacing w:after="0"/>
              <w:rPr>
                <w:sz w:val="9"/>
                <w:szCs w:val="9"/>
                <w:color w:val="auto"/>
              </w:rPr>
            </w:pPr>
          </w:p>
        </w:tc>
        <w:tc>
          <w:tcPr>
            <w:tcW w:w="560" w:type="dxa"/>
            <w:vAlign w:val="bottom"/>
            <w:vMerge w:val="continue"/>
            <w:shd w:val="clear" w:color="auto" w:fill="EDEDED"/>
          </w:tcPr>
          <w:p>
            <w:pPr>
              <w:spacing w:after="0"/>
              <w:rPr>
                <w:sz w:val="9"/>
                <w:szCs w:val="9"/>
                <w:color w:val="auto"/>
              </w:rPr>
            </w:pPr>
          </w:p>
        </w:tc>
        <w:tc>
          <w:tcPr>
            <w:tcW w:w="60" w:type="dxa"/>
            <w:vAlign w:val="bottom"/>
            <w:shd w:val="clear" w:color="auto" w:fill="EDEDED"/>
          </w:tcPr>
          <w:p>
            <w:pPr>
              <w:spacing w:after="0"/>
              <w:rPr>
                <w:sz w:val="9"/>
                <w:szCs w:val="9"/>
                <w:color w:val="auto"/>
              </w:rPr>
            </w:pPr>
          </w:p>
        </w:tc>
        <w:tc>
          <w:tcPr>
            <w:tcW w:w="260" w:type="dxa"/>
            <w:vAlign w:val="bottom"/>
            <w:shd w:val="clear" w:color="auto" w:fill="EDEDED"/>
          </w:tcPr>
          <w:p>
            <w:pPr>
              <w:spacing w:after="0"/>
              <w:rPr>
                <w:sz w:val="9"/>
                <w:szCs w:val="9"/>
                <w:color w:val="auto"/>
              </w:rPr>
            </w:pPr>
          </w:p>
        </w:tc>
        <w:tc>
          <w:tcPr>
            <w:tcW w:w="80" w:type="dxa"/>
            <w:vAlign w:val="bottom"/>
            <w:shd w:val="clear" w:color="auto" w:fill="EDEDED"/>
          </w:tcPr>
          <w:p>
            <w:pPr>
              <w:spacing w:after="0"/>
              <w:rPr>
                <w:sz w:val="9"/>
                <w:szCs w:val="9"/>
                <w:color w:val="auto"/>
              </w:rPr>
            </w:pPr>
          </w:p>
        </w:tc>
        <w:tc>
          <w:tcPr>
            <w:tcW w:w="1300" w:type="dxa"/>
            <w:vAlign w:val="bottom"/>
            <w:gridSpan w:val="2"/>
            <w:vMerge w:val="continue"/>
            <w:shd w:val="clear" w:color="auto" w:fill="EDEDED"/>
          </w:tcPr>
          <w:p>
            <w:pPr>
              <w:spacing w:after="0"/>
              <w:rPr>
                <w:sz w:val="9"/>
                <w:szCs w:val="9"/>
                <w:color w:val="auto"/>
              </w:rPr>
            </w:pPr>
          </w:p>
        </w:tc>
        <w:tc>
          <w:tcPr>
            <w:tcW w:w="700" w:type="dxa"/>
            <w:vAlign w:val="bottom"/>
            <w:vMerge w:val="continue"/>
            <w:shd w:val="clear" w:color="auto" w:fill="EDEDED"/>
          </w:tcPr>
          <w:p>
            <w:pPr>
              <w:spacing w:after="0"/>
              <w:rPr>
                <w:sz w:val="9"/>
                <w:szCs w:val="9"/>
                <w:color w:val="auto"/>
              </w:rPr>
            </w:pPr>
          </w:p>
        </w:tc>
        <w:tc>
          <w:tcPr>
            <w:tcW w:w="1120" w:type="dxa"/>
            <w:vAlign w:val="bottom"/>
            <w:gridSpan w:val="2"/>
            <w:vMerge w:val="continue"/>
            <w:shd w:val="clear" w:color="auto" w:fill="EDEDED"/>
          </w:tcPr>
          <w:p>
            <w:pPr>
              <w:spacing w:after="0"/>
              <w:rPr>
                <w:sz w:val="9"/>
                <w:szCs w:val="9"/>
                <w:color w:val="auto"/>
              </w:rPr>
            </w:pPr>
          </w:p>
        </w:tc>
        <w:tc>
          <w:tcPr>
            <w:tcW w:w="640" w:type="dxa"/>
            <w:vAlign w:val="bottom"/>
            <w:vMerge w:val="continue"/>
            <w:shd w:val="clear" w:color="auto" w:fill="EDEDED"/>
          </w:tcPr>
          <w:p>
            <w:pPr>
              <w:spacing w:after="0"/>
              <w:rPr>
                <w:sz w:val="9"/>
                <w:szCs w:val="9"/>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(16)</w:t>
            </w:r>
          </w:p>
        </w:tc>
        <w:tc>
          <w:tcPr>
            <w:tcW w:w="960" w:type="dxa"/>
            <w:vAlign w:val="bottom"/>
            <w:vMerge w:val="continue"/>
            <w:shd w:val="clear" w:color="auto" w:fill="EDEDED"/>
          </w:tcPr>
          <w:p>
            <w:pPr>
              <w:spacing w:after="0"/>
              <w:rPr>
                <w:sz w:val="9"/>
                <w:szCs w:val="9"/>
                <w:color w:val="auto"/>
              </w:rPr>
            </w:pPr>
          </w:p>
        </w:tc>
        <w:tc>
          <w:tcPr>
            <w:tcW w:w="1160" w:type="dxa"/>
            <w:vAlign w:val="bottom"/>
            <w:vMerge w:val="continue"/>
            <w:shd w:val="clear" w:color="auto" w:fill="EDEDED"/>
          </w:tcPr>
          <w:p>
            <w:pPr>
              <w:spacing w:after="0"/>
              <w:rPr>
                <w:sz w:val="9"/>
                <w:szCs w:val="9"/>
                <w:color w:val="auto"/>
              </w:rPr>
            </w:pPr>
          </w:p>
        </w:tc>
        <w:tc>
          <w:tcPr>
            <w:tcW w:w="820" w:type="dxa"/>
            <w:vAlign w:val="bottom"/>
            <w:vMerge w:val="continue"/>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EDEDED"/>
          </w:tcPr>
          <w:p>
            <w:pPr>
              <w:spacing w:after="0" w:line="20" w:lineRule="exact"/>
              <w:rPr>
                <w:sz w:val="1"/>
                <w:szCs w:val="1"/>
                <w:color w:val="auto"/>
              </w:rPr>
            </w:pPr>
          </w:p>
        </w:tc>
        <w:tc>
          <w:tcPr>
            <w:tcW w:w="320" w:type="dxa"/>
            <w:vAlign w:val="bottom"/>
            <w:shd w:val="clear" w:color="auto" w:fill="EDEDED"/>
          </w:tcPr>
          <w:p>
            <w:pPr>
              <w:spacing w:after="0" w:line="20" w:lineRule="exact"/>
              <w:rPr>
                <w:sz w:val="1"/>
                <w:szCs w:val="1"/>
                <w:color w:val="auto"/>
              </w:rPr>
            </w:pPr>
          </w:p>
        </w:tc>
        <w:tc>
          <w:tcPr>
            <w:tcW w:w="680" w:type="dxa"/>
            <w:vAlign w:val="bottom"/>
            <w:vMerge w:val="continue"/>
            <w:shd w:val="clear" w:color="auto" w:fill="EDEDED"/>
          </w:tcPr>
          <w:p>
            <w:pPr>
              <w:spacing w:after="0" w:line="20" w:lineRule="exact"/>
              <w:rPr>
                <w:sz w:val="1"/>
                <w:szCs w:val="1"/>
                <w:color w:val="auto"/>
              </w:rPr>
            </w:pPr>
          </w:p>
        </w:tc>
        <w:tc>
          <w:tcPr>
            <w:tcW w:w="60" w:type="dxa"/>
            <w:vAlign w:val="bottom"/>
            <w:shd w:val="clear" w:color="auto" w:fill="EDEDED"/>
          </w:tcPr>
          <w:p>
            <w:pPr>
              <w:spacing w:after="0" w:line="20" w:lineRule="exact"/>
              <w:rPr>
                <w:sz w:val="1"/>
                <w:szCs w:val="1"/>
                <w:color w:val="auto"/>
              </w:rPr>
            </w:pPr>
          </w:p>
        </w:tc>
        <w:tc>
          <w:tcPr>
            <w:tcW w:w="260" w:type="dxa"/>
            <w:vAlign w:val="bottom"/>
            <w:shd w:val="clear" w:color="auto" w:fill="EDEDED"/>
          </w:tcPr>
          <w:p>
            <w:pPr>
              <w:spacing w:after="0" w:line="20" w:lineRule="exact"/>
              <w:rPr>
                <w:sz w:val="1"/>
                <w:szCs w:val="1"/>
                <w:color w:val="auto"/>
              </w:rPr>
            </w:pPr>
          </w:p>
        </w:tc>
        <w:tc>
          <w:tcPr>
            <w:tcW w:w="180" w:type="dxa"/>
            <w:vAlign w:val="bottom"/>
            <w:shd w:val="clear" w:color="auto" w:fill="EDEDED"/>
          </w:tcPr>
          <w:p>
            <w:pPr>
              <w:spacing w:after="0" w:line="20" w:lineRule="exact"/>
              <w:rPr>
                <w:sz w:val="1"/>
                <w:szCs w:val="1"/>
                <w:color w:val="auto"/>
              </w:rPr>
            </w:pPr>
          </w:p>
        </w:tc>
        <w:tc>
          <w:tcPr>
            <w:tcW w:w="560" w:type="dxa"/>
            <w:vAlign w:val="bottom"/>
            <w:vMerge w:val="continue"/>
            <w:shd w:val="clear" w:color="auto" w:fill="EDEDED"/>
          </w:tcPr>
          <w:p>
            <w:pPr>
              <w:spacing w:after="0" w:line="20" w:lineRule="exact"/>
              <w:rPr>
                <w:sz w:val="1"/>
                <w:szCs w:val="1"/>
                <w:color w:val="auto"/>
              </w:rPr>
            </w:pPr>
          </w:p>
        </w:tc>
        <w:tc>
          <w:tcPr>
            <w:tcW w:w="60" w:type="dxa"/>
            <w:vAlign w:val="bottom"/>
            <w:shd w:val="clear" w:color="auto" w:fill="EDEDED"/>
          </w:tcPr>
          <w:p>
            <w:pPr>
              <w:spacing w:after="0" w:line="20" w:lineRule="exact"/>
              <w:rPr>
                <w:sz w:val="1"/>
                <w:szCs w:val="1"/>
                <w:color w:val="auto"/>
              </w:rPr>
            </w:pPr>
          </w:p>
        </w:tc>
        <w:tc>
          <w:tcPr>
            <w:tcW w:w="260" w:type="dxa"/>
            <w:vAlign w:val="bottom"/>
            <w:shd w:val="clear" w:color="auto" w:fill="EDEDED"/>
          </w:tcPr>
          <w:p>
            <w:pPr>
              <w:spacing w:after="0" w:line="20" w:lineRule="exact"/>
              <w:rPr>
                <w:sz w:val="1"/>
                <w:szCs w:val="1"/>
                <w:color w:val="auto"/>
              </w:rPr>
            </w:pPr>
          </w:p>
        </w:tc>
        <w:tc>
          <w:tcPr>
            <w:tcW w:w="80" w:type="dxa"/>
            <w:vAlign w:val="bottom"/>
            <w:shd w:val="clear" w:color="auto" w:fill="EDEDED"/>
          </w:tcPr>
          <w:p>
            <w:pPr>
              <w:spacing w:after="0" w:line="20" w:lineRule="exact"/>
              <w:rPr>
                <w:sz w:val="1"/>
                <w:szCs w:val="1"/>
                <w:color w:val="auto"/>
              </w:rPr>
            </w:pPr>
          </w:p>
        </w:tc>
        <w:tc>
          <w:tcPr>
            <w:tcW w:w="1300" w:type="dxa"/>
            <w:vAlign w:val="bottom"/>
            <w:gridSpan w:val="2"/>
            <w:vMerge w:val="continue"/>
            <w:shd w:val="clear" w:color="auto" w:fill="EDEDED"/>
          </w:tcPr>
          <w:p>
            <w:pPr>
              <w:spacing w:after="0" w:line="20" w:lineRule="exact"/>
              <w:rPr>
                <w:sz w:val="1"/>
                <w:szCs w:val="1"/>
                <w:color w:val="auto"/>
              </w:rPr>
            </w:pPr>
          </w:p>
        </w:tc>
        <w:tc>
          <w:tcPr>
            <w:tcW w:w="700" w:type="dxa"/>
            <w:vAlign w:val="bottom"/>
            <w:vMerge w:val="continue"/>
            <w:shd w:val="clear" w:color="auto" w:fill="EDEDED"/>
          </w:tcPr>
          <w:p>
            <w:pPr>
              <w:spacing w:after="0" w:line="20" w:lineRule="exact"/>
              <w:rPr>
                <w:sz w:val="1"/>
                <w:szCs w:val="1"/>
                <w:color w:val="auto"/>
              </w:rPr>
            </w:pPr>
          </w:p>
        </w:tc>
        <w:tc>
          <w:tcPr>
            <w:tcW w:w="1120" w:type="dxa"/>
            <w:vAlign w:val="bottom"/>
            <w:gridSpan w:val="2"/>
            <w:vMerge w:val="continue"/>
            <w:shd w:val="clear" w:color="auto" w:fill="EDEDED"/>
          </w:tcPr>
          <w:p>
            <w:pPr>
              <w:spacing w:after="0" w:line="20" w:lineRule="exact"/>
              <w:rPr>
                <w:sz w:val="1"/>
                <w:szCs w:val="1"/>
                <w:color w:val="auto"/>
              </w:rPr>
            </w:pPr>
          </w:p>
        </w:tc>
        <w:tc>
          <w:tcPr>
            <w:tcW w:w="640" w:type="dxa"/>
            <w:vAlign w:val="bottom"/>
            <w:vMerge w:val="continue"/>
            <w:shd w:val="clear" w:color="auto" w:fill="EDEDED"/>
          </w:tcPr>
          <w:p>
            <w:pPr>
              <w:spacing w:after="0" w:line="20" w:lineRule="exact"/>
              <w:rPr>
                <w:sz w:val="1"/>
                <w:szCs w:val="1"/>
                <w:color w:val="auto"/>
              </w:rPr>
            </w:pPr>
          </w:p>
        </w:tc>
        <w:tc>
          <w:tcPr>
            <w:tcW w:w="380" w:type="dxa"/>
            <w:vAlign w:val="bottom"/>
            <w:vMerge w:val="continue"/>
            <w:shd w:val="clear" w:color="auto" w:fill="EDEDED"/>
          </w:tcPr>
          <w:p>
            <w:pPr>
              <w:spacing w:after="0" w:line="20" w:lineRule="exact"/>
              <w:rPr>
                <w:sz w:val="1"/>
                <w:szCs w:val="1"/>
                <w:color w:val="auto"/>
              </w:rPr>
            </w:pPr>
          </w:p>
        </w:tc>
        <w:tc>
          <w:tcPr>
            <w:tcW w:w="960" w:type="dxa"/>
            <w:vAlign w:val="bottom"/>
            <w:vMerge w:val="continue"/>
            <w:shd w:val="clear" w:color="auto" w:fill="EDEDED"/>
          </w:tcPr>
          <w:p>
            <w:pPr>
              <w:spacing w:after="0" w:line="20" w:lineRule="exact"/>
              <w:rPr>
                <w:sz w:val="1"/>
                <w:szCs w:val="1"/>
                <w:color w:val="auto"/>
              </w:rPr>
            </w:pPr>
          </w:p>
        </w:tc>
        <w:tc>
          <w:tcPr>
            <w:tcW w:w="1160" w:type="dxa"/>
            <w:vAlign w:val="bottom"/>
            <w:vMerge w:val="continue"/>
            <w:shd w:val="clear" w:color="auto" w:fill="EDEDED"/>
          </w:tcPr>
          <w:p>
            <w:pPr>
              <w:spacing w:after="0" w:line="20" w:lineRule="exact"/>
              <w:rPr>
                <w:sz w:val="1"/>
                <w:szCs w:val="1"/>
                <w:color w:val="auto"/>
              </w:rPr>
            </w:pPr>
          </w:p>
        </w:tc>
        <w:tc>
          <w:tcPr>
            <w:tcW w:w="820" w:type="dxa"/>
            <w:vAlign w:val="bottom"/>
            <w:vMerge w:val="continue"/>
            <w:shd w:val="clear" w:color="auto" w:fill="EDEDE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w w:val="98"/>
              </w:rPr>
              <w:t>2/27/2018</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1300" w:type="dxa"/>
            <w:vAlign w:val="bottom"/>
            <w:gridSpan w:val="2"/>
            <w:vMerge w:val="restart"/>
            <w:shd w:val="clear" w:color="auto" w:fill="EDEDED"/>
          </w:tcPr>
          <w:p>
            <w:pPr>
              <w:jc w:val="right"/>
              <w:ind w:right="520"/>
              <w:spacing w:after="0" w:line="162" w:lineRule="exact"/>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EDEDED"/>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EDEDED"/>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4,794</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47,892</w:t>
            </w:r>
          </w:p>
        </w:tc>
        <w:tc>
          <w:tcPr>
            <w:tcW w:w="1160" w:type="dxa"/>
            <w:vAlign w:val="bottom"/>
            <w:vMerge w:val="restart"/>
            <w:shd w:val="clear" w:color="auto" w:fill="EDEDED"/>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56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300" w:type="dxa"/>
            <w:vAlign w:val="bottom"/>
            <w:gridSpan w:val="2"/>
            <w:vMerge w:val="continue"/>
            <w:shd w:val="clear" w:color="auto" w:fill="EDEDED"/>
          </w:tcPr>
          <w:p>
            <w:pPr>
              <w:spacing w:after="0"/>
              <w:rPr>
                <w:sz w:val="10"/>
                <w:szCs w:val="10"/>
                <w:color w:val="auto"/>
              </w:rPr>
            </w:pPr>
          </w:p>
        </w:tc>
        <w:tc>
          <w:tcPr>
            <w:tcW w:w="700" w:type="dxa"/>
            <w:vAlign w:val="bottom"/>
            <w:vMerge w:val="continue"/>
            <w:shd w:val="clear" w:color="auto" w:fill="EDEDED"/>
          </w:tcPr>
          <w:p>
            <w:pPr>
              <w:spacing w:after="0"/>
              <w:rPr>
                <w:sz w:val="10"/>
                <w:szCs w:val="10"/>
                <w:color w:val="auto"/>
              </w:rPr>
            </w:pPr>
          </w:p>
        </w:tc>
        <w:tc>
          <w:tcPr>
            <w:tcW w:w="1120" w:type="dxa"/>
            <w:vAlign w:val="bottom"/>
            <w:gridSpan w:val="2"/>
            <w:vMerge w:val="continue"/>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(22)</w:t>
            </w:r>
          </w:p>
        </w:tc>
        <w:tc>
          <w:tcPr>
            <w:tcW w:w="960" w:type="dxa"/>
            <w:vAlign w:val="bottom"/>
            <w:vMerge w:val="continue"/>
            <w:shd w:val="clear" w:color="auto" w:fill="EDEDED"/>
          </w:tcPr>
          <w:p>
            <w:pPr>
              <w:spacing w:after="0"/>
              <w:rPr>
                <w:sz w:val="10"/>
                <w:szCs w:val="10"/>
                <w:color w:val="auto"/>
              </w:rPr>
            </w:pPr>
          </w:p>
        </w:tc>
        <w:tc>
          <w:tcPr>
            <w:tcW w:w="1160" w:type="dxa"/>
            <w:vAlign w:val="bottom"/>
            <w:vMerge w:val="continue"/>
            <w:shd w:val="clear" w:color="auto" w:fill="EDEDED"/>
          </w:tcPr>
          <w:p>
            <w:pPr>
              <w:spacing w:after="0"/>
              <w:rPr>
                <w:sz w:val="10"/>
                <w:szCs w:val="10"/>
                <w:color w:val="auto"/>
              </w:rPr>
            </w:pPr>
          </w:p>
        </w:tc>
        <w:tc>
          <w:tcPr>
            <w:tcW w:w="82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3/4/2019</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380" w:type="dxa"/>
            <w:vAlign w:val="bottom"/>
            <w:gridSpan w:val="3"/>
            <w:vMerge w:val="restart"/>
            <w:shd w:val="clear" w:color="auto" w:fill="EDEDED"/>
          </w:tcPr>
          <w:p>
            <w:pPr>
              <w:jc w:val="right"/>
              <w:ind w:right="280"/>
              <w:spacing w:after="0"/>
              <w:rPr>
                <w:sz w:val="20"/>
                <w:szCs w:val="20"/>
                <w:color w:val="auto"/>
              </w:rPr>
            </w:pPr>
            <w:r>
              <w:rPr>
                <w:rFonts w:ascii="Arial" w:cs="Arial" w:eastAsia="Arial" w:hAnsi="Arial"/>
                <w:sz w:val="15"/>
                <w:szCs w:val="15"/>
                <w:color w:val="auto"/>
              </w:rPr>
              <w:t>12,543</w:t>
            </w:r>
            <w:r>
              <w:rPr>
                <w:rFonts w:ascii="Arial" w:cs="Arial" w:eastAsia="Arial" w:hAnsi="Arial"/>
                <w:sz w:val="13"/>
                <w:szCs w:val="13"/>
                <w:color w:val="auto"/>
              </w:rPr>
              <w:t>(13)</w:t>
            </w:r>
          </w:p>
        </w:tc>
        <w:tc>
          <w:tcPr>
            <w:tcW w:w="700" w:type="dxa"/>
            <w:vAlign w:val="bottom"/>
            <w:vMerge w:val="restart"/>
            <w:shd w:val="clear" w:color="auto" w:fill="EDEDED"/>
          </w:tcPr>
          <w:p>
            <w:pPr>
              <w:jc w:val="right"/>
              <w:ind w:right="86"/>
              <w:spacing w:after="0"/>
              <w:rPr>
                <w:sz w:val="20"/>
                <w:szCs w:val="20"/>
                <w:color w:val="auto"/>
              </w:rPr>
            </w:pPr>
            <w:r>
              <w:rPr>
                <w:rFonts w:ascii="Arial" w:cs="Arial" w:eastAsia="Arial" w:hAnsi="Arial"/>
                <w:sz w:val="15"/>
                <w:szCs w:val="15"/>
                <w:color w:val="auto"/>
              </w:rPr>
              <w:t>16.17</w:t>
            </w:r>
          </w:p>
        </w:tc>
        <w:tc>
          <w:tcPr>
            <w:tcW w:w="86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3/4/2026</w:t>
            </w:r>
          </w:p>
        </w:tc>
        <w:tc>
          <w:tcPr>
            <w:tcW w:w="260" w:type="dxa"/>
            <w:vAlign w:val="bottom"/>
            <w:shd w:val="clear" w:color="auto" w:fill="EDEDED"/>
          </w:tcPr>
          <w:p>
            <w:pPr>
              <w:spacing w:after="0"/>
              <w:rPr>
                <w:sz w:val="3"/>
                <w:szCs w:val="3"/>
                <w:color w:val="auto"/>
              </w:rPr>
            </w:pPr>
          </w:p>
        </w:tc>
        <w:tc>
          <w:tcPr>
            <w:tcW w:w="64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rPr>
                <w:sz w:val="20"/>
                <w:szCs w:val="20"/>
                <w:color w:val="auto"/>
              </w:rPr>
            </w:pPr>
            <w:r>
              <w:rPr>
                <w:rFonts w:ascii="Arial" w:cs="Arial" w:eastAsia="Arial" w:hAnsi="Arial"/>
                <w:sz w:val="15"/>
                <w:szCs w:val="15"/>
                <w:color w:val="auto"/>
              </w:rPr>
              <w:t>—</w:t>
            </w:r>
          </w:p>
        </w:tc>
        <w:tc>
          <w:tcPr>
            <w:tcW w:w="1160" w:type="dxa"/>
            <w:vAlign w:val="bottom"/>
            <w:vMerge w:val="restart"/>
            <w:shd w:val="clear" w:color="auto" w:fill="EDEDED"/>
          </w:tcPr>
          <w:p>
            <w:pPr>
              <w:jc w:val="right"/>
              <w:ind w:right="308"/>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1"/>
        </w:trPr>
        <w:tc>
          <w:tcPr>
            <w:tcW w:w="14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680" w:type="dxa"/>
            <w:vAlign w:val="bottom"/>
            <w:vMerge w:val="continue"/>
            <w:shd w:val="clear" w:color="auto" w:fill="EDEDED"/>
          </w:tcPr>
          <w:p>
            <w:pPr>
              <w:spacing w:after="0"/>
              <w:rPr>
                <w:sz w:val="14"/>
                <w:szCs w:val="14"/>
                <w:color w:val="auto"/>
              </w:rPr>
            </w:pPr>
          </w:p>
        </w:tc>
        <w:tc>
          <w:tcPr>
            <w:tcW w:w="60" w:type="dxa"/>
            <w:vAlign w:val="bottom"/>
            <w:shd w:val="clear" w:color="auto" w:fill="EDEDED"/>
          </w:tcPr>
          <w:p>
            <w:pPr>
              <w:spacing w:after="0"/>
              <w:rPr>
                <w:sz w:val="14"/>
                <w:szCs w:val="14"/>
                <w:color w:val="auto"/>
              </w:rPr>
            </w:pPr>
          </w:p>
        </w:tc>
        <w:tc>
          <w:tcPr>
            <w:tcW w:w="260" w:type="dxa"/>
            <w:vAlign w:val="bottom"/>
            <w:shd w:val="clear" w:color="auto" w:fill="EDEDED"/>
          </w:tcPr>
          <w:p>
            <w:pPr>
              <w:spacing w:after="0"/>
              <w:rPr>
                <w:sz w:val="14"/>
                <w:szCs w:val="14"/>
                <w:color w:val="auto"/>
              </w:rPr>
            </w:pPr>
          </w:p>
        </w:tc>
        <w:tc>
          <w:tcPr>
            <w:tcW w:w="180" w:type="dxa"/>
            <w:vAlign w:val="bottom"/>
            <w:shd w:val="clear" w:color="auto" w:fill="EDEDED"/>
          </w:tcPr>
          <w:p>
            <w:pPr>
              <w:spacing w:after="0"/>
              <w:rPr>
                <w:sz w:val="14"/>
                <w:szCs w:val="14"/>
                <w:color w:val="auto"/>
              </w:rPr>
            </w:pPr>
          </w:p>
        </w:tc>
        <w:tc>
          <w:tcPr>
            <w:tcW w:w="560" w:type="dxa"/>
            <w:vAlign w:val="bottom"/>
            <w:vMerge w:val="continue"/>
            <w:shd w:val="clear" w:color="auto" w:fill="EDEDED"/>
          </w:tcPr>
          <w:p>
            <w:pPr>
              <w:spacing w:after="0"/>
              <w:rPr>
                <w:sz w:val="14"/>
                <w:szCs w:val="14"/>
                <w:color w:val="auto"/>
              </w:rPr>
            </w:pPr>
          </w:p>
        </w:tc>
        <w:tc>
          <w:tcPr>
            <w:tcW w:w="60" w:type="dxa"/>
            <w:vAlign w:val="bottom"/>
            <w:shd w:val="clear" w:color="auto" w:fill="EDEDED"/>
          </w:tcPr>
          <w:p>
            <w:pPr>
              <w:spacing w:after="0"/>
              <w:rPr>
                <w:sz w:val="14"/>
                <w:szCs w:val="14"/>
                <w:color w:val="auto"/>
              </w:rPr>
            </w:pPr>
          </w:p>
        </w:tc>
        <w:tc>
          <w:tcPr>
            <w:tcW w:w="260" w:type="dxa"/>
            <w:vAlign w:val="bottom"/>
            <w:shd w:val="clear" w:color="auto" w:fill="EDEDED"/>
          </w:tcPr>
          <w:p>
            <w:pPr>
              <w:spacing w:after="0"/>
              <w:rPr>
                <w:sz w:val="14"/>
                <w:szCs w:val="14"/>
                <w:color w:val="auto"/>
              </w:rPr>
            </w:pPr>
          </w:p>
        </w:tc>
        <w:tc>
          <w:tcPr>
            <w:tcW w:w="1380" w:type="dxa"/>
            <w:vAlign w:val="bottom"/>
            <w:gridSpan w:val="3"/>
            <w:vMerge w:val="continue"/>
            <w:shd w:val="clear" w:color="auto" w:fill="EDEDED"/>
          </w:tcPr>
          <w:p>
            <w:pPr>
              <w:spacing w:after="0"/>
              <w:rPr>
                <w:sz w:val="14"/>
                <w:szCs w:val="14"/>
                <w:color w:val="auto"/>
              </w:rPr>
            </w:pPr>
          </w:p>
        </w:tc>
        <w:tc>
          <w:tcPr>
            <w:tcW w:w="700" w:type="dxa"/>
            <w:vAlign w:val="bottom"/>
            <w:vMerge w:val="continue"/>
            <w:shd w:val="clear" w:color="auto" w:fill="EDEDED"/>
          </w:tcPr>
          <w:p>
            <w:pPr>
              <w:spacing w:after="0"/>
              <w:rPr>
                <w:sz w:val="14"/>
                <w:szCs w:val="14"/>
                <w:color w:val="auto"/>
              </w:rPr>
            </w:pPr>
          </w:p>
        </w:tc>
        <w:tc>
          <w:tcPr>
            <w:tcW w:w="860" w:type="dxa"/>
            <w:vAlign w:val="bottom"/>
            <w:vMerge w:val="continue"/>
            <w:shd w:val="clear" w:color="auto" w:fill="EDEDED"/>
          </w:tcPr>
          <w:p>
            <w:pPr>
              <w:spacing w:after="0"/>
              <w:rPr>
                <w:sz w:val="14"/>
                <w:szCs w:val="14"/>
                <w:color w:val="auto"/>
              </w:rPr>
            </w:pPr>
          </w:p>
        </w:tc>
        <w:tc>
          <w:tcPr>
            <w:tcW w:w="260" w:type="dxa"/>
            <w:vAlign w:val="bottom"/>
            <w:shd w:val="clear" w:color="auto" w:fill="EDEDED"/>
          </w:tcPr>
          <w:p>
            <w:pPr>
              <w:spacing w:after="0"/>
              <w:rPr>
                <w:sz w:val="14"/>
                <w:szCs w:val="14"/>
                <w:color w:val="auto"/>
              </w:rPr>
            </w:pPr>
          </w:p>
        </w:tc>
        <w:tc>
          <w:tcPr>
            <w:tcW w:w="640" w:type="dxa"/>
            <w:vAlign w:val="bottom"/>
            <w:vMerge w:val="continue"/>
            <w:shd w:val="clear" w:color="auto" w:fill="EDEDED"/>
          </w:tcPr>
          <w:p>
            <w:pPr>
              <w:spacing w:after="0"/>
              <w:rPr>
                <w:sz w:val="14"/>
                <w:szCs w:val="14"/>
                <w:color w:val="auto"/>
              </w:rPr>
            </w:pPr>
          </w:p>
        </w:tc>
        <w:tc>
          <w:tcPr>
            <w:tcW w:w="380" w:type="dxa"/>
            <w:vAlign w:val="bottom"/>
            <w:shd w:val="clear" w:color="auto" w:fill="EDEDED"/>
          </w:tcPr>
          <w:p>
            <w:pPr>
              <w:spacing w:after="0"/>
              <w:rPr>
                <w:sz w:val="14"/>
                <w:szCs w:val="14"/>
                <w:color w:val="auto"/>
              </w:rPr>
            </w:pPr>
          </w:p>
        </w:tc>
        <w:tc>
          <w:tcPr>
            <w:tcW w:w="960" w:type="dxa"/>
            <w:vAlign w:val="bottom"/>
            <w:vMerge w:val="continue"/>
            <w:shd w:val="clear" w:color="auto" w:fill="EDEDED"/>
          </w:tcPr>
          <w:p>
            <w:pPr>
              <w:spacing w:after="0"/>
              <w:rPr>
                <w:sz w:val="14"/>
                <w:szCs w:val="14"/>
                <w:color w:val="auto"/>
              </w:rPr>
            </w:pPr>
          </w:p>
        </w:tc>
        <w:tc>
          <w:tcPr>
            <w:tcW w:w="1160" w:type="dxa"/>
            <w:vAlign w:val="bottom"/>
            <w:vMerge w:val="continue"/>
            <w:shd w:val="clear" w:color="auto" w:fill="EDEDED"/>
          </w:tcPr>
          <w:p>
            <w:pPr>
              <w:spacing w:after="0"/>
              <w:rPr>
                <w:sz w:val="14"/>
                <w:szCs w:val="14"/>
                <w:color w:val="auto"/>
              </w:rPr>
            </w:pPr>
          </w:p>
        </w:tc>
        <w:tc>
          <w:tcPr>
            <w:tcW w:w="820" w:type="dxa"/>
            <w:vAlign w:val="bottom"/>
            <w:vMerge w:val="continue"/>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68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3/4/2019</w:t>
            </w: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56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w:t>
            </w: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1300" w:type="dxa"/>
            <w:vAlign w:val="bottom"/>
            <w:gridSpan w:val="2"/>
            <w:shd w:val="clear" w:color="auto" w:fill="EDEDED"/>
          </w:tcPr>
          <w:p>
            <w:pPr>
              <w:jc w:val="right"/>
              <w:ind w:right="520"/>
              <w:spacing w:after="0" w:line="125" w:lineRule="exact"/>
              <w:rPr>
                <w:sz w:val="20"/>
                <w:szCs w:val="20"/>
                <w:color w:val="auto"/>
              </w:rPr>
            </w:pPr>
            <w:r>
              <w:rPr>
                <w:rFonts w:ascii="Arial" w:cs="Arial" w:eastAsia="Arial" w:hAnsi="Arial"/>
                <w:sz w:val="14"/>
                <w:szCs w:val="14"/>
                <w:color w:val="auto"/>
              </w:rPr>
              <w:t>—</w:t>
            </w:r>
          </w:p>
        </w:tc>
        <w:tc>
          <w:tcPr>
            <w:tcW w:w="700" w:type="dxa"/>
            <w:vAlign w:val="bottom"/>
            <w:shd w:val="clear" w:color="auto" w:fill="EDEDED"/>
          </w:tcPr>
          <w:p>
            <w:pPr>
              <w:jc w:val="right"/>
              <w:ind w:right="86"/>
              <w:spacing w:after="0" w:line="125"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DEDED"/>
          </w:tcPr>
          <w:p>
            <w:pPr>
              <w:jc w:val="right"/>
              <w:ind w:right="320"/>
              <w:spacing w:after="0" w:line="125" w:lineRule="exact"/>
              <w:rPr>
                <w:sz w:val="20"/>
                <w:szCs w:val="20"/>
                <w:color w:val="auto"/>
              </w:rPr>
            </w:pPr>
            <w:r>
              <w:rPr>
                <w:rFonts w:ascii="Arial" w:cs="Arial" w:eastAsia="Arial" w:hAnsi="Arial"/>
                <w:sz w:val="14"/>
                <w:szCs w:val="14"/>
                <w:color w:val="auto"/>
              </w:rPr>
              <w:t>—</w:t>
            </w:r>
          </w:p>
        </w:tc>
        <w:tc>
          <w:tcPr>
            <w:tcW w:w="64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11,185</w:t>
            </w: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(9)</w:t>
            </w:r>
          </w:p>
        </w:tc>
        <w:tc>
          <w:tcPr>
            <w:tcW w:w="960" w:type="dxa"/>
            <w:vAlign w:val="bottom"/>
            <w:shd w:val="clear" w:color="auto" w:fill="EDEDED"/>
          </w:tcPr>
          <w:p>
            <w:pPr>
              <w:jc w:val="right"/>
              <w:ind w:right="87"/>
              <w:spacing w:after="0" w:line="125" w:lineRule="exact"/>
              <w:rPr>
                <w:sz w:val="20"/>
                <w:szCs w:val="20"/>
                <w:color w:val="auto"/>
              </w:rPr>
            </w:pPr>
            <w:r>
              <w:rPr>
                <w:rFonts w:ascii="Arial" w:cs="Arial" w:eastAsia="Arial" w:hAnsi="Arial"/>
                <w:sz w:val="14"/>
                <w:szCs w:val="14"/>
                <w:color w:val="auto"/>
              </w:rPr>
              <w:t>111,738</w:t>
            </w:r>
          </w:p>
        </w:tc>
        <w:tc>
          <w:tcPr>
            <w:tcW w:w="1160" w:type="dxa"/>
            <w:vAlign w:val="bottom"/>
            <w:shd w:val="clear" w:color="auto" w:fill="EDEDED"/>
          </w:tcPr>
          <w:p>
            <w:pPr>
              <w:jc w:val="right"/>
              <w:ind w:right="308"/>
              <w:spacing w:after="0" w:line="125" w:lineRule="exact"/>
              <w:rPr>
                <w:sz w:val="20"/>
                <w:szCs w:val="20"/>
                <w:color w:val="auto"/>
              </w:rPr>
            </w:pPr>
            <w:r>
              <w:rPr>
                <w:rFonts w:ascii="Arial" w:cs="Arial" w:eastAsia="Arial" w:hAnsi="Arial"/>
                <w:sz w:val="14"/>
                <w:szCs w:val="14"/>
                <w:color w:val="auto"/>
              </w:rPr>
              <w:t>—</w:t>
            </w:r>
          </w:p>
        </w:tc>
        <w:tc>
          <w:tcPr>
            <w:tcW w:w="820" w:type="dxa"/>
            <w:vAlign w:val="bottom"/>
            <w:shd w:val="clear" w:color="auto" w:fill="EDEDED"/>
          </w:tcPr>
          <w:p>
            <w:pPr>
              <w:jc w:val="right"/>
              <w:spacing w:after="0" w:line="12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3/4/2019</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56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7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EDEDED"/>
          </w:tcPr>
          <w:p>
            <w:pPr>
              <w:spacing w:after="0"/>
              <w:rPr>
                <w:sz w:val="3"/>
                <w:szCs w:val="3"/>
                <w:color w:val="auto"/>
              </w:rPr>
            </w:pPr>
          </w:p>
        </w:tc>
        <w:tc>
          <w:tcPr>
            <w:tcW w:w="700" w:type="dxa"/>
            <w:vAlign w:val="bottom"/>
            <w:vMerge w:val="restart"/>
            <w:shd w:val="clear" w:color="auto" w:fill="EDEDED"/>
          </w:tcPr>
          <w:p>
            <w:pPr>
              <w:jc w:val="right"/>
              <w:ind w:right="86"/>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EDEDED"/>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5,647</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56,414</w:t>
            </w:r>
          </w:p>
        </w:tc>
        <w:tc>
          <w:tcPr>
            <w:tcW w:w="1160" w:type="dxa"/>
            <w:vAlign w:val="bottom"/>
            <w:vMerge w:val="restart"/>
            <w:shd w:val="clear" w:color="auto" w:fill="EDEDED"/>
          </w:tcPr>
          <w:p>
            <w:pPr>
              <w:jc w:val="right"/>
              <w:ind w:right="308"/>
              <w:spacing w:after="0" w:line="162" w:lineRule="exact"/>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56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780" w:type="dxa"/>
            <w:vAlign w:val="bottom"/>
            <w:vMerge w:val="continue"/>
            <w:shd w:val="clear" w:color="auto" w:fill="EDEDED"/>
          </w:tcPr>
          <w:p>
            <w:pPr>
              <w:spacing w:after="0"/>
              <w:rPr>
                <w:sz w:val="10"/>
                <w:szCs w:val="10"/>
                <w:color w:val="auto"/>
              </w:rPr>
            </w:pPr>
          </w:p>
        </w:tc>
        <w:tc>
          <w:tcPr>
            <w:tcW w:w="520" w:type="dxa"/>
            <w:vAlign w:val="bottom"/>
            <w:shd w:val="clear" w:color="auto" w:fill="EDEDED"/>
          </w:tcPr>
          <w:p>
            <w:pPr>
              <w:spacing w:after="0"/>
              <w:rPr>
                <w:sz w:val="10"/>
                <w:szCs w:val="10"/>
                <w:color w:val="auto"/>
              </w:rPr>
            </w:pPr>
          </w:p>
        </w:tc>
        <w:tc>
          <w:tcPr>
            <w:tcW w:w="700" w:type="dxa"/>
            <w:vAlign w:val="bottom"/>
            <w:vMerge w:val="continue"/>
            <w:shd w:val="clear" w:color="auto" w:fill="EDEDED"/>
          </w:tcPr>
          <w:p>
            <w:pPr>
              <w:spacing w:after="0"/>
              <w:rPr>
                <w:sz w:val="10"/>
                <w:szCs w:val="10"/>
                <w:color w:val="auto"/>
              </w:rPr>
            </w:pPr>
          </w:p>
        </w:tc>
        <w:tc>
          <w:tcPr>
            <w:tcW w:w="1120" w:type="dxa"/>
            <w:vAlign w:val="bottom"/>
            <w:gridSpan w:val="2"/>
            <w:vMerge w:val="continue"/>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(23)</w:t>
            </w:r>
          </w:p>
        </w:tc>
        <w:tc>
          <w:tcPr>
            <w:tcW w:w="960" w:type="dxa"/>
            <w:vAlign w:val="bottom"/>
            <w:vMerge w:val="continue"/>
            <w:shd w:val="clear" w:color="auto" w:fill="EDEDED"/>
          </w:tcPr>
          <w:p>
            <w:pPr>
              <w:spacing w:after="0"/>
              <w:rPr>
                <w:sz w:val="10"/>
                <w:szCs w:val="10"/>
                <w:color w:val="auto"/>
              </w:rPr>
            </w:pPr>
          </w:p>
        </w:tc>
        <w:tc>
          <w:tcPr>
            <w:tcW w:w="1160" w:type="dxa"/>
            <w:vAlign w:val="bottom"/>
            <w:vMerge w:val="continue"/>
            <w:shd w:val="clear" w:color="auto" w:fill="EDEDED"/>
          </w:tcPr>
          <w:p>
            <w:pPr>
              <w:spacing w:after="0"/>
              <w:rPr>
                <w:sz w:val="10"/>
                <w:szCs w:val="10"/>
                <w:color w:val="auto"/>
              </w:rPr>
            </w:pPr>
          </w:p>
        </w:tc>
        <w:tc>
          <w:tcPr>
            <w:tcW w:w="820" w:type="dxa"/>
            <w:vAlign w:val="bottom"/>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9/6/2019</w:t>
            </w: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560" w:type="dxa"/>
            <w:vAlign w:val="bottom"/>
            <w:shd w:val="clear" w:color="auto" w:fill="EDEDED"/>
          </w:tcPr>
          <w:p>
            <w:pPr>
              <w:spacing w:after="0"/>
              <w:rPr>
                <w:sz w:val="3"/>
                <w:szCs w:val="3"/>
                <w:color w:val="auto"/>
              </w:rPr>
            </w:pP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780" w:type="dxa"/>
            <w:vAlign w:val="bottom"/>
            <w:shd w:val="clear" w:color="auto" w:fill="EDEDED"/>
          </w:tcPr>
          <w:p>
            <w:pPr>
              <w:spacing w:after="0"/>
              <w:rPr>
                <w:sz w:val="3"/>
                <w:szCs w:val="3"/>
                <w:color w:val="auto"/>
              </w:rPr>
            </w:pPr>
          </w:p>
        </w:tc>
        <w:tc>
          <w:tcPr>
            <w:tcW w:w="520" w:type="dxa"/>
            <w:vAlign w:val="bottom"/>
            <w:shd w:val="clear" w:color="auto" w:fill="EDEDED"/>
          </w:tcPr>
          <w:p>
            <w:pPr>
              <w:spacing w:after="0"/>
              <w:rPr>
                <w:sz w:val="3"/>
                <w:szCs w:val="3"/>
                <w:color w:val="auto"/>
              </w:rPr>
            </w:pPr>
          </w:p>
        </w:tc>
        <w:tc>
          <w:tcPr>
            <w:tcW w:w="700" w:type="dxa"/>
            <w:vAlign w:val="bottom"/>
            <w:shd w:val="clear" w:color="auto" w:fill="EDEDED"/>
          </w:tcPr>
          <w:p>
            <w:pPr>
              <w:spacing w:after="0"/>
              <w:rPr>
                <w:sz w:val="3"/>
                <w:szCs w:val="3"/>
                <w:color w:val="auto"/>
              </w:rPr>
            </w:pPr>
          </w:p>
        </w:tc>
        <w:tc>
          <w:tcPr>
            <w:tcW w:w="8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640" w:type="dxa"/>
            <w:vAlign w:val="bottom"/>
            <w:vMerge w:val="restart"/>
            <w:shd w:val="clear" w:color="auto" w:fill="EDEDED"/>
          </w:tcPr>
          <w:p>
            <w:pPr>
              <w:jc w:val="right"/>
              <w:spacing w:after="0" w:line="162" w:lineRule="exact"/>
              <w:rPr>
                <w:sz w:val="20"/>
                <w:szCs w:val="20"/>
                <w:color w:val="auto"/>
              </w:rPr>
            </w:pPr>
            <w:r>
              <w:rPr>
                <w:rFonts w:ascii="Arial" w:cs="Arial" w:eastAsia="Arial" w:hAnsi="Arial"/>
                <w:sz w:val="15"/>
                <w:szCs w:val="15"/>
                <w:color w:val="auto"/>
              </w:rPr>
              <w:t>20,111</w:t>
            </w:r>
          </w:p>
        </w:tc>
        <w:tc>
          <w:tcPr>
            <w:tcW w:w="380" w:type="dxa"/>
            <w:vAlign w:val="bottom"/>
            <w:vMerge w:val="continue"/>
            <w:shd w:val="clear" w:color="auto" w:fill="EDEDED"/>
          </w:tcPr>
          <w:p>
            <w:pPr>
              <w:spacing w:after="0"/>
              <w:rPr>
                <w:sz w:val="3"/>
                <w:szCs w:val="3"/>
                <w:color w:val="auto"/>
              </w:rPr>
            </w:pPr>
          </w:p>
        </w:tc>
        <w:tc>
          <w:tcPr>
            <w:tcW w:w="960" w:type="dxa"/>
            <w:vAlign w:val="bottom"/>
            <w:vMerge w:val="restart"/>
            <w:shd w:val="clear" w:color="auto" w:fill="EDEDED"/>
          </w:tcPr>
          <w:p>
            <w:pPr>
              <w:jc w:val="right"/>
              <w:ind w:right="87"/>
              <w:spacing w:after="0" w:line="162" w:lineRule="exact"/>
              <w:rPr>
                <w:sz w:val="20"/>
                <w:szCs w:val="20"/>
                <w:color w:val="auto"/>
              </w:rPr>
            </w:pPr>
            <w:r>
              <w:rPr>
                <w:rFonts w:ascii="Arial" w:cs="Arial" w:eastAsia="Arial" w:hAnsi="Arial"/>
                <w:sz w:val="15"/>
                <w:szCs w:val="15"/>
                <w:color w:val="auto"/>
              </w:rPr>
              <w:t>200,909</w:t>
            </w:r>
          </w:p>
        </w:tc>
        <w:tc>
          <w:tcPr>
            <w:tcW w:w="1160" w:type="dxa"/>
            <w:vAlign w:val="bottom"/>
            <w:shd w:val="clear" w:color="auto" w:fill="EDEDED"/>
          </w:tcPr>
          <w:p>
            <w:pPr>
              <w:spacing w:after="0"/>
              <w:rPr>
                <w:sz w:val="3"/>
                <w:szCs w:val="3"/>
                <w:color w:val="auto"/>
              </w:rPr>
            </w:pPr>
          </w:p>
        </w:tc>
        <w:tc>
          <w:tcPr>
            <w:tcW w:w="82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EDEDED"/>
          </w:tcPr>
          <w:p>
            <w:pPr>
              <w:spacing w:after="0"/>
              <w:rPr>
                <w:sz w:val="10"/>
                <w:szCs w:val="10"/>
                <w:color w:val="auto"/>
              </w:rPr>
            </w:pPr>
          </w:p>
        </w:tc>
        <w:tc>
          <w:tcPr>
            <w:tcW w:w="320" w:type="dxa"/>
            <w:vAlign w:val="bottom"/>
            <w:shd w:val="clear" w:color="auto" w:fill="EDEDED"/>
          </w:tcPr>
          <w:p>
            <w:pPr>
              <w:spacing w:after="0"/>
              <w:rPr>
                <w:sz w:val="10"/>
                <w:szCs w:val="10"/>
                <w:color w:val="auto"/>
              </w:rPr>
            </w:pPr>
          </w:p>
        </w:tc>
        <w:tc>
          <w:tcPr>
            <w:tcW w:w="680" w:type="dxa"/>
            <w:vAlign w:val="bottom"/>
            <w:vMerge w:val="continue"/>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180" w:type="dxa"/>
            <w:vAlign w:val="bottom"/>
            <w:shd w:val="clear" w:color="auto" w:fill="EDEDED"/>
          </w:tcPr>
          <w:p>
            <w:pPr>
              <w:spacing w:after="0"/>
              <w:rPr>
                <w:sz w:val="10"/>
                <w:szCs w:val="10"/>
                <w:color w:val="auto"/>
              </w:rPr>
            </w:pPr>
          </w:p>
        </w:tc>
        <w:tc>
          <w:tcPr>
            <w:tcW w:w="560" w:type="dxa"/>
            <w:vAlign w:val="bottom"/>
            <w:shd w:val="clear" w:color="auto" w:fill="EDEDED"/>
          </w:tcPr>
          <w:p>
            <w:pPr>
              <w:spacing w:after="0"/>
              <w:rPr>
                <w:sz w:val="10"/>
                <w:szCs w:val="10"/>
                <w:color w:val="auto"/>
              </w:rPr>
            </w:pPr>
          </w:p>
        </w:tc>
        <w:tc>
          <w:tcPr>
            <w:tcW w:w="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80" w:type="dxa"/>
            <w:vAlign w:val="bottom"/>
            <w:shd w:val="clear" w:color="auto" w:fill="EDEDED"/>
          </w:tcPr>
          <w:p>
            <w:pPr>
              <w:spacing w:after="0"/>
              <w:rPr>
                <w:sz w:val="10"/>
                <w:szCs w:val="10"/>
                <w:color w:val="auto"/>
              </w:rPr>
            </w:pPr>
          </w:p>
        </w:tc>
        <w:tc>
          <w:tcPr>
            <w:tcW w:w="780" w:type="dxa"/>
            <w:vAlign w:val="bottom"/>
            <w:shd w:val="clear" w:color="auto" w:fill="EDEDED"/>
          </w:tcPr>
          <w:p>
            <w:pPr>
              <w:spacing w:after="0"/>
              <w:rPr>
                <w:sz w:val="10"/>
                <w:szCs w:val="10"/>
                <w:color w:val="auto"/>
              </w:rPr>
            </w:pPr>
          </w:p>
        </w:tc>
        <w:tc>
          <w:tcPr>
            <w:tcW w:w="520" w:type="dxa"/>
            <w:vAlign w:val="bottom"/>
            <w:shd w:val="clear" w:color="auto" w:fill="EDEDED"/>
          </w:tcPr>
          <w:p>
            <w:pPr>
              <w:spacing w:after="0"/>
              <w:rPr>
                <w:sz w:val="10"/>
                <w:szCs w:val="10"/>
                <w:color w:val="auto"/>
              </w:rPr>
            </w:pPr>
          </w:p>
        </w:tc>
        <w:tc>
          <w:tcPr>
            <w:tcW w:w="700" w:type="dxa"/>
            <w:vAlign w:val="bottom"/>
            <w:shd w:val="clear" w:color="auto" w:fill="EDEDED"/>
          </w:tcPr>
          <w:p>
            <w:pPr>
              <w:spacing w:after="0"/>
              <w:rPr>
                <w:sz w:val="10"/>
                <w:szCs w:val="10"/>
                <w:color w:val="auto"/>
              </w:rPr>
            </w:pPr>
          </w:p>
        </w:tc>
        <w:tc>
          <w:tcPr>
            <w:tcW w:w="86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640" w:type="dxa"/>
            <w:vAlign w:val="bottom"/>
            <w:vMerge w:val="continue"/>
            <w:shd w:val="clear" w:color="auto" w:fill="EDEDED"/>
          </w:tcPr>
          <w:p>
            <w:pPr>
              <w:spacing w:after="0"/>
              <w:rPr>
                <w:sz w:val="10"/>
                <w:szCs w:val="10"/>
                <w:color w:val="auto"/>
              </w:rPr>
            </w:pPr>
          </w:p>
        </w:tc>
        <w:tc>
          <w:tcPr>
            <w:tcW w:w="380" w:type="dxa"/>
            <w:vAlign w:val="bottom"/>
            <w:vMerge w:val="restart"/>
            <w:shd w:val="clear" w:color="auto" w:fill="EDEDED"/>
          </w:tcPr>
          <w:p>
            <w:pPr>
              <w:spacing w:after="0"/>
              <w:rPr>
                <w:sz w:val="20"/>
                <w:szCs w:val="20"/>
                <w:color w:val="auto"/>
              </w:rPr>
            </w:pPr>
            <w:r>
              <w:rPr>
                <w:rFonts w:ascii="Arial" w:cs="Arial" w:eastAsia="Arial" w:hAnsi="Arial"/>
                <w:sz w:val="13"/>
                <w:szCs w:val="13"/>
                <w:color w:val="auto"/>
              </w:rPr>
              <w:t>(24)</w:t>
            </w:r>
          </w:p>
        </w:tc>
        <w:tc>
          <w:tcPr>
            <w:tcW w:w="960" w:type="dxa"/>
            <w:vAlign w:val="bottom"/>
            <w:vMerge w:val="continue"/>
            <w:shd w:val="clear" w:color="auto" w:fill="EDEDED"/>
          </w:tcPr>
          <w:p>
            <w:pPr>
              <w:spacing w:after="0"/>
              <w:rPr>
                <w:sz w:val="10"/>
                <w:szCs w:val="10"/>
                <w:color w:val="auto"/>
              </w:rPr>
            </w:pPr>
          </w:p>
        </w:tc>
        <w:tc>
          <w:tcPr>
            <w:tcW w:w="1160" w:type="dxa"/>
            <w:vAlign w:val="bottom"/>
            <w:shd w:val="clear" w:color="auto" w:fill="EDEDED"/>
          </w:tcPr>
          <w:p>
            <w:pPr>
              <w:spacing w:after="0"/>
              <w:rPr>
                <w:sz w:val="10"/>
                <w:szCs w:val="10"/>
                <w:color w:val="auto"/>
              </w:rPr>
            </w:pPr>
          </w:p>
        </w:tc>
        <w:tc>
          <w:tcPr>
            <w:tcW w:w="82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1480" w:type="dxa"/>
            <w:vAlign w:val="bottom"/>
            <w:shd w:val="clear" w:color="auto" w:fill="EDEDED"/>
          </w:tcPr>
          <w:p>
            <w:pPr>
              <w:spacing w:after="0"/>
              <w:rPr>
                <w:sz w:val="3"/>
                <w:szCs w:val="3"/>
                <w:color w:val="auto"/>
              </w:rPr>
            </w:pPr>
          </w:p>
        </w:tc>
        <w:tc>
          <w:tcPr>
            <w:tcW w:w="320" w:type="dxa"/>
            <w:vAlign w:val="bottom"/>
            <w:shd w:val="clear" w:color="auto" w:fill="EDEDED"/>
          </w:tcPr>
          <w:p>
            <w:pPr>
              <w:spacing w:after="0"/>
              <w:rPr>
                <w:sz w:val="3"/>
                <w:szCs w:val="3"/>
                <w:color w:val="auto"/>
              </w:rPr>
            </w:pPr>
          </w:p>
        </w:tc>
        <w:tc>
          <w:tcPr>
            <w:tcW w:w="680" w:type="dxa"/>
            <w:vAlign w:val="bottom"/>
            <w:shd w:val="clear" w:color="auto" w:fill="EDEDED"/>
          </w:tcPr>
          <w:p>
            <w:pPr>
              <w:spacing w:after="0"/>
              <w:rPr>
                <w:sz w:val="3"/>
                <w:szCs w:val="3"/>
                <w:color w:val="auto"/>
              </w:rPr>
            </w:pP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180" w:type="dxa"/>
            <w:vAlign w:val="bottom"/>
            <w:shd w:val="clear" w:color="auto" w:fill="EDEDED"/>
          </w:tcPr>
          <w:p>
            <w:pPr>
              <w:spacing w:after="0"/>
              <w:rPr>
                <w:sz w:val="3"/>
                <w:szCs w:val="3"/>
                <w:color w:val="auto"/>
              </w:rPr>
            </w:pPr>
          </w:p>
        </w:tc>
        <w:tc>
          <w:tcPr>
            <w:tcW w:w="560" w:type="dxa"/>
            <w:vAlign w:val="bottom"/>
            <w:shd w:val="clear" w:color="auto" w:fill="EDEDED"/>
          </w:tcPr>
          <w:p>
            <w:pPr>
              <w:spacing w:after="0"/>
              <w:rPr>
                <w:sz w:val="3"/>
                <w:szCs w:val="3"/>
                <w:color w:val="auto"/>
              </w:rPr>
            </w:pPr>
          </w:p>
        </w:tc>
        <w:tc>
          <w:tcPr>
            <w:tcW w:w="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80" w:type="dxa"/>
            <w:vAlign w:val="bottom"/>
            <w:shd w:val="clear" w:color="auto" w:fill="EDEDED"/>
          </w:tcPr>
          <w:p>
            <w:pPr>
              <w:spacing w:after="0"/>
              <w:rPr>
                <w:sz w:val="3"/>
                <w:szCs w:val="3"/>
                <w:color w:val="auto"/>
              </w:rPr>
            </w:pPr>
          </w:p>
        </w:tc>
        <w:tc>
          <w:tcPr>
            <w:tcW w:w="780" w:type="dxa"/>
            <w:vAlign w:val="bottom"/>
            <w:shd w:val="clear" w:color="auto" w:fill="EDEDED"/>
          </w:tcPr>
          <w:p>
            <w:pPr>
              <w:spacing w:after="0"/>
              <w:rPr>
                <w:sz w:val="3"/>
                <w:szCs w:val="3"/>
                <w:color w:val="auto"/>
              </w:rPr>
            </w:pPr>
          </w:p>
        </w:tc>
        <w:tc>
          <w:tcPr>
            <w:tcW w:w="520" w:type="dxa"/>
            <w:vAlign w:val="bottom"/>
            <w:shd w:val="clear" w:color="auto" w:fill="EDEDED"/>
          </w:tcPr>
          <w:p>
            <w:pPr>
              <w:spacing w:after="0"/>
              <w:rPr>
                <w:sz w:val="3"/>
                <w:szCs w:val="3"/>
                <w:color w:val="auto"/>
              </w:rPr>
            </w:pPr>
          </w:p>
        </w:tc>
        <w:tc>
          <w:tcPr>
            <w:tcW w:w="700" w:type="dxa"/>
            <w:vAlign w:val="bottom"/>
            <w:shd w:val="clear" w:color="auto" w:fill="EDEDED"/>
          </w:tcPr>
          <w:p>
            <w:pPr>
              <w:spacing w:after="0"/>
              <w:rPr>
                <w:sz w:val="3"/>
                <w:szCs w:val="3"/>
                <w:color w:val="auto"/>
              </w:rPr>
            </w:pPr>
          </w:p>
        </w:tc>
        <w:tc>
          <w:tcPr>
            <w:tcW w:w="860" w:type="dxa"/>
            <w:vAlign w:val="bottom"/>
            <w:shd w:val="clear" w:color="auto" w:fill="EDEDED"/>
          </w:tcPr>
          <w:p>
            <w:pPr>
              <w:spacing w:after="0"/>
              <w:rPr>
                <w:sz w:val="3"/>
                <w:szCs w:val="3"/>
                <w:color w:val="auto"/>
              </w:rPr>
            </w:pPr>
          </w:p>
        </w:tc>
        <w:tc>
          <w:tcPr>
            <w:tcW w:w="260" w:type="dxa"/>
            <w:vAlign w:val="bottom"/>
            <w:shd w:val="clear" w:color="auto" w:fill="EDEDED"/>
          </w:tcPr>
          <w:p>
            <w:pPr>
              <w:spacing w:after="0"/>
              <w:rPr>
                <w:sz w:val="3"/>
                <w:szCs w:val="3"/>
                <w:color w:val="auto"/>
              </w:rPr>
            </w:pPr>
          </w:p>
        </w:tc>
        <w:tc>
          <w:tcPr>
            <w:tcW w:w="640" w:type="dxa"/>
            <w:vAlign w:val="bottom"/>
            <w:shd w:val="clear" w:color="auto" w:fill="EDEDED"/>
          </w:tcPr>
          <w:p>
            <w:pPr>
              <w:spacing w:after="0"/>
              <w:rPr>
                <w:sz w:val="3"/>
                <w:szCs w:val="3"/>
                <w:color w:val="auto"/>
              </w:rPr>
            </w:pPr>
          </w:p>
        </w:tc>
        <w:tc>
          <w:tcPr>
            <w:tcW w:w="380" w:type="dxa"/>
            <w:vAlign w:val="bottom"/>
            <w:vMerge w:val="continue"/>
            <w:shd w:val="clear" w:color="auto" w:fill="EDEDED"/>
          </w:tcPr>
          <w:p>
            <w:pPr>
              <w:spacing w:after="0"/>
              <w:rPr>
                <w:sz w:val="3"/>
                <w:szCs w:val="3"/>
                <w:color w:val="auto"/>
              </w:rPr>
            </w:pPr>
          </w:p>
        </w:tc>
        <w:tc>
          <w:tcPr>
            <w:tcW w:w="960" w:type="dxa"/>
            <w:vAlign w:val="bottom"/>
            <w:shd w:val="clear" w:color="auto" w:fill="EDEDED"/>
          </w:tcPr>
          <w:p>
            <w:pPr>
              <w:spacing w:after="0"/>
              <w:rPr>
                <w:sz w:val="3"/>
                <w:szCs w:val="3"/>
                <w:color w:val="auto"/>
              </w:rPr>
            </w:pPr>
          </w:p>
        </w:tc>
        <w:tc>
          <w:tcPr>
            <w:tcW w:w="1160" w:type="dxa"/>
            <w:vAlign w:val="bottom"/>
            <w:shd w:val="clear" w:color="auto" w:fill="EDEDED"/>
          </w:tcPr>
          <w:p>
            <w:pPr>
              <w:spacing w:after="0"/>
              <w:rPr>
                <w:sz w:val="3"/>
                <w:szCs w:val="3"/>
                <w:color w:val="auto"/>
              </w:rPr>
            </w:pPr>
          </w:p>
        </w:tc>
        <w:tc>
          <w:tcPr>
            <w:tcW w:w="820" w:type="dxa"/>
            <w:vAlign w:val="bottom"/>
            <w:shd w:val="clear" w:color="auto" w:fill="EDEDED"/>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0"/>
        </w:trPr>
        <w:tc>
          <w:tcPr>
            <w:tcW w:w="1480" w:type="dxa"/>
            <w:vAlign w:val="bottom"/>
            <w:tcBorders>
              <w:bottom w:val="single" w:sz="8" w:color="E52823"/>
            </w:tcBorders>
            <w:shd w:val="clear" w:color="auto" w:fill="EDEDED"/>
          </w:tcPr>
          <w:p>
            <w:pPr>
              <w:spacing w:after="0"/>
              <w:rPr>
                <w:sz w:val="6"/>
                <w:szCs w:val="6"/>
                <w:color w:val="auto"/>
              </w:rPr>
            </w:pPr>
          </w:p>
        </w:tc>
        <w:tc>
          <w:tcPr>
            <w:tcW w:w="320" w:type="dxa"/>
            <w:vAlign w:val="bottom"/>
            <w:tcBorders>
              <w:bottom w:val="single" w:sz="8" w:color="E52823"/>
            </w:tcBorders>
            <w:shd w:val="clear" w:color="auto" w:fill="EDEDED"/>
          </w:tcPr>
          <w:p>
            <w:pPr>
              <w:spacing w:after="0"/>
              <w:rPr>
                <w:sz w:val="6"/>
                <w:szCs w:val="6"/>
                <w:color w:val="auto"/>
              </w:rPr>
            </w:pPr>
          </w:p>
        </w:tc>
        <w:tc>
          <w:tcPr>
            <w:tcW w:w="680" w:type="dxa"/>
            <w:vAlign w:val="bottom"/>
            <w:tcBorders>
              <w:bottom w:val="single" w:sz="8" w:color="E52823"/>
            </w:tcBorders>
            <w:shd w:val="clear" w:color="auto" w:fill="EDEDED"/>
          </w:tcPr>
          <w:p>
            <w:pPr>
              <w:spacing w:after="0"/>
              <w:rPr>
                <w:sz w:val="6"/>
                <w:szCs w:val="6"/>
                <w:color w:val="auto"/>
              </w:rPr>
            </w:pPr>
          </w:p>
        </w:tc>
        <w:tc>
          <w:tcPr>
            <w:tcW w:w="60" w:type="dxa"/>
            <w:vAlign w:val="bottom"/>
            <w:tcBorders>
              <w:bottom w:val="single" w:sz="8" w:color="E52823"/>
            </w:tcBorders>
            <w:shd w:val="clear" w:color="auto" w:fill="EDEDED"/>
          </w:tcPr>
          <w:p>
            <w:pPr>
              <w:spacing w:after="0"/>
              <w:rPr>
                <w:sz w:val="6"/>
                <w:szCs w:val="6"/>
                <w:color w:val="auto"/>
              </w:rPr>
            </w:pPr>
          </w:p>
        </w:tc>
        <w:tc>
          <w:tcPr>
            <w:tcW w:w="260" w:type="dxa"/>
            <w:vAlign w:val="bottom"/>
            <w:tcBorders>
              <w:bottom w:val="single" w:sz="8" w:color="E52823"/>
            </w:tcBorders>
            <w:shd w:val="clear" w:color="auto" w:fill="EDEDED"/>
          </w:tcPr>
          <w:p>
            <w:pPr>
              <w:spacing w:after="0"/>
              <w:rPr>
                <w:sz w:val="6"/>
                <w:szCs w:val="6"/>
                <w:color w:val="auto"/>
              </w:rPr>
            </w:pPr>
          </w:p>
        </w:tc>
        <w:tc>
          <w:tcPr>
            <w:tcW w:w="180" w:type="dxa"/>
            <w:vAlign w:val="bottom"/>
            <w:tcBorders>
              <w:bottom w:val="single" w:sz="8" w:color="E52823"/>
            </w:tcBorders>
            <w:shd w:val="clear" w:color="auto" w:fill="EDEDED"/>
          </w:tcPr>
          <w:p>
            <w:pPr>
              <w:spacing w:after="0"/>
              <w:rPr>
                <w:sz w:val="6"/>
                <w:szCs w:val="6"/>
                <w:color w:val="auto"/>
              </w:rPr>
            </w:pPr>
          </w:p>
        </w:tc>
        <w:tc>
          <w:tcPr>
            <w:tcW w:w="560" w:type="dxa"/>
            <w:vAlign w:val="bottom"/>
            <w:tcBorders>
              <w:bottom w:val="single" w:sz="8" w:color="E52823"/>
            </w:tcBorders>
            <w:shd w:val="clear" w:color="auto" w:fill="EDEDED"/>
          </w:tcPr>
          <w:p>
            <w:pPr>
              <w:spacing w:after="0"/>
              <w:rPr>
                <w:sz w:val="6"/>
                <w:szCs w:val="6"/>
                <w:color w:val="auto"/>
              </w:rPr>
            </w:pPr>
          </w:p>
        </w:tc>
        <w:tc>
          <w:tcPr>
            <w:tcW w:w="60" w:type="dxa"/>
            <w:vAlign w:val="bottom"/>
            <w:tcBorders>
              <w:bottom w:val="single" w:sz="8" w:color="E52823"/>
            </w:tcBorders>
            <w:shd w:val="clear" w:color="auto" w:fill="EDEDED"/>
          </w:tcPr>
          <w:p>
            <w:pPr>
              <w:spacing w:after="0"/>
              <w:rPr>
                <w:sz w:val="6"/>
                <w:szCs w:val="6"/>
                <w:color w:val="auto"/>
              </w:rPr>
            </w:pPr>
          </w:p>
        </w:tc>
        <w:tc>
          <w:tcPr>
            <w:tcW w:w="260" w:type="dxa"/>
            <w:vAlign w:val="bottom"/>
            <w:tcBorders>
              <w:bottom w:val="single" w:sz="8" w:color="E52823"/>
            </w:tcBorders>
            <w:shd w:val="clear" w:color="auto" w:fill="EDEDED"/>
          </w:tcPr>
          <w:p>
            <w:pPr>
              <w:spacing w:after="0"/>
              <w:rPr>
                <w:sz w:val="6"/>
                <w:szCs w:val="6"/>
                <w:color w:val="auto"/>
              </w:rPr>
            </w:pPr>
          </w:p>
        </w:tc>
        <w:tc>
          <w:tcPr>
            <w:tcW w:w="80" w:type="dxa"/>
            <w:vAlign w:val="bottom"/>
            <w:tcBorders>
              <w:bottom w:val="single" w:sz="8" w:color="E52823"/>
            </w:tcBorders>
            <w:shd w:val="clear" w:color="auto" w:fill="EDEDED"/>
          </w:tcPr>
          <w:p>
            <w:pPr>
              <w:spacing w:after="0"/>
              <w:rPr>
                <w:sz w:val="6"/>
                <w:szCs w:val="6"/>
                <w:color w:val="auto"/>
              </w:rPr>
            </w:pPr>
          </w:p>
        </w:tc>
        <w:tc>
          <w:tcPr>
            <w:tcW w:w="780" w:type="dxa"/>
            <w:vAlign w:val="bottom"/>
            <w:tcBorders>
              <w:bottom w:val="single" w:sz="8" w:color="E52823"/>
            </w:tcBorders>
            <w:shd w:val="clear" w:color="auto" w:fill="EDEDED"/>
          </w:tcPr>
          <w:p>
            <w:pPr>
              <w:spacing w:after="0"/>
              <w:rPr>
                <w:sz w:val="6"/>
                <w:szCs w:val="6"/>
                <w:color w:val="auto"/>
              </w:rPr>
            </w:pPr>
          </w:p>
        </w:tc>
        <w:tc>
          <w:tcPr>
            <w:tcW w:w="520" w:type="dxa"/>
            <w:vAlign w:val="bottom"/>
            <w:tcBorders>
              <w:bottom w:val="single" w:sz="8" w:color="E52823"/>
            </w:tcBorders>
            <w:shd w:val="clear" w:color="auto" w:fill="EDEDED"/>
          </w:tcPr>
          <w:p>
            <w:pPr>
              <w:spacing w:after="0"/>
              <w:rPr>
                <w:sz w:val="6"/>
                <w:szCs w:val="6"/>
                <w:color w:val="auto"/>
              </w:rPr>
            </w:pPr>
          </w:p>
        </w:tc>
        <w:tc>
          <w:tcPr>
            <w:tcW w:w="700" w:type="dxa"/>
            <w:vAlign w:val="bottom"/>
            <w:tcBorders>
              <w:bottom w:val="single" w:sz="8" w:color="E52823"/>
            </w:tcBorders>
            <w:shd w:val="clear" w:color="auto" w:fill="EDEDED"/>
          </w:tcPr>
          <w:p>
            <w:pPr>
              <w:spacing w:after="0"/>
              <w:rPr>
                <w:sz w:val="6"/>
                <w:szCs w:val="6"/>
                <w:color w:val="auto"/>
              </w:rPr>
            </w:pPr>
          </w:p>
        </w:tc>
        <w:tc>
          <w:tcPr>
            <w:tcW w:w="860" w:type="dxa"/>
            <w:vAlign w:val="bottom"/>
            <w:tcBorders>
              <w:bottom w:val="single" w:sz="8" w:color="E52823"/>
            </w:tcBorders>
            <w:shd w:val="clear" w:color="auto" w:fill="EDEDED"/>
          </w:tcPr>
          <w:p>
            <w:pPr>
              <w:spacing w:after="0"/>
              <w:rPr>
                <w:sz w:val="6"/>
                <w:szCs w:val="6"/>
                <w:color w:val="auto"/>
              </w:rPr>
            </w:pPr>
          </w:p>
        </w:tc>
        <w:tc>
          <w:tcPr>
            <w:tcW w:w="260" w:type="dxa"/>
            <w:vAlign w:val="bottom"/>
            <w:tcBorders>
              <w:bottom w:val="single" w:sz="8" w:color="E52823"/>
            </w:tcBorders>
            <w:shd w:val="clear" w:color="auto" w:fill="EDEDED"/>
          </w:tcPr>
          <w:p>
            <w:pPr>
              <w:spacing w:after="0"/>
              <w:rPr>
                <w:sz w:val="6"/>
                <w:szCs w:val="6"/>
                <w:color w:val="auto"/>
              </w:rPr>
            </w:pPr>
          </w:p>
        </w:tc>
        <w:tc>
          <w:tcPr>
            <w:tcW w:w="640" w:type="dxa"/>
            <w:vAlign w:val="bottom"/>
            <w:tcBorders>
              <w:bottom w:val="single" w:sz="8" w:color="E52823"/>
            </w:tcBorders>
            <w:shd w:val="clear" w:color="auto" w:fill="EDEDED"/>
          </w:tcPr>
          <w:p>
            <w:pPr>
              <w:spacing w:after="0"/>
              <w:rPr>
                <w:sz w:val="6"/>
                <w:szCs w:val="6"/>
                <w:color w:val="auto"/>
              </w:rPr>
            </w:pPr>
          </w:p>
        </w:tc>
        <w:tc>
          <w:tcPr>
            <w:tcW w:w="380" w:type="dxa"/>
            <w:vAlign w:val="bottom"/>
            <w:tcBorders>
              <w:bottom w:val="single" w:sz="8" w:color="E52823"/>
            </w:tcBorders>
            <w:shd w:val="clear" w:color="auto" w:fill="EDEDED"/>
          </w:tcPr>
          <w:p>
            <w:pPr>
              <w:spacing w:after="0"/>
              <w:rPr>
                <w:sz w:val="6"/>
                <w:szCs w:val="6"/>
                <w:color w:val="auto"/>
              </w:rPr>
            </w:pPr>
          </w:p>
        </w:tc>
        <w:tc>
          <w:tcPr>
            <w:tcW w:w="960" w:type="dxa"/>
            <w:vAlign w:val="bottom"/>
            <w:tcBorders>
              <w:bottom w:val="single" w:sz="8" w:color="E52823"/>
            </w:tcBorders>
            <w:shd w:val="clear" w:color="auto" w:fill="EDEDED"/>
          </w:tcPr>
          <w:p>
            <w:pPr>
              <w:spacing w:after="0"/>
              <w:rPr>
                <w:sz w:val="6"/>
                <w:szCs w:val="6"/>
                <w:color w:val="auto"/>
              </w:rPr>
            </w:pPr>
          </w:p>
        </w:tc>
        <w:tc>
          <w:tcPr>
            <w:tcW w:w="1160" w:type="dxa"/>
            <w:vAlign w:val="bottom"/>
            <w:tcBorders>
              <w:bottom w:val="single" w:sz="8" w:color="E52823"/>
            </w:tcBorders>
            <w:shd w:val="clear" w:color="auto" w:fill="EDEDED"/>
          </w:tcPr>
          <w:p>
            <w:pPr>
              <w:spacing w:after="0"/>
              <w:rPr>
                <w:sz w:val="6"/>
                <w:szCs w:val="6"/>
                <w:color w:val="auto"/>
              </w:rPr>
            </w:pPr>
          </w:p>
        </w:tc>
        <w:tc>
          <w:tcPr>
            <w:tcW w:w="820" w:type="dxa"/>
            <w:vAlign w:val="bottom"/>
            <w:tcBorders>
              <w:bottom w:val="single" w:sz="8" w:color="E52823"/>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Market value is determined based on the closing price of our common stock on December 31, 2019 or $9.99 per share.</w:t>
      </w:r>
    </w:p>
    <w:p>
      <w:pPr>
        <w:spacing w:after="0" w:line="66" w:lineRule="exact"/>
        <w:rPr>
          <w:rFonts w:ascii="Arial" w:cs="Arial" w:eastAsia="Arial" w:hAnsi="Arial"/>
          <w:sz w:val="13"/>
          <w:szCs w:val="13"/>
          <w:color w:val="auto"/>
        </w:rPr>
      </w:pPr>
    </w:p>
    <w:p>
      <w:pPr>
        <w:ind w:left="440" w:right="40" w:hanging="324"/>
        <w:spacing w:after="0" w:line="225" w:lineRule="auto"/>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July 26, 2013, the Honeywell MDCC approved awards of Honeywell RSUs for each of Messrs. Rabiller and Balis, each scheduled to vest in substantially equal installments on the third, fifth and seventh anniversaries of the grant date, subject to continued employment on the applicable vesting date. These Honeywell RSUs were converted into Company RSUs in connection with the Spin-Off.</w:t>
      </w:r>
    </w:p>
    <w:p>
      <w:pPr>
        <w:spacing w:after="0" w:line="65" w:lineRule="exact"/>
        <w:rPr>
          <w:rFonts w:ascii="Arial" w:cs="Arial" w:eastAsia="Arial" w:hAnsi="Arial"/>
          <w:sz w:val="13"/>
          <w:szCs w:val="13"/>
          <w:color w:val="auto"/>
        </w:rPr>
      </w:pPr>
    </w:p>
    <w:p>
      <w:pPr>
        <w:ind w:left="440" w:right="100" w:hanging="324"/>
        <w:spacing w:after="0" w:line="225" w:lineRule="auto"/>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February 25, 2016, the Honeywell MDCC approved awards of Honeywell RSUs for each Named Executive Officer, other than Mr. Gili, each scheduled to vest in equal installments on the third and fourth anniversary of the grant date, subject to continued employment on the applicable vesting date. These Honeywell RSUs were converted into Company RSUs in connection with the Spin-Off.</w:t>
      </w:r>
    </w:p>
    <w:p>
      <w:pPr>
        <w:spacing w:after="0" w:line="65" w:lineRule="exact"/>
        <w:rPr>
          <w:rFonts w:ascii="Arial" w:cs="Arial" w:eastAsia="Arial" w:hAnsi="Arial"/>
          <w:sz w:val="13"/>
          <w:szCs w:val="13"/>
          <w:color w:val="auto"/>
        </w:rPr>
      </w:pPr>
    </w:p>
    <w:p>
      <w:pPr>
        <w:ind w:left="440" w:right="80" w:hanging="324"/>
        <w:spacing w:after="0" w:line="230" w:lineRule="auto"/>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July 29, 2016, the Honeywell MDCC approved an award of Honeywell RSUs for Mr. Rabiller, scheduled to vest in substantially equal installments on each of July 31, 2019, 2021 and 2023, subject to continued employment on the applicable vesting date. These Honeywell RSUs were converted into Company RSUs in connection with the Spin-Off.</w:t>
      </w:r>
    </w:p>
    <w:p>
      <w:pPr>
        <w:spacing w:after="0" w:line="64" w:lineRule="exact"/>
        <w:rPr>
          <w:rFonts w:ascii="Arial" w:cs="Arial" w:eastAsia="Arial" w:hAnsi="Arial"/>
          <w:sz w:val="13"/>
          <w:szCs w:val="13"/>
          <w:color w:val="auto"/>
        </w:rPr>
      </w:pPr>
    </w:p>
    <w:p>
      <w:pPr>
        <w:ind w:left="440" w:right="60" w:hanging="324"/>
        <w:spacing w:after="0" w:line="259" w:lineRule="auto"/>
        <w:tabs>
          <w:tab w:leader="none" w:pos="4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On February 28, 2017, the Honeywell MDCC approved awards of Honeywell RSUs for each Named Executive Officer, other than Mr. Gili, each scheduled to vest in full on the third anniversary of the grant date, subject to continued employment on the applicable vesting date. These Honeywell RSUs were converted into Company RSUs in connection with the Spin-Off.</w:t>
      </w:r>
    </w:p>
    <w:p>
      <w:pPr>
        <w:spacing w:after="0" w:line="53" w:lineRule="exact"/>
        <w:rPr>
          <w:rFonts w:ascii="Arial" w:cs="Arial" w:eastAsia="Arial" w:hAnsi="Arial"/>
          <w:sz w:val="12"/>
          <w:szCs w:val="12"/>
          <w:color w:val="auto"/>
        </w:rPr>
      </w:pPr>
    </w:p>
    <w:p>
      <w:pPr>
        <w:ind w:left="440" w:right="360" w:hanging="324"/>
        <w:spacing w:after="0" w:line="230" w:lineRule="auto"/>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February 28, 2017, the Honeywell MDCC approved an award of Honeywell RSUs for Messrs. Rabiller, Maironi and Bracke, scheduled to vest in substantially equal installments on the second, third and fourth anniversaries of the grant date. These Honeywell RSUs were converted into Company RSUs in connection with the Spin-Off.</w:t>
      </w:r>
    </w:p>
    <w:p>
      <w:pPr>
        <w:spacing w:after="0" w:line="64" w:lineRule="exact"/>
        <w:rPr>
          <w:rFonts w:ascii="Arial" w:cs="Arial" w:eastAsia="Arial" w:hAnsi="Arial"/>
          <w:sz w:val="13"/>
          <w:szCs w:val="13"/>
          <w:color w:val="auto"/>
        </w:rPr>
      </w:pPr>
    </w:p>
    <w:p>
      <w:pPr>
        <w:ind w:left="440" w:right="140" w:hanging="324"/>
        <w:spacing w:after="0" w:line="259" w:lineRule="auto"/>
        <w:tabs>
          <w:tab w:leader="none" w:pos="4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On February 27, 2018, the Honeywell MDCC approved an award of Honeywell RSUs for Mr. Rabiller, scheduled to vest in substantially equal installments on the second, fourth and sixth anniversaries of the grant date, subject to continued employment on the applicable vesting date. These Honeywell RSUs were converted into Company RSUs in connection with the Spin-Off.</w:t>
      </w:r>
    </w:p>
    <w:p>
      <w:pPr>
        <w:spacing w:after="0" w:line="53" w:lineRule="exact"/>
        <w:rPr>
          <w:rFonts w:ascii="Arial" w:cs="Arial" w:eastAsia="Arial" w:hAnsi="Arial"/>
          <w:sz w:val="12"/>
          <w:szCs w:val="12"/>
          <w:color w:val="auto"/>
        </w:rPr>
      </w:pPr>
    </w:p>
    <w:p>
      <w:pPr>
        <w:ind w:left="440" w:right="160" w:hanging="324"/>
        <w:spacing w:after="0" w:line="259" w:lineRule="auto"/>
        <w:tabs>
          <w:tab w:leader="none" w:pos="4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Pursuant to the offer letters or employment agreement, each entered into in connection with the Spin-Off, on October 1, 2018, we granted each Named Executive Officer awards of Company RSUs, each of which vest in two equal 50% installments on each of the third and fourth anniversaries of the Spin-Off, subject to continued employment through each vesting date.</w:t>
      </w:r>
    </w:p>
    <w:p>
      <w:pPr>
        <w:spacing w:after="0" w:line="53" w:lineRule="exact"/>
        <w:rPr>
          <w:rFonts w:ascii="Arial" w:cs="Arial" w:eastAsia="Arial" w:hAnsi="Arial"/>
          <w:sz w:val="12"/>
          <w:szCs w:val="12"/>
          <w:color w:val="auto"/>
        </w:rPr>
      </w:pPr>
    </w:p>
    <w:p>
      <w:pPr>
        <w:ind w:left="440" w:right="160" w:hanging="324"/>
        <w:spacing w:after="0" w:line="230" w:lineRule="auto"/>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RSUs pursuant to the LTI Plan for each Named Executive Officer, which will vest in full on the third anniversary of the grant date, subject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6995160" cy="6254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48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 w:right="60" w:hanging="424"/>
        <w:spacing w:after="0" w:line="225"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PSUs pursuant to the LTI Plan. The performance period for the PSUs will end on December 31, 2021. In accordance with the SEC rules, the number of PSUs shown pursuant to the LTI Plan represents the number of performance shares that may be earned during the performance period based on target performance.</w:t>
      </w:r>
    </w:p>
    <w:p>
      <w:pPr>
        <w:spacing w:after="0" w:line="65" w:lineRule="exact"/>
        <w:rPr>
          <w:rFonts w:ascii="Arial" w:cs="Arial" w:eastAsia="Arial" w:hAnsi="Arial"/>
          <w:sz w:val="13"/>
          <w:szCs w:val="13"/>
          <w:color w:val="auto"/>
        </w:rPr>
      </w:pPr>
    </w:p>
    <w:p>
      <w:pPr>
        <w:ind w:left="540" w:right="180" w:hanging="424"/>
        <w:spacing w:after="0" w:line="225"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PSUs pursuant to the Replacement Plan. The performance period for the PSUs will end on December 31, 2020. In accordance with the SEC rules, the number of PSUs shown pursuant to the Replacement Plan represents the number of performance shares that may be earned during the performance period based on threshold performance.</w:t>
      </w:r>
    </w:p>
    <w:p>
      <w:pPr>
        <w:spacing w:after="0" w:line="65" w:lineRule="exact"/>
        <w:rPr>
          <w:rFonts w:ascii="Arial" w:cs="Arial" w:eastAsia="Arial" w:hAnsi="Arial"/>
          <w:sz w:val="13"/>
          <w:szCs w:val="13"/>
          <w:color w:val="auto"/>
        </w:rPr>
      </w:pPr>
    </w:p>
    <w:p>
      <w:pPr>
        <w:ind w:left="540" w:right="42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stock options pursuant to the LTI Plan for each Named Executive Officer, each of which will vest, in equal 25% installments over a four-year period, subject to continued employment, on the applicable vesting date, and expire ten years from the date of grant.</w:t>
      </w:r>
    </w:p>
    <w:p>
      <w:pPr>
        <w:spacing w:after="0" w:line="64" w:lineRule="exact"/>
        <w:rPr>
          <w:rFonts w:ascii="Arial" w:cs="Arial" w:eastAsia="Arial" w:hAnsi="Arial"/>
          <w:sz w:val="13"/>
          <w:szCs w:val="13"/>
          <w:color w:val="auto"/>
        </w:rPr>
      </w:pPr>
    </w:p>
    <w:p>
      <w:pPr>
        <w:ind w:left="540" w:right="20" w:hanging="424"/>
        <w:spacing w:after="0" w:line="259" w:lineRule="auto"/>
        <w:tabs>
          <w:tab w:leader="none" w:pos="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On February 27, 2014, the Honeywell MDCC approved an award of Honeywell RSUs for Mr. Balis, scheduled to vest in substantially equal installments on the third, fifth and seventh anniversaries of the grant date, subject to continued employment on the applicable vesting date. These Honeywell RSUs were converted into Company RSUs in connection with the Spin-Off.</w:t>
      </w:r>
    </w:p>
    <w:p>
      <w:pPr>
        <w:spacing w:after="0" w:line="53" w:lineRule="exact"/>
        <w:rPr>
          <w:rFonts w:ascii="Arial" w:cs="Arial" w:eastAsia="Arial" w:hAnsi="Arial"/>
          <w:sz w:val="12"/>
          <w:szCs w:val="12"/>
          <w:color w:val="auto"/>
        </w:rPr>
      </w:pPr>
    </w:p>
    <w:p>
      <w:pPr>
        <w:ind w:left="540" w:right="4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February 28, 2017, the Honeywell MDCC approved an award of Honeywell RSUs for Messrs. Balis, Maironi and Bracke, which will vest in full on March 15, 2020. These Honeywell RSUs were converted into Company RSUs in connection with the Spin-Off.</w:t>
      </w:r>
    </w:p>
    <w:p>
      <w:pPr>
        <w:spacing w:after="0" w:line="64" w:lineRule="exact"/>
        <w:rPr>
          <w:rFonts w:ascii="Arial" w:cs="Arial" w:eastAsia="Arial" w:hAnsi="Arial"/>
          <w:sz w:val="13"/>
          <w:szCs w:val="13"/>
          <w:color w:val="auto"/>
        </w:rPr>
      </w:pPr>
    </w:p>
    <w:p>
      <w:pPr>
        <w:ind w:left="540" w:hanging="424"/>
        <w:spacing w:after="0" w:line="225"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July 27, 2017, the Honeywell MDCC approved awards of Honeywell RSUs for Messrs. Balis and Mabru, each scheduled to vest in substantially equal installments on the second, fourth and sixth anniversaries of the grant date, subject to continued employment on the applicable vesting date. These Honeywell RSUs were converted into Company RSUs in connection with the Spin-Off.</w:t>
      </w:r>
    </w:p>
    <w:p>
      <w:pPr>
        <w:spacing w:after="0" w:line="65" w:lineRule="exact"/>
        <w:rPr>
          <w:rFonts w:ascii="Arial" w:cs="Arial" w:eastAsia="Arial" w:hAnsi="Arial"/>
          <w:sz w:val="13"/>
          <w:szCs w:val="13"/>
          <w:color w:val="auto"/>
        </w:rPr>
      </w:pPr>
    </w:p>
    <w:p>
      <w:pPr>
        <w:ind w:left="540" w:right="100" w:hanging="424"/>
        <w:spacing w:after="0" w:line="259" w:lineRule="auto"/>
        <w:tabs>
          <w:tab w:leader="none" w:pos="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On February 27, 2018, the Honeywell MDCC approved awards of Honeywell RSUs for each of Messrs. Balis, Maironi, Mabru and Bracke, each scheduled to vest in full on the third anniversary of the grant date, subject to continued employment on the applicable vesting date. These Honeywell RSUs were converted into Company RSUs in connection with the Spin-Off.</w:t>
      </w:r>
    </w:p>
    <w:p>
      <w:pPr>
        <w:spacing w:after="0" w:line="53" w:lineRule="exact"/>
        <w:rPr>
          <w:rFonts w:ascii="Arial" w:cs="Arial" w:eastAsia="Arial" w:hAnsi="Arial"/>
          <w:sz w:val="12"/>
          <w:szCs w:val="12"/>
          <w:color w:val="auto"/>
        </w:rPr>
      </w:pPr>
    </w:p>
    <w:p>
      <w:pPr>
        <w:ind w:left="540" w:right="44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February 27, 2018, the Honeywell MDCC approved an award of Honeywell RSUs for Mr. Balis, scheduled to vest in substantially equal installments on the second, third and fourth anniversaries of the grant date. These Honeywell RSUs were converted into Company RSUs in connection with the Spin-Off.</w:t>
      </w:r>
    </w:p>
    <w:p>
      <w:pPr>
        <w:spacing w:after="0" w:line="64" w:lineRule="exact"/>
        <w:rPr>
          <w:rFonts w:ascii="Arial" w:cs="Arial" w:eastAsia="Arial" w:hAnsi="Arial"/>
          <w:sz w:val="13"/>
          <w:szCs w:val="13"/>
          <w:color w:val="auto"/>
        </w:rPr>
      </w:pPr>
    </w:p>
    <w:p>
      <w:pPr>
        <w:ind w:left="540" w:right="20" w:hanging="424"/>
        <w:spacing w:after="0" w:line="259" w:lineRule="auto"/>
        <w:tabs>
          <w:tab w:leader="none" w:pos="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On July 25, 2014, the Honeywell MDCC approved an award of Honeywell RSUs for Mr. Maironi, scheduled to vest in substantially equal installments on the third, fifth and seventh anniversaries of the grant date, subject to continued employment on the applicable vesting date. These Honeywell RSUs were converted into Company RSUs in connection with the Spin-Off.</w:t>
      </w:r>
    </w:p>
    <w:p>
      <w:pPr>
        <w:spacing w:after="0" w:line="53" w:lineRule="exact"/>
        <w:rPr>
          <w:rFonts w:ascii="Arial" w:cs="Arial" w:eastAsia="Arial" w:hAnsi="Arial"/>
          <w:sz w:val="12"/>
          <w:szCs w:val="12"/>
          <w:color w:val="auto"/>
        </w:rPr>
      </w:pPr>
    </w:p>
    <w:p>
      <w:pPr>
        <w:ind w:left="540" w:right="20" w:hanging="424"/>
        <w:spacing w:after="0" w:line="259" w:lineRule="auto"/>
        <w:tabs>
          <w:tab w:leader="none" w:pos="5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On July 31, 2015, the Honeywell MDCC approved an award of Honeywell RSUs for Mr. Mabru, scheduled to vest in substantially equal installments on the third, fifth and seventh anniversaries of the grant date, subject to continued employment on the applicable vesting date. These Honeywell RSUs were converted into Company RSUs in connection with the Spin-Off.</w:t>
      </w:r>
    </w:p>
    <w:p>
      <w:pPr>
        <w:spacing w:after="0" w:line="53" w:lineRule="exact"/>
        <w:rPr>
          <w:rFonts w:ascii="Arial" w:cs="Arial" w:eastAsia="Arial" w:hAnsi="Arial"/>
          <w:sz w:val="12"/>
          <w:szCs w:val="12"/>
          <w:color w:val="auto"/>
        </w:rPr>
      </w:pPr>
    </w:p>
    <w:p>
      <w:pPr>
        <w:ind w:left="540" w:right="2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July 26, 2013, the Honeywell MDCC approved an award of Honeywell RSUs for Mr. Bracke, scheduled to vest in full on the seventh anniversary of the grant date. These Honeywell RSUs were converted into Company RSUs in connection with the Spin-Off.</w:t>
      </w:r>
    </w:p>
    <w:p>
      <w:pPr>
        <w:spacing w:after="0" w:line="64" w:lineRule="exact"/>
        <w:rPr>
          <w:rFonts w:ascii="Arial" w:cs="Arial" w:eastAsia="Arial" w:hAnsi="Arial"/>
          <w:sz w:val="13"/>
          <w:szCs w:val="13"/>
          <w:color w:val="auto"/>
        </w:rPr>
      </w:pPr>
    </w:p>
    <w:p>
      <w:pPr>
        <w:ind w:left="540" w:right="60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September 24, 2015, the Honeywell MDCC approved an award of Honeywell RSUs for Mr. Bracke, scheduled to vest in substantially equal installments on the fifth and seventh anniversaries of the grant date. These Honeywell RSUs were converted into Company RSUs in connection with the Spin-Off.</w:t>
      </w:r>
    </w:p>
    <w:p>
      <w:pPr>
        <w:spacing w:after="0" w:line="64" w:lineRule="exact"/>
        <w:rPr>
          <w:rFonts w:ascii="Arial" w:cs="Arial" w:eastAsia="Arial" w:hAnsi="Arial"/>
          <w:sz w:val="13"/>
          <w:szCs w:val="13"/>
          <w:color w:val="auto"/>
        </w:rPr>
      </w:pPr>
    </w:p>
    <w:p>
      <w:pPr>
        <w:ind w:left="540" w:right="4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February 27, 2018, the Honeywell MDCC approved an award of Honeywell RSUs for Mr. Bracke, scheduled to vest in substantially equal installments on the first, second, third and fourth anniversaries of the grant date. These Honeywell RSUs were converted into Company RSUs in connection with the Spin-Off.</w:t>
      </w:r>
    </w:p>
    <w:p>
      <w:pPr>
        <w:spacing w:after="0" w:line="64" w:lineRule="exact"/>
        <w:rPr>
          <w:rFonts w:ascii="Arial" w:cs="Arial" w:eastAsia="Arial" w:hAnsi="Arial"/>
          <w:sz w:val="13"/>
          <w:szCs w:val="13"/>
          <w:color w:val="auto"/>
        </w:rPr>
      </w:pPr>
    </w:p>
    <w:p>
      <w:pPr>
        <w:ind w:left="540" w:right="6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March 4, 2019, the Compensation Committee approved an award of RSUs pursuant to the Replacement Plan for Mr. Bracke, which will vest in full on March 4, 2021, subject to continued service.</w:t>
      </w:r>
    </w:p>
    <w:p>
      <w:pPr>
        <w:spacing w:after="0" w:line="104" w:lineRule="exact"/>
        <w:rPr>
          <w:rFonts w:ascii="Arial" w:cs="Arial" w:eastAsia="Arial" w:hAnsi="Arial"/>
          <w:sz w:val="13"/>
          <w:szCs w:val="13"/>
          <w:color w:val="auto"/>
        </w:rPr>
      </w:pPr>
    </w:p>
    <w:p>
      <w:pPr>
        <w:ind w:left="540" w:right="100" w:hanging="424"/>
        <w:spacing w:after="0" w:line="230" w:lineRule="auto"/>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 September 6, 2019, the Compensation Committee approved an award of RSUs to Mr. Bracke in connection with his appointment as Interim Chief Financial Officer. The RSUs will vest in full on the second anniversary of the grant date, subject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6995160" cy="6254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49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OPTION EXERCISES AND STOCK VESTED—FISCAL YEAR 2019</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shows for 2019 the number of shares acquired upon the vesting of Company stock awards and the value realized upon such vesting.</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Stock Awards</w:t>
            </w:r>
          </w:p>
        </w:tc>
        <w:tc>
          <w:tcPr>
            <w:tcW w:w="820" w:type="dxa"/>
            <w:vAlign w:val="bottom"/>
            <w:tcBorders>
              <w:bottom w:val="single" w:sz="8" w:color="auto"/>
            </w:tcBorders>
          </w:tcPr>
          <w:p>
            <w:pPr>
              <w:spacing w:after="0"/>
              <w:rPr>
                <w:sz w:val="14"/>
                <w:szCs w:val="14"/>
                <w:color w:val="auto"/>
              </w:rPr>
            </w:pPr>
          </w:p>
        </w:tc>
      </w:tr>
      <w:tr>
        <w:trPr>
          <w:trHeight w:val="174"/>
        </w:trPr>
        <w:tc>
          <w:tcPr>
            <w:tcW w:w="7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Value</w:t>
            </w:r>
          </w:p>
        </w:tc>
      </w:tr>
      <w:tr>
        <w:trPr>
          <w:trHeight w:val="162"/>
        </w:trPr>
        <w:tc>
          <w:tcPr>
            <w:tcW w:w="7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right="488"/>
              <w:spacing w:after="0"/>
              <w:rPr>
                <w:sz w:val="20"/>
                <w:szCs w:val="20"/>
                <w:color w:val="auto"/>
              </w:rPr>
            </w:pPr>
            <w:r>
              <w:rPr>
                <w:rFonts w:ascii="Arial" w:cs="Arial" w:eastAsia="Arial" w:hAnsi="Arial"/>
                <w:sz w:val="14"/>
                <w:szCs w:val="14"/>
                <w:color w:val="auto"/>
              </w:rPr>
              <w:t>Number of Shares</w:t>
            </w:r>
          </w:p>
        </w:tc>
        <w:tc>
          <w:tcPr>
            <w:tcW w:w="820" w:type="dxa"/>
            <w:vAlign w:val="bottom"/>
          </w:tcPr>
          <w:p>
            <w:pPr>
              <w:jc w:val="center"/>
              <w:spacing w:after="0"/>
              <w:rPr>
                <w:sz w:val="20"/>
                <w:szCs w:val="20"/>
                <w:color w:val="auto"/>
              </w:rPr>
            </w:pPr>
            <w:r>
              <w:rPr>
                <w:rFonts w:ascii="Arial" w:cs="Arial" w:eastAsia="Arial" w:hAnsi="Arial"/>
                <w:sz w:val="14"/>
                <w:szCs w:val="14"/>
                <w:color w:val="auto"/>
              </w:rPr>
              <w:t>Realized on</w:t>
            </w:r>
          </w:p>
        </w:tc>
      </w:tr>
      <w:tr>
        <w:trPr>
          <w:trHeight w:val="155"/>
        </w:trPr>
        <w:tc>
          <w:tcPr>
            <w:tcW w:w="7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tcPr>
          <w:p>
            <w:pPr>
              <w:jc w:val="center"/>
              <w:ind w:right="488"/>
              <w:spacing w:after="0" w:line="155" w:lineRule="exact"/>
              <w:rPr>
                <w:sz w:val="20"/>
                <w:szCs w:val="20"/>
                <w:color w:val="auto"/>
              </w:rPr>
            </w:pPr>
            <w:r>
              <w:rPr>
                <w:rFonts w:ascii="Arial" w:cs="Arial" w:eastAsia="Arial" w:hAnsi="Arial"/>
                <w:sz w:val="14"/>
                <w:szCs w:val="14"/>
                <w:color w:val="auto"/>
              </w:rPr>
              <w:t>Acquired on</w:t>
            </w:r>
          </w:p>
        </w:tc>
        <w:tc>
          <w:tcPr>
            <w:tcW w:w="820" w:type="dxa"/>
            <w:vAlign w:val="bottom"/>
          </w:tcPr>
          <w:p>
            <w:pPr>
              <w:jc w:val="center"/>
              <w:spacing w:after="0" w:line="155" w:lineRule="exact"/>
              <w:rPr>
                <w:sz w:val="20"/>
                <w:szCs w:val="20"/>
                <w:color w:val="auto"/>
              </w:rPr>
            </w:pPr>
            <w:r>
              <w:rPr>
                <w:rFonts w:ascii="Arial" w:cs="Arial" w:eastAsia="Arial" w:hAnsi="Arial"/>
                <w:sz w:val="14"/>
                <w:szCs w:val="14"/>
                <w:color w:val="auto"/>
                <w:w w:val="98"/>
              </w:rPr>
              <w:t>Vesting</w:t>
            </w:r>
          </w:p>
        </w:tc>
      </w:tr>
      <w:tr>
        <w:trPr>
          <w:trHeight w:val="172"/>
        </w:trPr>
        <w:tc>
          <w:tcPr>
            <w:tcW w:w="7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w:t>
            </w:r>
          </w:p>
        </w:tc>
        <w:tc>
          <w:tcPr>
            <w:tcW w:w="5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Vesting (#)</w:t>
            </w:r>
          </w:p>
        </w:tc>
        <w:tc>
          <w:tcPr>
            <w:tcW w:w="82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2"/>
                <w:szCs w:val="12"/>
                <w:color w:val="auto"/>
              </w:rPr>
              <w:t>($)</w:t>
            </w:r>
            <w:r>
              <w:rPr>
                <w:rFonts w:ascii="Arial" w:cs="Arial" w:eastAsia="Arial" w:hAnsi="Arial"/>
                <w:sz w:val="19"/>
                <w:szCs w:val="19"/>
                <w:color w:val="auto"/>
                <w:vertAlign w:val="superscript"/>
              </w:rPr>
              <w:t>(1)</w:t>
            </w:r>
          </w:p>
        </w:tc>
      </w:tr>
      <w:tr>
        <w:trPr>
          <w:trHeight w:val="203"/>
        </w:trPr>
        <w:tc>
          <w:tcPr>
            <w:tcW w:w="7940" w:type="dxa"/>
            <w:vAlign w:val="bottom"/>
            <w:shd w:val="clear" w:color="auto" w:fill="EDEDED"/>
          </w:tcPr>
          <w:p>
            <w:pPr>
              <w:ind w:left="60"/>
              <w:spacing w:after="0"/>
              <w:rPr>
                <w:sz w:val="20"/>
                <w:szCs w:val="20"/>
                <w:color w:val="auto"/>
              </w:rPr>
            </w:pPr>
            <w:r>
              <w:rPr>
                <w:rFonts w:ascii="Arial" w:cs="Arial" w:eastAsia="Arial" w:hAnsi="Arial"/>
                <w:sz w:val="16"/>
                <w:szCs w:val="16"/>
                <w:color w:val="auto"/>
              </w:rPr>
              <w:t>Olivier Rabiller</w:t>
            </w:r>
          </w:p>
        </w:tc>
        <w:tc>
          <w:tcPr>
            <w:tcW w:w="2260" w:type="dxa"/>
            <w:vAlign w:val="bottom"/>
            <w:gridSpan w:val="2"/>
            <w:shd w:val="clear" w:color="auto" w:fill="EDEDED"/>
          </w:tcPr>
          <w:p>
            <w:pPr>
              <w:jc w:val="right"/>
              <w:ind w:right="648"/>
              <w:spacing w:after="0"/>
              <w:rPr>
                <w:sz w:val="20"/>
                <w:szCs w:val="20"/>
                <w:color w:val="auto"/>
              </w:rPr>
            </w:pPr>
            <w:r>
              <w:rPr>
                <w:rFonts w:ascii="Arial" w:cs="Arial" w:eastAsia="Arial" w:hAnsi="Arial"/>
                <w:sz w:val="16"/>
                <w:szCs w:val="16"/>
                <w:color w:val="auto"/>
              </w:rPr>
              <w:t>78,623</w:t>
            </w: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1,224,666</w:t>
            </w:r>
          </w:p>
        </w:tc>
      </w:tr>
      <w:tr>
        <w:trPr>
          <w:trHeight w:val="223"/>
        </w:trPr>
        <w:tc>
          <w:tcPr>
            <w:tcW w:w="7940" w:type="dxa"/>
            <w:vAlign w:val="bottom"/>
            <w:tcBorders>
              <w:bottom w:val="single" w:sz="8" w:color="EDEDED"/>
            </w:tcBorders>
          </w:tcPr>
          <w:p>
            <w:pPr>
              <w:ind w:left="60"/>
              <w:spacing w:after="0"/>
              <w:rPr>
                <w:sz w:val="20"/>
                <w:szCs w:val="20"/>
                <w:color w:val="auto"/>
              </w:rPr>
            </w:pPr>
            <w:r>
              <w:rPr>
                <w:rFonts w:ascii="Arial" w:cs="Arial" w:eastAsia="Arial" w:hAnsi="Arial"/>
                <w:sz w:val="16"/>
                <w:szCs w:val="16"/>
                <w:color w:val="auto"/>
              </w:rPr>
              <w:t>Alessandro Gili</w:t>
            </w:r>
          </w:p>
        </w:tc>
        <w:tc>
          <w:tcPr>
            <w:tcW w:w="2260" w:type="dxa"/>
            <w:vAlign w:val="bottom"/>
            <w:tcBorders>
              <w:bottom w:val="single" w:sz="8" w:color="EDEDED"/>
            </w:tcBorders>
            <w:gridSpan w:val="2"/>
          </w:tcPr>
          <w:p>
            <w:pPr>
              <w:jc w:val="right"/>
              <w:ind w:right="648"/>
              <w:spacing w:after="0"/>
              <w:rPr>
                <w:sz w:val="20"/>
                <w:szCs w:val="20"/>
                <w:color w:val="auto"/>
              </w:rPr>
            </w:pPr>
            <w:r>
              <w:rPr>
                <w:rFonts w:ascii="Arial" w:cs="Arial" w:eastAsia="Arial" w:hAnsi="Arial"/>
                <w:sz w:val="16"/>
                <w:szCs w:val="16"/>
                <w:color w:val="auto"/>
              </w:rPr>
              <w:t>55,569</w:t>
            </w:r>
          </w:p>
        </w:tc>
        <w:tc>
          <w:tcPr>
            <w:tcW w:w="82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862,709</w:t>
            </w:r>
          </w:p>
        </w:tc>
      </w:tr>
      <w:tr>
        <w:trPr>
          <w:trHeight w:val="189"/>
        </w:trPr>
        <w:tc>
          <w:tcPr>
            <w:tcW w:w="7940" w:type="dxa"/>
            <w:vAlign w:val="bottom"/>
            <w:shd w:val="clear" w:color="auto" w:fill="EDEDED"/>
          </w:tcPr>
          <w:p>
            <w:pPr>
              <w:ind w:left="60"/>
              <w:spacing w:after="0"/>
              <w:rPr>
                <w:sz w:val="20"/>
                <w:szCs w:val="20"/>
                <w:color w:val="auto"/>
              </w:rPr>
            </w:pPr>
            <w:r>
              <w:rPr>
                <w:rFonts w:ascii="Arial" w:cs="Arial" w:eastAsia="Arial" w:hAnsi="Arial"/>
                <w:sz w:val="16"/>
                <w:szCs w:val="16"/>
                <w:color w:val="auto"/>
              </w:rPr>
              <w:t>Peter Bracke</w:t>
            </w:r>
          </w:p>
        </w:tc>
        <w:tc>
          <w:tcPr>
            <w:tcW w:w="2260" w:type="dxa"/>
            <w:vAlign w:val="bottom"/>
            <w:gridSpan w:val="2"/>
            <w:shd w:val="clear" w:color="auto" w:fill="EDEDED"/>
          </w:tcPr>
          <w:p>
            <w:pPr>
              <w:jc w:val="right"/>
              <w:ind w:right="648"/>
              <w:spacing w:after="0"/>
              <w:rPr>
                <w:sz w:val="20"/>
                <w:szCs w:val="20"/>
                <w:color w:val="auto"/>
              </w:rPr>
            </w:pPr>
            <w:r>
              <w:rPr>
                <w:rFonts w:ascii="Arial" w:cs="Arial" w:eastAsia="Arial" w:hAnsi="Arial"/>
                <w:sz w:val="16"/>
                <w:szCs w:val="16"/>
                <w:color w:val="auto"/>
              </w:rPr>
              <w:t>54,718</w:t>
            </w: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896,267</w:t>
            </w:r>
          </w:p>
        </w:tc>
      </w:tr>
      <w:tr>
        <w:trPr>
          <w:trHeight w:val="223"/>
        </w:trPr>
        <w:tc>
          <w:tcPr>
            <w:tcW w:w="7940" w:type="dxa"/>
            <w:vAlign w:val="bottom"/>
            <w:tcBorders>
              <w:bottom w:val="single" w:sz="8" w:color="EDEDED"/>
            </w:tcBorders>
          </w:tcPr>
          <w:p>
            <w:pPr>
              <w:ind w:left="60"/>
              <w:spacing w:after="0"/>
              <w:rPr>
                <w:sz w:val="20"/>
                <w:szCs w:val="20"/>
                <w:color w:val="auto"/>
              </w:rPr>
            </w:pPr>
            <w:r>
              <w:rPr>
                <w:rFonts w:ascii="Arial" w:cs="Arial" w:eastAsia="Arial" w:hAnsi="Arial"/>
                <w:sz w:val="16"/>
                <w:szCs w:val="16"/>
                <w:color w:val="auto"/>
              </w:rPr>
              <w:t>Craig Balis</w:t>
            </w:r>
          </w:p>
        </w:tc>
        <w:tc>
          <w:tcPr>
            <w:tcW w:w="2260" w:type="dxa"/>
            <w:vAlign w:val="bottom"/>
            <w:tcBorders>
              <w:bottom w:val="single" w:sz="8" w:color="EDEDED"/>
            </w:tcBorders>
            <w:gridSpan w:val="2"/>
          </w:tcPr>
          <w:p>
            <w:pPr>
              <w:jc w:val="right"/>
              <w:ind w:right="648"/>
              <w:spacing w:after="0"/>
              <w:rPr>
                <w:sz w:val="20"/>
                <w:szCs w:val="20"/>
                <w:color w:val="auto"/>
              </w:rPr>
            </w:pPr>
            <w:r>
              <w:rPr>
                <w:rFonts w:ascii="Arial" w:cs="Arial" w:eastAsia="Arial" w:hAnsi="Arial"/>
                <w:sz w:val="16"/>
                <w:szCs w:val="16"/>
                <w:color w:val="auto"/>
              </w:rPr>
              <w:t>75,131</w:t>
            </w:r>
          </w:p>
        </w:tc>
        <w:tc>
          <w:tcPr>
            <w:tcW w:w="820" w:type="dxa"/>
            <w:vAlign w:val="bottom"/>
            <w:tcBorders>
              <w:bottom w:val="single" w:sz="8" w:color="EDEDED"/>
            </w:tcBorders>
          </w:tcPr>
          <w:p>
            <w:pPr>
              <w:jc w:val="right"/>
              <w:spacing w:after="0"/>
              <w:rPr>
                <w:sz w:val="20"/>
                <w:szCs w:val="20"/>
                <w:color w:val="auto"/>
              </w:rPr>
            </w:pPr>
            <w:r>
              <w:rPr>
                <w:rFonts w:ascii="Arial" w:cs="Arial" w:eastAsia="Arial" w:hAnsi="Arial"/>
                <w:sz w:val="16"/>
                <w:szCs w:val="16"/>
                <w:color w:val="auto"/>
              </w:rPr>
              <w:t>1,221,263</w:t>
            </w:r>
          </w:p>
        </w:tc>
      </w:tr>
      <w:tr>
        <w:trPr>
          <w:trHeight w:val="189"/>
        </w:trPr>
        <w:tc>
          <w:tcPr>
            <w:tcW w:w="7940" w:type="dxa"/>
            <w:vAlign w:val="bottom"/>
            <w:shd w:val="clear" w:color="auto" w:fill="EDEDED"/>
          </w:tcPr>
          <w:p>
            <w:pPr>
              <w:ind w:left="60"/>
              <w:spacing w:after="0"/>
              <w:rPr>
                <w:sz w:val="20"/>
                <w:szCs w:val="20"/>
                <w:color w:val="auto"/>
              </w:rPr>
            </w:pPr>
            <w:r>
              <w:rPr>
                <w:rFonts w:ascii="Arial" w:cs="Arial" w:eastAsia="Arial" w:hAnsi="Arial"/>
                <w:sz w:val="16"/>
                <w:szCs w:val="16"/>
                <w:color w:val="auto"/>
              </w:rPr>
              <w:t>Jérôme Maironi</w:t>
            </w:r>
          </w:p>
        </w:tc>
        <w:tc>
          <w:tcPr>
            <w:tcW w:w="2260" w:type="dxa"/>
            <w:vAlign w:val="bottom"/>
            <w:gridSpan w:val="2"/>
            <w:shd w:val="clear" w:color="auto" w:fill="EDEDED"/>
          </w:tcPr>
          <w:p>
            <w:pPr>
              <w:jc w:val="right"/>
              <w:ind w:right="648"/>
              <w:spacing w:after="0"/>
              <w:rPr>
                <w:sz w:val="20"/>
                <w:szCs w:val="20"/>
                <w:color w:val="auto"/>
              </w:rPr>
            </w:pPr>
            <w:r>
              <w:rPr>
                <w:rFonts w:ascii="Arial" w:cs="Arial" w:eastAsia="Arial" w:hAnsi="Arial"/>
                <w:sz w:val="16"/>
                <w:szCs w:val="16"/>
                <w:color w:val="auto"/>
              </w:rPr>
              <w:t>67,968</w:t>
            </w: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1,090,907</w:t>
            </w:r>
          </w:p>
        </w:tc>
      </w:tr>
      <w:tr>
        <w:trPr>
          <w:trHeight w:val="216"/>
        </w:trPr>
        <w:tc>
          <w:tcPr>
            <w:tcW w:w="7940" w:type="dxa"/>
            <w:vAlign w:val="bottom"/>
            <w:tcBorders>
              <w:bottom w:val="single" w:sz="8" w:color="E52823"/>
            </w:tcBorders>
          </w:tcPr>
          <w:p>
            <w:pPr>
              <w:ind w:left="60"/>
              <w:spacing w:after="0"/>
              <w:rPr>
                <w:sz w:val="20"/>
                <w:szCs w:val="20"/>
                <w:color w:val="auto"/>
              </w:rPr>
            </w:pPr>
            <w:r>
              <w:rPr>
                <w:rFonts w:ascii="Arial" w:cs="Arial" w:eastAsia="Arial" w:hAnsi="Arial"/>
                <w:sz w:val="16"/>
                <w:szCs w:val="16"/>
                <w:color w:val="auto"/>
              </w:rPr>
              <w:t>Thierry Mabru</w:t>
            </w:r>
          </w:p>
        </w:tc>
        <w:tc>
          <w:tcPr>
            <w:tcW w:w="2260" w:type="dxa"/>
            <w:vAlign w:val="bottom"/>
            <w:tcBorders>
              <w:bottom w:val="single" w:sz="8" w:color="E52823"/>
            </w:tcBorders>
            <w:gridSpan w:val="2"/>
          </w:tcPr>
          <w:p>
            <w:pPr>
              <w:jc w:val="right"/>
              <w:ind w:right="648"/>
              <w:spacing w:after="0"/>
              <w:rPr>
                <w:sz w:val="20"/>
                <w:szCs w:val="20"/>
                <w:color w:val="auto"/>
              </w:rPr>
            </w:pPr>
            <w:r>
              <w:rPr>
                <w:rFonts w:ascii="Arial" w:cs="Arial" w:eastAsia="Arial" w:hAnsi="Arial"/>
                <w:sz w:val="16"/>
                <w:szCs w:val="16"/>
                <w:color w:val="auto"/>
              </w:rPr>
              <w:t>62,288</w:t>
            </w:r>
          </w:p>
        </w:tc>
        <w:tc>
          <w:tcPr>
            <w:tcW w:w="820" w:type="dxa"/>
            <w:vAlign w:val="bottom"/>
            <w:tcBorders>
              <w:bottom w:val="single" w:sz="8" w:color="E52823"/>
            </w:tcBorders>
          </w:tcPr>
          <w:p>
            <w:pPr>
              <w:jc w:val="right"/>
              <w:spacing w:after="0"/>
              <w:rPr>
                <w:sz w:val="20"/>
                <w:szCs w:val="20"/>
                <w:color w:val="auto"/>
              </w:rPr>
            </w:pPr>
            <w:r>
              <w:rPr>
                <w:rFonts w:ascii="Arial" w:cs="Arial" w:eastAsia="Arial" w:hAnsi="Arial"/>
                <w:sz w:val="16"/>
                <w:szCs w:val="16"/>
                <w:color w:val="auto"/>
              </w:rPr>
              <w:t>971,649</w:t>
            </w:r>
          </w:p>
        </w:tc>
      </w:tr>
    </w:tbl>
    <w:p>
      <w:pPr>
        <w:spacing w:after="0" w:line="75"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the amounts realized based on the fair market value of our common stock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50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PENSION BENEFITS—FISCAL YEAR 2019</w:t>
      </w:r>
    </w:p>
    <w:p>
      <w:pPr>
        <w:spacing w:after="0" w:line="234"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The following table provides summary information about the pension benefits that have been earned by our Named Executive Officers in 2019. For 2019, the Named Executive Officers all participated in a pension plan sponsored in Switzerland and named “Columna Sammelstiftung Client Invest Winterthur” (the “Garrett Swiss Plan”). Garrett Swiss Plan benefits depend on each Named Executive Officer’s annual contribution election and age. The column in the table below entitled “Present Value of Accumulated Benefits” represents the value of the employer contributions in the Garrett Swiss Plan with related interest, converted to U.S. dollars.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00" w:type="dxa"/>
            <w:vAlign w:val="bottom"/>
          </w:tcPr>
          <w:p>
            <w:pPr>
              <w:jc w:val="center"/>
              <w:ind w:left="282"/>
              <w:spacing w:after="0"/>
              <w:rPr>
                <w:sz w:val="20"/>
                <w:szCs w:val="20"/>
                <w:color w:val="auto"/>
              </w:rPr>
            </w:pPr>
            <w:r>
              <w:rPr>
                <w:rFonts w:ascii="Arial" w:cs="Arial" w:eastAsia="Arial" w:hAnsi="Arial"/>
                <w:sz w:val="14"/>
                <w:szCs w:val="14"/>
                <w:color w:val="auto"/>
              </w:rPr>
              <w:t>Present Value of</w:t>
            </w:r>
          </w:p>
        </w:tc>
      </w:tr>
      <w:tr>
        <w:trPr>
          <w:trHeight w:val="162"/>
        </w:trPr>
        <w:tc>
          <w:tcPr>
            <w:tcW w:w="4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140" w:type="dxa"/>
            <w:vAlign w:val="bottom"/>
          </w:tcPr>
          <w:p>
            <w:pPr>
              <w:jc w:val="right"/>
              <w:ind w:right="381"/>
              <w:spacing w:after="0"/>
              <w:rPr>
                <w:sz w:val="20"/>
                <w:szCs w:val="20"/>
                <w:color w:val="auto"/>
              </w:rPr>
            </w:pPr>
            <w:r>
              <w:rPr>
                <w:rFonts w:ascii="Arial" w:cs="Arial" w:eastAsia="Arial" w:hAnsi="Arial"/>
                <w:sz w:val="14"/>
                <w:szCs w:val="14"/>
                <w:color w:val="auto"/>
              </w:rPr>
              <w:t>Number of Years</w:t>
            </w:r>
          </w:p>
        </w:tc>
        <w:tc>
          <w:tcPr>
            <w:tcW w:w="1700" w:type="dxa"/>
            <w:vAlign w:val="bottom"/>
          </w:tcPr>
          <w:p>
            <w:pPr>
              <w:jc w:val="center"/>
              <w:ind w:left="302"/>
              <w:spacing w:after="0"/>
              <w:rPr>
                <w:sz w:val="20"/>
                <w:szCs w:val="20"/>
                <w:color w:val="auto"/>
              </w:rPr>
            </w:pPr>
            <w:r>
              <w:rPr>
                <w:rFonts w:ascii="Arial" w:cs="Arial" w:eastAsia="Arial" w:hAnsi="Arial"/>
                <w:sz w:val="14"/>
                <w:szCs w:val="14"/>
                <w:color w:val="auto"/>
              </w:rPr>
              <w:t>Accumulated Benefit</w:t>
            </w:r>
          </w:p>
        </w:tc>
      </w:tr>
      <w:tr>
        <w:trPr>
          <w:trHeight w:val="172"/>
        </w:trPr>
        <w:tc>
          <w:tcPr>
            <w:tcW w:w="4440" w:type="dxa"/>
            <w:vAlign w:val="bottom"/>
          </w:tcPr>
          <w:p>
            <w:pPr>
              <w:ind w:left="60"/>
              <w:spacing w:after="0"/>
              <w:rPr>
                <w:sz w:val="20"/>
                <w:szCs w:val="20"/>
                <w:color w:val="auto"/>
              </w:rPr>
            </w:pPr>
            <w:r>
              <w:rPr>
                <w:rFonts w:ascii="Arial" w:cs="Arial" w:eastAsia="Arial" w:hAnsi="Arial"/>
                <w:sz w:val="14"/>
                <w:szCs w:val="14"/>
                <w:color w:val="auto"/>
              </w:rPr>
              <w:t>Name</w:t>
            </w:r>
          </w:p>
        </w:tc>
        <w:tc>
          <w:tcPr>
            <w:tcW w:w="2740" w:type="dxa"/>
            <w:vAlign w:val="bottom"/>
          </w:tcPr>
          <w:p>
            <w:pPr>
              <w:ind w:left="1260"/>
              <w:spacing w:after="0"/>
              <w:rPr>
                <w:sz w:val="20"/>
                <w:szCs w:val="20"/>
                <w:color w:val="auto"/>
              </w:rPr>
            </w:pPr>
            <w:r>
              <w:rPr>
                <w:rFonts w:ascii="Arial" w:cs="Arial" w:eastAsia="Arial" w:hAnsi="Arial"/>
                <w:sz w:val="14"/>
                <w:szCs w:val="14"/>
                <w:color w:val="auto"/>
              </w:rPr>
              <w:t>Plan Name</w:t>
            </w:r>
          </w:p>
        </w:tc>
        <w:tc>
          <w:tcPr>
            <w:tcW w:w="2140" w:type="dxa"/>
            <w:vAlign w:val="bottom"/>
          </w:tcPr>
          <w:p>
            <w:pPr>
              <w:jc w:val="right"/>
              <w:ind w:right="281"/>
              <w:spacing w:after="0"/>
              <w:rPr>
                <w:sz w:val="20"/>
                <w:szCs w:val="20"/>
                <w:color w:val="auto"/>
              </w:rPr>
            </w:pPr>
            <w:r>
              <w:rPr>
                <w:rFonts w:ascii="Arial" w:cs="Arial" w:eastAsia="Arial" w:hAnsi="Arial"/>
                <w:sz w:val="14"/>
                <w:szCs w:val="14"/>
                <w:color w:val="auto"/>
              </w:rPr>
              <w:t>Credited Service (#)</w:t>
            </w:r>
          </w:p>
        </w:tc>
        <w:tc>
          <w:tcPr>
            <w:tcW w:w="1700" w:type="dxa"/>
            <w:vAlign w:val="bottom"/>
          </w:tcPr>
          <w:p>
            <w:pPr>
              <w:jc w:val="center"/>
              <w:ind w:left="282"/>
              <w:spacing w:after="0"/>
              <w:rPr>
                <w:sz w:val="20"/>
                <w:szCs w:val="20"/>
                <w:color w:val="auto"/>
              </w:rPr>
            </w:pPr>
            <w:r>
              <w:rPr>
                <w:rFonts w:ascii="Arial" w:cs="Arial" w:eastAsia="Arial" w:hAnsi="Arial"/>
                <w:sz w:val="14"/>
                <w:szCs w:val="14"/>
                <w:color w:val="auto"/>
              </w:rPr>
              <w:t>($)</w:t>
            </w:r>
          </w:p>
        </w:tc>
      </w:tr>
      <w:tr>
        <w:trPr>
          <w:trHeight w:val="100"/>
        </w:trPr>
        <w:tc>
          <w:tcPr>
            <w:tcW w:w="444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311"/>
        </w:trPr>
        <w:tc>
          <w:tcPr>
            <w:tcW w:w="4440" w:type="dxa"/>
            <w:vAlign w:val="bottom"/>
            <w:shd w:val="clear" w:color="auto" w:fill="EDEDED"/>
          </w:tcPr>
          <w:p>
            <w:pPr>
              <w:ind w:left="60"/>
              <w:spacing w:after="0"/>
              <w:rPr>
                <w:sz w:val="20"/>
                <w:szCs w:val="20"/>
                <w:color w:val="auto"/>
              </w:rPr>
            </w:pPr>
            <w:r>
              <w:rPr>
                <w:rFonts w:ascii="Arial" w:cs="Arial" w:eastAsia="Arial" w:hAnsi="Arial"/>
                <w:sz w:val="16"/>
                <w:szCs w:val="16"/>
                <w:color w:val="auto"/>
              </w:rPr>
              <w:t>Olivier Rabiller</w:t>
            </w:r>
          </w:p>
        </w:tc>
        <w:tc>
          <w:tcPr>
            <w:tcW w:w="2740" w:type="dxa"/>
            <w:vAlign w:val="bottom"/>
            <w:shd w:val="clear" w:color="auto" w:fill="EDEDED"/>
          </w:tcPr>
          <w:p>
            <w:pPr>
              <w:ind w:left="720"/>
              <w:spacing w:after="0"/>
              <w:rPr>
                <w:sz w:val="20"/>
                <w:szCs w:val="20"/>
                <w:color w:val="auto"/>
              </w:rPr>
            </w:pPr>
            <w:r>
              <w:rPr>
                <w:rFonts w:ascii="Arial" w:cs="Arial" w:eastAsia="Arial" w:hAnsi="Arial"/>
                <w:sz w:val="16"/>
                <w:szCs w:val="16"/>
                <w:color w:val="auto"/>
              </w:rPr>
              <w:t>Garrett Swiss Plan</w:t>
            </w:r>
            <w:r>
              <w:rPr>
                <w:rFonts w:ascii="Arial" w:cs="Arial" w:eastAsia="Arial" w:hAnsi="Arial"/>
                <w:sz w:val="27"/>
                <w:szCs w:val="27"/>
                <w:color w:val="auto"/>
                <w:vertAlign w:val="superscript"/>
              </w:rPr>
              <w:t>(1)</w:t>
            </w:r>
          </w:p>
        </w:tc>
        <w:tc>
          <w:tcPr>
            <w:tcW w:w="2140" w:type="dxa"/>
            <w:vAlign w:val="bottom"/>
            <w:shd w:val="clear" w:color="auto" w:fill="EDEDED"/>
          </w:tcPr>
          <w:p>
            <w:pPr>
              <w:jc w:val="right"/>
              <w:ind w:right="681"/>
              <w:spacing w:after="0"/>
              <w:rPr>
                <w:sz w:val="20"/>
                <w:szCs w:val="20"/>
                <w:color w:val="auto"/>
              </w:rPr>
            </w:pPr>
            <w:r>
              <w:rPr>
                <w:rFonts w:ascii="Arial" w:cs="Arial" w:eastAsia="Arial" w:hAnsi="Arial"/>
                <w:sz w:val="16"/>
                <w:szCs w:val="16"/>
                <w:color w:val="auto"/>
              </w:rPr>
              <w:t>9</w:t>
            </w:r>
          </w:p>
        </w:tc>
        <w:tc>
          <w:tcPr>
            <w:tcW w:w="1700" w:type="dxa"/>
            <w:vAlign w:val="bottom"/>
            <w:shd w:val="clear" w:color="auto" w:fill="EDEDED"/>
          </w:tcPr>
          <w:p>
            <w:pPr>
              <w:jc w:val="right"/>
              <w:ind w:right="142"/>
              <w:spacing w:after="0"/>
              <w:rPr>
                <w:sz w:val="20"/>
                <w:szCs w:val="20"/>
                <w:color w:val="auto"/>
              </w:rPr>
            </w:pPr>
            <w:r>
              <w:rPr>
                <w:rFonts w:ascii="Arial" w:cs="Arial" w:eastAsia="Arial" w:hAnsi="Arial"/>
                <w:sz w:val="16"/>
                <w:szCs w:val="16"/>
                <w:color w:val="auto"/>
              </w:rPr>
              <w:t>626,518</w:t>
            </w:r>
          </w:p>
        </w:tc>
      </w:tr>
      <w:tr>
        <w:trPr>
          <w:trHeight w:val="324"/>
        </w:trPr>
        <w:tc>
          <w:tcPr>
            <w:tcW w:w="4440" w:type="dxa"/>
            <w:vAlign w:val="bottom"/>
          </w:tcPr>
          <w:p>
            <w:pPr>
              <w:ind w:left="60"/>
              <w:spacing w:after="0"/>
              <w:rPr>
                <w:sz w:val="20"/>
                <w:szCs w:val="20"/>
                <w:color w:val="auto"/>
              </w:rPr>
            </w:pPr>
            <w:r>
              <w:rPr>
                <w:rFonts w:ascii="Arial" w:cs="Arial" w:eastAsia="Arial" w:hAnsi="Arial"/>
                <w:sz w:val="16"/>
                <w:szCs w:val="16"/>
                <w:color w:val="auto"/>
              </w:rPr>
              <w:t>Alessandro Gili</w:t>
            </w:r>
          </w:p>
        </w:tc>
        <w:tc>
          <w:tcPr>
            <w:tcW w:w="2740" w:type="dxa"/>
            <w:vAlign w:val="bottom"/>
          </w:tcPr>
          <w:p>
            <w:pPr>
              <w:ind w:left="720"/>
              <w:spacing w:after="0"/>
              <w:rPr>
                <w:sz w:val="20"/>
                <w:szCs w:val="20"/>
                <w:color w:val="auto"/>
              </w:rPr>
            </w:pPr>
            <w:r>
              <w:rPr>
                <w:rFonts w:ascii="Arial" w:cs="Arial" w:eastAsia="Arial" w:hAnsi="Arial"/>
                <w:sz w:val="16"/>
                <w:szCs w:val="16"/>
                <w:color w:val="auto"/>
              </w:rPr>
              <w:t>Garrett Swiss Plan</w:t>
            </w:r>
            <w:r>
              <w:rPr>
                <w:rFonts w:ascii="Arial" w:cs="Arial" w:eastAsia="Arial" w:hAnsi="Arial"/>
                <w:sz w:val="27"/>
                <w:szCs w:val="27"/>
                <w:color w:val="auto"/>
                <w:vertAlign w:val="superscript"/>
              </w:rPr>
              <w:t>(1)</w:t>
            </w:r>
          </w:p>
        </w:tc>
        <w:tc>
          <w:tcPr>
            <w:tcW w:w="2140" w:type="dxa"/>
            <w:vAlign w:val="bottom"/>
          </w:tcPr>
          <w:p>
            <w:pPr>
              <w:jc w:val="right"/>
              <w:ind w:right="681"/>
              <w:spacing w:after="0"/>
              <w:rPr>
                <w:sz w:val="20"/>
                <w:szCs w:val="20"/>
                <w:color w:val="auto"/>
              </w:rPr>
            </w:pPr>
            <w:r>
              <w:rPr>
                <w:rFonts w:ascii="Arial" w:cs="Arial" w:eastAsia="Arial" w:hAnsi="Arial"/>
                <w:sz w:val="16"/>
                <w:szCs w:val="16"/>
                <w:color w:val="auto"/>
              </w:rPr>
              <w:t>1.6</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107,164</w:t>
            </w:r>
          </w:p>
        </w:tc>
      </w:tr>
      <w:tr>
        <w:trPr>
          <w:trHeight w:val="324"/>
        </w:trPr>
        <w:tc>
          <w:tcPr>
            <w:tcW w:w="4440" w:type="dxa"/>
            <w:vAlign w:val="bottom"/>
            <w:shd w:val="clear" w:color="auto" w:fill="EDEDED"/>
          </w:tcPr>
          <w:p>
            <w:pPr>
              <w:ind w:left="60"/>
              <w:spacing w:after="0"/>
              <w:rPr>
                <w:sz w:val="20"/>
                <w:szCs w:val="20"/>
                <w:color w:val="auto"/>
              </w:rPr>
            </w:pPr>
            <w:r>
              <w:rPr>
                <w:rFonts w:ascii="Arial" w:cs="Arial" w:eastAsia="Arial" w:hAnsi="Arial"/>
                <w:sz w:val="16"/>
                <w:szCs w:val="16"/>
                <w:color w:val="auto"/>
              </w:rPr>
              <w:t>Peter Bracke</w:t>
            </w:r>
          </w:p>
        </w:tc>
        <w:tc>
          <w:tcPr>
            <w:tcW w:w="2740" w:type="dxa"/>
            <w:vAlign w:val="bottom"/>
            <w:shd w:val="clear" w:color="auto" w:fill="EDEDED"/>
          </w:tcPr>
          <w:p>
            <w:pPr>
              <w:ind w:left="720"/>
              <w:spacing w:after="0"/>
              <w:rPr>
                <w:sz w:val="20"/>
                <w:szCs w:val="20"/>
                <w:color w:val="auto"/>
              </w:rPr>
            </w:pPr>
            <w:r>
              <w:rPr>
                <w:rFonts w:ascii="Arial" w:cs="Arial" w:eastAsia="Arial" w:hAnsi="Arial"/>
                <w:sz w:val="16"/>
                <w:szCs w:val="16"/>
                <w:color w:val="auto"/>
              </w:rPr>
              <w:t>Garrett Swiss Plan</w:t>
            </w:r>
            <w:r>
              <w:rPr>
                <w:rFonts w:ascii="Arial" w:cs="Arial" w:eastAsia="Arial" w:hAnsi="Arial"/>
                <w:sz w:val="27"/>
                <w:szCs w:val="27"/>
                <w:color w:val="auto"/>
                <w:vertAlign w:val="superscript"/>
              </w:rPr>
              <w:t>(1)</w:t>
            </w:r>
          </w:p>
        </w:tc>
        <w:tc>
          <w:tcPr>
            <w:tcW w:w="2140" w:type="dxa"/>
            <w:vAlign w:val="bottom"/>
            <w:shd w:val="clear" w:color="auto" w:fill="EDEDED"/>
          </w:tcPr>
          <w:p>
            <w:pPr>
              <w:jc w:val="right"/>
              <w:ind w:right="681"/>
              <w:spacing w:after="0"/>
              <w:rPr>
                <w:sz w:val="20"/>
                <w:szCs w:val="20"/>
                <w:color w:val="auto"/>
              </w:rPr>
            </w:pPr>
            <w:r>
              <w:rPr>
                <w:rFonts w:ascii="Arial" w:cs="Arial" w:eastAsia="Arial" w:hAnsi="Arial"/>
                <w:sz w:val="16"/>
                <w:szCs w:val="16"/>
                <w:color w:val="auto"/>
              </w:rPr>
              <w:t>10.8</w:t>
            </w:r>
          </w:p>
        </w:tc>
        <w:tc>
          <w:tcPr>
            <w:tcW w:w="1700" w:type="dxa"/>
            <w:vAlign w:val="bottom"/>
            <w:shd w:val="clear" w:color="auto" w:fill="EDEDED"/>
          </w:tcPr>
          <w:p>
            <w:pPr>
              <w:jc w:val="right"/>
              <w:ind w:right="142"/>
              <w:spacing w:after="0"/>
              <w:rPr>
                <w:sz w:val="20"/>
                <w:szCs w:val="20"/>
                <w:color w:val="auto"/>
              </w:rPr>
            </w:pPr>
            <w:r>
              <w:rPr>
                <w:rFonts w:ascii="Arial" w:cs="Arial" w:eastAsia="Arial" w:hAnsi="Arial"/>
                <w:sz w:val="16"/>
                <w:szCs w:val="16"/>
                <w:color w:val="auto"/>
              </w:rPr>
              <w:t>555,090</w:t>
            </w:r>
          </w:p>
        </w:tc>
      </w:tr>
      <w:tr>
        <w:trPr>
          <w:trHeight w:val="324"/>
        </w:trPr>
        <w:tc>
          <w:tcPr>
            <w:tcW w:w="4440" w:type="dxa"/>
            <w:vAlign w:val="bottom"/>
          </w:tcPr>
          <w:p>
            <w:pPr>
              <w:ind w:left="60"/>
              <w:spacing w:after="0"/>
              <w:rPr>
                <w:sz w:val="20"/>
                <w:szCs w:val="20"/>
                <w:color w:val="auto"/>
              </w:rPr>
            </w:pPr>
            <w:r>
              <w:rPr>
                <w:rFonts w:ascii="Arial" w:cs="Arial" w:eastAsia="Arial" w:hAnsi="Arial"/>
                <w:sz w:val="16"/>
                <w:szCs w:val="16"/>
                <w:color w:val="auto"/>
              </w:rPr>
              <w:t>Craig Balis</w:t>
            </w:r>
          </w:p>
        </w:tc>
        <w:tc>
          <w:tcPr>
            <w:tcW w:w="2740" w:type="dxa"/>
            <w:vAlign w:val="bottom"/>
          </w:tcPr>
          <w:p>
            <w:pPr>
              <w:ind w:left="720"/>
              <w:spacing w:after="0"/>
              <w:rPr>
                <w:sz w:val="20"/>
                <w:szCs w:val="20"/>
                <w:color w:val="auto"/>
              </w:rPr>
            </w:pPr>
            <w:r>
              <w:rPr>
                <w:rFonts w:ascii="Arial" w:cs="Arial" w:eastAsia="Arial" w:hAnsi="Arial"/>
                <w:sz w:val="16"/>
                <w:szCs w:val="16"/>
                <w:color w:val="auto"/>
              </w:rPr>
              <w:t>Garrett Swiss Plan</w:t>
            </w:r>
            <w:r>
              <w:rPr>
                <w:rFonts w:ascii="Arial" w:cs="Arial" w:eastAsia="Arial" w:hAnsi="Arial"/>
                <w:sz w:val="27"/>
                <w:szCs w:val="27"/>
                <w:color w:val="auto"/>
                <w:vertAlign w:val="superscript"/>
              </w:rPr>
              <w:t>(1)</w:t>
            </w:r>
          </w:p>
        </w:tc>
        <w:tc>
          <w:tcPr>
            <w:tcW w:w="2140" w:type="dxa"/>
            <w:vAlign w:val="bottom"/>
          </w:tcPr>
          <w:p>
            <w:pPr>
              <w:jc w:val="right"/>
              <w:ind w:right="681"/>
              <w:spacing w:after="0"/>
              <w:rPr>
                <w:sz w:val="20"/>
                <w:szCs w:val="20"/>
                <w:color w:val="auto"/>
              </w:rPr>
            </w:pPr>
            <w:r>
              <w:rPr>
                <w:rFonts w:ascii="Arial" w:cs="Arial" w:eastAsia="Arial" w:hAnsi="Arial"/>
                <w:sz w:val="16"/>
                <w:szCs w:val="16"/>
                <w:color w:val="auto"/>
              </w:rPr>
              <w:t>5.6</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441,123</w:t>
            </w:r>
          </w:p>
        </w:tc>
      </w:tr>
      <w:tr>
        <w:trPr>
          <w:trHeight w:val="324"/>
        </w:trPr>
        <w:tc>
          <w:tcPr>
            <w:tcW w:w="4440" w:type="dxa"/>
            <w:vAlign w:val="bottom"/>
            <w:shd w:val="clear" w:color="auto" w:fill="EDEDED"/>
          </w:tcPr>
          <w:p>
            <w:pPr>
              <w:ind w:left="60"/>
              <w:spacing w:after="0"/>
              <w:rPr>
                <w:sz w:val="20"/>
                <w:szCs w:val="20"/>
                <w:color w:val="auto"/>
              </w:rPr>
            </w:pPr>
            <w:r>
              <w:rPr>
                <w:rFonts w:ascii="Arial" w:cs="Arial" w:eastAsia="Arial" w:hAnsi="Arial"/>
                <w:sz w:val="16"/>
                <w:szCs w:val="16"/>
                <w:color w:val="auto"/>
              </w:rPr>
              <w:t>Jérôme Maironi</w:t>
            </w:r>
          </w:p>
        </w:tc>
        <w:tc>
          <w:tcPr>
            <w:tcW w:w="2740" w:type="dxa"/>
            <w:vAlign w:val="bottom"/>
            <w:shd w:val="clear" w:color="auto" w:fill="EDEDED"/>
          </w:tcPr>
          <w:p>
            <w:pPr>
              <w:ind w:left="720"/>
              <w:spacing w:after="0"/>
              <w:rPr>
                <w:sz w:val="20"/>
                <w:szCs w:val="20"/>
                <w:color w:val="auto"/>
              </w:rPr>
            </w:pPr>
            <w:r>
              <w:rPr>
                <w:rFonts w:ascii="Arial" w:cs="Arial" w:eastAsia="Arial" w:hAnsi="Arial"/>
                <w:sz w:val="16"/>
                <w:szCs w:val="16"/>
                <w:color w:val="auto"/>
              </w:rPr>
              <w:t>Garrett Swiss Plan</w:t>
            </w:r>
            <w:r>
              <w:rPr>
                <w:rFonts w:ascii="Arial" w:cs="Arial" w:eastAsia="Arial" w:hAnsi="Arial"/>
                <w:sz w:val="27"/>
                <w:szCs w:val="27"/>
                <w:color w:val="auto"/>
                <w:vertAlign w:val="superscript"/>
              </w:rPr>
              <w:t>(1)</w:t>
            </w:r>
          </w:p>
        </w:tc>
        <w:tc>
          <w:tcPr>
            <w:tcW w:w="2140" w:type="dxa"/>
            <w:vAlign w:val="bottom"/>
            <w:shd w:val="clear" w:color="auto" w:fill="EDEDED"/>
          </w:tcPr>
          <w:p>
            <w:pPr>
              <w:jc w:val="right"/>
              <w:ind w:right="681"/>
              <w:spacing w:after="0"/>
              <w:rPr>
                <w:sz w:val="20"/>
                <w:szCs w:val="20"/>
                <w:color w:val="auto"/>
              </w:rPr>
            </w:pPr>
            <w:r>
              <w:rPr>
                <w:rFonts w:ascii="Arial" w:cs="Arial" w:eastAsia="Arial" w:hAnsi="Arial"/>
                <w:sz w:val="16"/>
                <w:szCs w:val="16"/>
                <w:color w:val="auto"/>
              </w:rPr>
              <w:t>1.5</w:t>
            </w:r>
          </w:p>
        </w:tc>
        <w:tc>
          <w:tcPr>
            <w:tcW w:w="1700" w:type="dxa"/>
            <w:vAlign w:val="bottom"/>
            <w:shd w:val="clear" w:color="auto" w:fill="EDEDED"/>
          </w:tcPr>
          <w:p>
            <w:pPr>
              <w:jc w:val="right"/>
              <w:ind w:right="142"/>
              <w:spacing w:after="0"/>
              <w:rPr>
                <w:sz w:val="20"/>
                <w:szCs w:val="20"/>
                <w:color w:val="auto"/>
              </w:rPr>
            </w:pPr>
            <w:r>
              <w:rPr>
                <w:rFonts w:ascii="Arial" w:cs="Arial" w:eastAsia="Arial" w:hAnsi="Arial"/>
                <w:sz w:val="16"/>
                <w:szCs w:val="16"/>
                <w:color w:val="auto"/>
              </w:rPr>
              <w:t>83,676</w:t>
            </w:r>
          </w:p>
        </w:tc>
      </w:tr>
      <w:tr>
        <w:trPr>
          <w:trHeight w:val="375"/>
        </w:trPr>
        <w:tc>
          <w:tcPr>
            <w:tcW w:w="4440" w:type="dxa"/>
            <w:vAlign w:val="bottom"/>
          </w:tcPr>
          <w:p>
            <w:pPr>
              <w:ind w:left="60"/>
              <w:spacing w:after="0"/>
              <w:rPr>
                <w:sz w:val="20"/>
                <w:szCs w:val="20"/>
                <w:color w:val="auto"/>
              </w:rPr>
            </w:pPr>
            <w:r>
              <w:rPr>
                <w:rFonts w:ascii="Arial" w:cs="Arial" w:eastAsia="Arial" w:hAnsi="Arial"/>
                <w:sz w:val="16"/>
                <w:szCs w:val="16"/>
                <w:color w:val="auto"/>
              </w:rPr>
              <w:t>Thierry Mabru</w:t>
            </w:r>
          </w:p>
        </w:tc>
        <w:tc>
          <w:tcPr>
            <w:tcW w:w="2740" w:type="dxa"/>
            <w:vAlign w:val="bottom"/>
          </w:tcPr>
          <w:p>
            <w:pPr>
              <w:ind w:left="720"/>
              <w:spacing w:after="0"/>
              <w:rPr>
                <w:sz w:val="20"/>
                <w:szCs w:val="20"/>
                <w:color w:val="auto"/>
              </w:rPr>
            </w:pPr>
            <w:r>
              <w:rPr>
                <w:rFonts w:ascii="Arial" w:cs="Arial" w:eastAsia="Arial" w:hAnsi="Arial"/>
                <w:sz w:val="16"/>
                <w:szCs w:val="16"/>
                <w:color w:val="auto"/>
              </w:rPr>
              <w:t>Garrett Swiss Plan</w:t>
            </w:r>
            <w:r>
              <w:rPr>
                <w:rFonts w:ascii="Arial" w:cs="Arial" w:eastAsia="Arial" w:hAnsi="Arial"/>
                <w:sz w:val="27"/>
                <w:szCs w:val="27"/>
                <w:color w:val="auto"/>
                <w:vertAlign w:val="superscript"/>
              </w:rPr>
              <w:t>(1)</w:t>
            </w:r>
          </w:p>
        </w:tc>
        <w:tc>
          <w:tcPr>
            <w:tcW w:w="2140" w:type="dxa"/>
            <w:vAlign w:val="bottom"/>
          </w:tcPr>
          <w:p>
            <w:pPr>
              <w:jc w:val="right"/>
              <w:ind w:right="681"/>
              <w:spacing w:after="0"/>
              <w:rPr>
                <w:sz w:val="20"/>
                <w:szCs w:val="20"/>
                <w:color w:val="auto"/>
              </w:rPr>
            </w:pPr>
            <w:r>
              <w:rPr>
                <w:rFonts w:ascii="Arial" w:cs="Arial" w:eastAsia="Arial" w:hAnsi="Arial"/>
                <w:sz w:val="16"/>
                <w:szCs w:val="16"/>
                <w:color w:val="auto"/>
              </w:rPr>
              <w:t>8.8</w:t>
            </w:r>
          </w:p>
        </w:tc>
        <w:tc>
          <w:tcPr>
            <w:tcW w:w="1700" w:type="dxa"/>
            <w:vAlign w:val="bottom"/>
          </w:tcPr>
          <w:p>
            <w:pPr>
              <w:jc w:val="right"/>
              <w:ind w:right="142"/>
              <w:spacing w:after="0"/>
              <w:rPr>
                <w:sz w:val="20"/>
                <w:szCs w:val="20"/>
                <w:color w:val="auto"/>
              </w:rPr>
            </w:pPr>
            <w:r>
              <w:rPr>
                <w:rFonts w:ascii="Arial" w:cs="Arial" w:eastAsia="Arial" w:hAnsi="Arial"/>
                <w:sz w:val="16"/>
                <w:szCs w:val="16"/>
                <w:color w:val="auto"/>
              </w:rPr>
              <w:t>392,513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Garrett Swiss Plan benefits are not dependent upon years of credited service.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Garrett Swiss Plan Information</w:t>
      </w:r>
    </w:p>
    <w:p>
      <w:pPr>
        <w:spacing w:after="0" w:line="200"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The Garrett Swiss Plan is a broad-based pension plan in which all of Garrett’s Swiss-based employees participate, as well as our Named Executive Officers. The Garrett Swiss Plan complies with Swiss tax requirements applicable to broad-based pension plans. Normal retirement age under the Garrett Swiss Plan is 65, for men, and 64, for women. All benefits are immediately vested.</w:t>
      </w:r>
    </w:p>
    <w:p>
      <w:pPr>
        <w:spacing w:after="0" w:line="17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Named Executive Officers can contribute to the Garrett Swiss Plan based on their age at rates that range from 5%-11% of pensionable salary with additional contributions for death and disability benefits. Employer contributions are also based on the Named Executive Officer’s age at rates that range from 5.5%-11.5% of pensionable salary with additional contributions for death and disability benefits. Participants are guaranteed a minimum interest rate of return each year which is approved by the Garrett Swiss Plan trustee board. For 2019, this minimum rate was 2%.</w:t>
      </w:r>
    </w:p>
    <w:p>
      <w:pPr>
        <w:spacing w:after="0" w:line="162" w:lineRule="exact"/>
        <w:rPr>
          <w:sz w:val="20"/>
          <w:szCs w:val="20"/>
          <w:color w:val="auto"/>
        </w:rPr>
      </w:pPr>
    </w:p>
    <w:p>
      <w:pPr>
        <w:ind w:left="120" w:right="420"/>
        <w:spacing w:after="0" w:line="251" w:lineRule="auto"/>
        <w:rPr>
          <w:sz w:val="20"/>
          <w:szCs w:val="20"/>
          <w:color w:val="auto"/>
        </w:rPr>
      </w:pPr>
      <w:r>
        <w:rPr>
          <w:rFonts w:ascii="Arial" w:cs="Arial" w:eastAsia="Arial" w:hAnsi="Arial"/>
          <w:sz w:val="16"/>
          <w:szCs w:val="16"/>
          <w:color w:val="auto"/>
        </w:rPr>
        <w:t>The Garrett Swiss Plan defines pensionable salary as the sum of annual base salary, sales incentives/commissions, bonuses, gratuities and gifts for service years, in each case, while taking into account any changes to compensation have been agreed to for the applicable year, minus the annual coordination amount and limited to the Garrett Swiss Plan’s annual pay limit. For 2019, the annual coordination amount was $24,735 and the Garrett Swiss Plan’s annual pay limit was $848,047.</w:t>
      </w:r>
    </w:p>
    <w:p>
      <w:pPr>
        <w:spacing w:after="0" w:line="162"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auto"/>
        </w:rPr>
        <w:t>Annual benefits under the Garrett Swiss Plan are calculated at a Named Executive Officer’s retirement date and are equal to a percentage of the Named Executive Officer’s account balance specified in the Garrett Swiss Plan based on his age and retirement year. The normal payment form is a joint and 60% survivor annuity with the member’s surviving spouse, with a lump sum option. Swiss pension law requires participants who were covered by the pension plan of another employer to transfer the termination benefit of that pension plan into the Garrett Swiss Plan. Participants are permitted to withdraw part of the termination benefit, or pledge the termination benefit, for home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51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NONQUALIFIED DEFERRED COMPENSATION—FISCAL YEAR 2019</w:t>
      </w:r>
    </w:p>
    <w:p>
      <w:pPr>
        <w:spacing w:after="0" w:line="234"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The following table provides information on the defined contribution or other plans that during 2019 provided for deferrals of compensation to our Named Executive Officer’s on a basis that is not tax-qualified.</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Aggregate</w:t>
            </w:r>
          </w:p>
        </w:tc>
        <w:tc>
          <w:tcPr>
            <w:tcW w:w="1120" w:type="dxa"/>
            <w:vAlign w:val="bottom"/>
          </w:tcPr>
          <w:p>
            <w:pPr>
              <w:jc w:val="center"/>
              <w:ind w:left="126"/>
              <w:spacing w:after="0"/>
              <w:rPr>
                <w:sz w:val="20"/>
                <w:szCs w:val="20"/>
                <w:color w:val="auto"/>
              </w:rPr>
            </w:pPr>
            <w:r>
              <w:rPr>
                <w:rFonts w:ascii="Arial" w:cs="Arial" w:eastAsia="Arial" w:hAnsi="Arial"/>
                <w:sz w:val="14"/>
                <w:szCs w:val="14"/>
                <w:color w:val="auto"/>
              </w:rPr>
              <w:t>Aggregate</w:t>
            </w:r>
          </w:p>
        </w:tc>
      </w:tr>
      <w:tr>
        <w:trPr>
          <w:trHeight w:val="162"/>
        </w:trPr>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Executive</w:t>
            </w:r>
          </w:p>
        </w:tc>
        <w:tc>
          <w:tcPr>
            <w:tcW w:w="1420" w:type="dxa"/>
            <w:vAlign w:val="bottom"/>
          </w:tcPr>
          <w:p>
            <w:pPr>
              <w:jc w:val="center"/>
              <w:spacing w:after="0"/>
              <w:rPr>
                <w:sz w:val="20"/>
                <w:szCs w:val="20"/>
                <w:color w:val="auto"/>
              </w:rPr>
            </w:pPr>
            <w:r>
              <w:rPr>
                <w:rFonts w:ascii="Arial" w:cs="Arial" w:eastAsia="Arial" w:hAnsi="Arial"/>
                <w:sz w:val="14"/>
                <w:szCs w:val="14"/>
                <w:color w:val="auto"/>
              </w:rPr>
              <w:t>Registrant</w:t>
            </w:r>
          </w:p>
        </w:tc>
        <w:tc>
          <w:tcPr>
            <w:tcW w:w="1480" w:type="dxa"/>
            <w:vAlign w:val="bottom"/>
          </w:tcPr>
          <w:p>
            <w:pPr>
              <w:jc w:val="center"/>
              <w:spacing w:after="0"/>
              <w:rPr>
                <w:sz w:val="20"/>
                <w:szCs w:val="20"/>
                <w:color w:val="auto"/>
              </w:rPr>
            </w:pPr>
            <w:r>
              <w:rPr>
                <w:rFonts w:ascii="Arial" w:cs="Arial" w:eastAsia="Arial" w:hAnsi="Arial"/>
                <w:sz w:val="14"/>
                <w:szCs w:val="14"/>
                <w:color w:val="auto"/>
              </w:rPr>
              <w:t>Aggregate</w:t>
            </w:r>
          </w:p>
        </w:tc>
        <w:tc>
          <w:tcPr>
            <w:tcW w:w="1240" w:type="dxa"/>
            <w:vAlign w:val="bottom"/>
          </w:tcPr>
          <w:p>
            <w:pPr>
              <w:jc w:val="center"/>
              <w:spacing w:after="0"/>
              <w:rPr>
                <w:sz w:val="20"/>
                <w:szCs w:val="20"/>
                <w:color w:val="auto"/>
              </w:rPr>
            </w:pPr>
            <w:r>
              <w:rPr>
                <w:rFonts w:ascii="Arial" w:cs="Arial" w:eastAsia="Arial" w:hAnsi="Arial"/>
                <w:sz w:val="14"/>
                <w:szCs w:val="14"/>
                <w:color w:val="auto"/>
              </w:rPr>
              <w:t>Withdrawals</w:t>
            </w:r>
          </w:p>
        </w:tc>
        <w:tc>
          <w:tcPr>
            <w:tcW w:w="1120" w:type="dxa"/>
            <w:vAlign w:val="bottom"/>
          </w:tcPr>
          <w:p>
            <w:pPr>
              <w:jc w:val="center"/>
              <w:ind w:left="126"/>
              <w:spacing w:after="0"/>
              <w:rPr>
                <w:sz w:val="20"/>
                <w:szCs w:val="20"/>
                <w:color w:val="auto"/>
              </w:rPr>
            </w:pPr>
            <w:r>
              <w:rPr>
                <w:rFonts w:ascii="Arial" w:cs="Arial" w:eastAsia="Arial" w:hAnsi="Arial"/>
                <w:sz w:val="14"/>
                <w:szCs w:val="14"/>
                <w:color w:val="auto"/>
              </w:rPr>
              <w:t>Balance as of</w:t>
            </w:r>
          </w:p>
        </w:tc>
      </w:tr>
      <w:tr>
        <w:trPr>
          <w:trHeight w:val="162"/>
        </w:trPr>
        <w:tc>
          <w:tcPr>
            <w:tcW w:w="27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Contributions</w:t>
            </w:r>
          </w:p>
        </w:tc>
        <w:tc>
          <w:tcPr>
            <w:tcW w:w="1420" w:type="dxa"/>
            <w:vAlign w:val="bottom"/>
          </w:tcPr>
          <w:p>
            <w:pPr>
              <w:jc w:val="center"/>
              <w:spacing w:after="0"/>
              <w:rPr>
                <w:sz w:val="20"/>
                <w:szCs w:val="20"/>
                <w:color w:val="auto"/>
              </w:rPr>
            </w:pPr>
            <w:r>
              <w:rPr>
                <w:rFonts w:ascii="Arial" w:cs="Arial" w:eastAsia="Arial" w:hAnsi="Arial"/>
                <w:sz w:val="14"/>
                <w:szCs w:val="14"/>
                <w:color w:val="auto"/>
              </w:rPr>
              <w:t>Contributions in</w:t>
            </w:r>
          </w:p>
        </w:tc>
        <w:tc>
          <w:tcPr>
            <w:tcW w:w="1480" w:type="dxa"/>
            <w:vAlign w:val="bottom"/>
          </w:tcPr>
          <w:p>
            <w:pPr>
              <w:jc w:val="center"/>
              <w:spacing w:after="0"/>
              <w:rPr>
                <w:sz w:val="20"/>
                <w:szCs w:val="20"/>
                <w:color w:val="auto"/>
              </w:rPr>
            </w:pPr>
            <w:r>
              <w:rPr>
                <w:rFonts w:ascii="Arial" w:cs="Arial" w:eastAsia="Arial" w:hAnsi="Arial"/>
                <w:sz w:val="14"/>
                <w:szCs w:val="14"/>
                <w:color w:val="auto"/>
              </w:rPr>
              <w:t>Earnings in 2019</w:t>
            </w:r>
          </w:p>
        </w:tc>
        <w:tc>
          <w:tcPr>
            <w:tcW w:w="1240" w:type="dxa"/>
            <w:vAlign w:val="bottom"/>
          </w:tcPr>
          <w:p>
            <w:pPr>
              <w:jc w:val="center"/>
              <w:spacing w:after="0"/>
              <w:rPr>
                <w:sz w:val="20"/>
                <w:szCs w:val="20"/>
                <w:color w:val="auto"/>
              </w:rPr>
            </w:pPr>
            <w:r>
              <w:rPr>
                <w:rFonts w:ascii="Arial" w:cs="Arial" w:eastAsia="Arial" w:hAnsi="Arial"/>
                <w:sz w:val="14"/>
                <w:szCs w:val="14"/>
                <w:color w:val="auto"/>
              </w:rPr>
              <w:t>/Distributions</w:t>
            </w:r>
          </w:p>
        </w:tc>
        <w:tc>
          <w:tcPr>
            <w:tcW w:w="1120" w:type="dxa"/>
            <w:vAlign w:val="bottom"/>
          </w:tcPr>
          <w:p>
            <w:pPr>
              <w:jc w:val="center"/>
              <w:ind w:left="126"/>
              <w:spacing w:after="0"/>
              <w:rPr>
                <w:sz w:val="20"/>
                <w:szCs w:val="20"/>
                <w:color w:val="auto"/>
              </w:rPr>
            </w:pPr>
            <w:r>
              <w:rPr>
                <w:rFonts w:ascii="Arial" w:cs="Arial" w:eastAsia="Arial" w:hAnsi="Arial"/>
                <w:sz w:val="14"/>
                <w:szCs w:val="14"/>
                <w:color w:val="auto"/>
              </w:rPr>
              <w:t>December 31,</w:t>
            </w:r>
          </w:p>
        </w:tc>
      </w:tr>
      <w:tr>
        <w:trPr>
          <w:trHeight w:val="164"/>
        </w:trPr>
        <w:tc>
          <w:tcPr>
            <w:tcW w:w="278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Name</w:t>
            </w:r>
          </w:p>
        </w:tc>
        <w:tc>
          <w:tcPr>
            <w:tcW w:w="1720" w:type="dxa"/>
            <w:vAlign w:val="bottom"/>
            <w:tcBorders>
              <w:bottom w:val="single" w:sz="8" w:color="auto"/>
            </w:tcBorders>
          </w:tcPr>
          <w:p>
            <w:pPr>
              <w:ind w:left="820"/>
              <w:spacing w:after="0" w:line="157" w:lineRule="exact"/>
              <w:rPr>
                <w:sz w:val="20"/>
                <w:szCs w:val="20"/>
                <w:color w:val="auto"/>
              </w:rPr>
            </w:pPr>
            <w:r>
              <w:rPr>
                <w:rFonts w:ascii="Arial" w:cs="Arial" w:eastAsia="Arial" w:hAnsi="Arial"/>
                <w:sz w:val="14"/>
                <w:szCs w:val="14"/>
                <w:color w:val="auto"/>
              </w:rPr>
              <w:t>Plan</w:t>
            </w:r>
          </w:p>
        </w:tc>
        <w:tc>
          <w:tcPr>
            <w:tcW w:w="12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in 2019 ($)</w:t>
            </w:r>
          </w:p>
        </w:tc>
        <w:tc>
          <w:tcPr>
            <w:tcW w:w="14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2019 ($)</w:t>
            </w:r>
          </w:p>
        </w:tc>
        <w:tc>
          <w:tcPr>
            <w:tcW w:w="14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w:t>
            </w:r>
          </w:p>
        </w:tc>
        <w:tc>
          <w:tcPr>
            <w:tcW w:w="12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center"/>
              <w:ind w:left="126"/>
              <w:spacing w:after="0" w:line="157" w:lineRule="exact"/>
              <w:rPr>
                <w:sz w:val="20"/>
                <w:szCs w:val="20"/>
                <w:color w:val="auto"/>
              </w:rPr>
            </w:pPr>
            <w:r>
              <w:rPr>
                <w:rFonts w:ascii="Arial" w:cs="Arial" w:eastAsia="Arial" w:hAnsi="Arial"/>
                <w:sz w:val="14"/>
                <w:szCs w:val="14"/>
                <w:color w:val="auto"/>
                <w:w w:val="99"/>
              </w:rPr>
              <w:t>2019 ($)</w:t>
            </w:r>
          </w:p>
        </w:tc>
      </w:tr>
      <w:tr>
        <w:trPr>
          <w:trHeight w:val="204"/>
        </w:trPr>
        <w:tc>
          <w:tcPr>
            <w:tcW w:w="2780" w:type="dxa"/>
            <w:vAlign w:val="bottom"/>
            <w:shd w:val="clear" w:color="auto" w:fill="E5E5E5"/>
          </w:tcPr>
          <w:p>
            <w:pPr>
              <w:ind w:left="60"/>
              <w:spacing w:after="0"/>
              <w:rPr>
                <w:sz w:val="20"/>
                <w:szCs w:val="20"/>
                <w:color w:val="auto"/>
              </w:rPr>
            </w:pPr>
            <w:r>
              <w:rPr>
                <w:rFonts w:ascii="Arial" w:cs="Arial" w:eastAsia="Arial" w:hAnsi="Arial"/>
                <w:sz w:val="16"/>
                <w:szCs w:val="16"/>
                <w:color w:val="auto"/>
              </w:rPr>
              <w:t>Craig Balis</w:t>
            </w:r>
          </w:p>
        </w:tc>
        <w:tc>
          <w:tcPr>
            <w:tcW w:w="1720" w:type="dxa"/>
            <w:vAlign w:val="bottom"/>
            <w:shd w:val="clear" w:color="auto" w:fill="E5E5E5"/>
          </w:tcPr>
          <w:p>
            <w:pPr>
              <w:ind w:left="400"/>
              <w:spacing w:after="0"/>
              <w:rPr>
                <w:sz w:val="20"/>
                <w:szCs w:val="20"/>
                <w:color w:val="auto"/>
              </w:rPr>
            </w:pPr>
            <w:r>
              <w:rPr>
                <w:rFonts w:ascii="Arial" w:cs="Arial" w:eastAsia="Arial" w:hAnsi="Arial"/>
                <w:sz w:val="16"/>
                <w:szCs w:val="16"/>
                <w:color w:val="auto"/>
              </w:rPr>
              <w:t>Garrett</w:t>
            </w:r>
          </w:p>
        </w:tc>
        <w:tc>
          <w:tcPr>
            <w:tcW w:w="1260" w:type="dxa"/>
            <w:vAlign w:val="bottom"/>
            <w:shd w:val="clear" w:color="auto" w:fill="E5E5E5"/>
          </w:tcPr>
          <w:p>
            <w:pPr>
              <w:spacing w:after="0"/>
              <w:rPr>
                <w:sz w:val="17"/>
                <w:szCs w:val="17"/>
                <w:color w:val="auto"/>
              </w:rPr>
            </w:pPr>
          </w:p>
        </w:tc>
        <w:tc>
          <w:tcPr>
            <w:tcW w:w="1420" w:type="dxa"/>
            <w:vAlign w:val="bottom"/>
            <w:shd w:val="clear" w:color="auto" w:fill="E5E5E5"/>
          </w:tcPr>
          <w:p>
            <w:pPr>
              <w:spacing w:after="0"/>
              <w:rPr>
                <w:sz w:val="17"/>
                <w:szCs w:val="17"/>
                <w:color w:val="auto"/>
              </w:rPr>
            </w:pPr>
          </w:p>
        </w:tc>
        <w:tc>
          <w:tcPr>
            <w:tcW w:w="148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r>
      <w:tr>
        <w:trPr>
          <w:trHeight w:val="184"/>
        </w:trPr>
        <w:tc>
          <w:tcPr>
            <w:tcW w:w="2780" w:type="dxa"/>
            <w:vAlign w:val="bottom"/>
            <w:shd w:val="clear" w:color="auto" w:fill="E5E5E5"/>
          </w:tcPr>
          <w:p>
            <w:pPr>
              <w:spacing w:after="0"/>
              <w:rPr>
                <w:sz w:val="16"/>
                <w:szCs w:val="16"/>
                <w:color w:val="auto"/>
              </w:rPr>
            </w:pPr>
          </w:p>
        </w:tc>
        <w:tc>
          <w:tcPr>
            <w:tcW w:w="1720" w:type="dxa"/>
            <w:vAlign w:val="bottom"/>
            <w:shd w:val="clear" w:color="auto" w:fill="E5E5E5"/>
          </w:tcPr>
          <w:p>
            <w:pPr>
              <w:ind w:left="400"/>
              <w:spacing w:after="0"/>
              <w:rPr>
                <w:sz w:val="20"/>
                <w:szCs w:val="20"/>
                <w:color w:val="auto"/>
              </w:rPr>
            </w:pPr>
            <w:r>
              <w:rPr>
                <w:rFonts w:ascii="Arial" w:cs="Arial" w:eastAsia="Arial" w:hAnsi="Arial"/>
                <w:sz w:val="16"/>
                <w:szCs w:val="16"/>
                <w:color w:val="auto"/>
              </w:rPr>
              <w:t>Supplemental</w:t>
            </w:r>
          </w:p>
        </w:tc>
        <w:tc>
          <w:tcPr>
            <w:tcW w:w="1260" w:type="dxa"/>
            <w:vAlign w:val="bottom"/>
            <w:shd w:val="clear" w:color="auto" w:fill="E5E5E5"/>
          </w:tcPr>
          <w:p>
            <w:pPr>
              <w:spacing w:after="0"/>
              <w:rPr>
                <w:sz w:val="16"/>
                <w:szCs w:val="16"/>
                <w:color w:val="auto"/>
              </w:rPr>
            </w:pPr>
          </w:p>
        </w:tc>
        <w:tc>
          <w:tcPr>
            <w:tcW w:w="1420" w:type="dxa"/>
            <w:vAlign w:val="bottom"/>
            <w:shd w:val="clear" w:color="auto" w:fill="E5E5E5"/>
          </w:tcPr>
          <w:p>
            <w:pPr>
              <w:spacing w:after="0"/>
              <w:rPr>
                <w:sz w:val="16"/>
                <w:szCs w:val="16"/>
                <w:color w:val="auto"/>
              </w:rPr>
            </w:pPr>
          </w:p>
        </w:tc>
        <w:tc>
          <w:tcPr>
            <w:tcW w:w="1480" w:type="dxa"/>
            <w:vAlign w:val="bottom"/>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r>
      <w:tr>
        <w:trPr>
          <w:trHeight w:val="192"/>
        </w:trPr>
        <w:tc>
          <w:tcPr>
            <w:tcW w:w="2780" w:type="dxa"/>
            <w:vAlign w:val="bottom"/>
            <w:tcBorders>
              <w:bottom w:val="single" w:sz="8" w:color="E52823"/>
            </w:tcBorders>
            <w:shd w:val="clear" w:color="auto" w:fill="E5E5E5"/>
          </w:tcPr>
          <w:p>
            <w:pPr>
              <w:spacing w:after="0"/>
              <w:rPr>
                <w:sz w:val="16"/>
                <w:szCs w:val="16"/>
                <w:color w:val="auto"/>
              </w:rPr>
            </w:pPr>
          </w:p>
        </w:tc>
        <w:tc>
          <w:tcPr>
            <w:tcW w:w="1720" w:type="dxa"/>
            <w:vAlign w:val="bottom"/>
            <w:tcBorders>
              <w:bottom w:val="single" w:sz="8" w:color="E52823"/>
            </w:tcBorders>
            <w:shd w:val="clear" w:color="auto" w:fill="E5E5E5"/>
          </w:tcPr>
          <w:p>
            <w:pPr>
              <w:ind w:left="400"/>
              <w:spacing w:after="0" w:line="192" w:lineRule="exact"/>
              <w:rPr>
                <w:sz w:val="20"/>
                <w:szCs w:val="20"/>
                <w:color w:val="auto"/>
              </w:rPr>
            </w:pPr>
            <w:r>
              <w:rPr>
                <w:rFonts w:ascii="Arial" w:cs="Arial" w:eastAsia="Arial" w:hAnsi="Arial"/>
                <w:sz w:val="14"/>
                <w:szCs w:val="14"/>
                <w:color w:val="auto"/>
              </w:rPr>
              <w:t>Savings Plan</w:t>
            </w:r>
            <w:r>
              <w:rPr>
                <w:rFonts w:ascii="Arial" w:cs="Arial" w:eastAsia="Arial" w:hAnsi="Arial"/>
                <w:sz w:val="22"/>
                <w:szCs w:val="22"/>
                <w:color w:val="auto"/>
                <w:vertAlign w:val="superscript"/>
              </w:rPr>
              <w:t>(1)</w:t>
            </w:r>
          </w:p>
        </w:tc>
        <w:tc>
          <w:tcPr>
            <w:tcW w:w="1260" w:type="dxa"/>
            <w:vAlign w:val="bottom"/>
            <w:tcBorders>
              <w:bottom w:val="single" w:sz="8" w:color="E52823"/>
            </w:tcBorders>
            <w:shd w:val="clear" w:color="auto" w:fill="E5E5E5"/>
          </w:tcPr>
          <w:p>
            <w:pPr>
              <w:ind w:left="6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52823"/>
            </w:tcBorders>
            <w:shd w:val="clear" w:color="auto" w:fill="E5E5E5"/>
          </w:tcPr>
          <w:p>
            <w:pPr>
              <w:ind w:left="6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52823"/>
            </w:tcBorders>
            <w:shd w:val="clear" w:color="auto" w:fill="E5E5E5"/>
          </w:tcPr>
          <w:p>
            <w:pPr>
              <w:jc w:val="right"/>
              <w:ind w:right="286"/>
              <w:spacing w:after="0"/>
              <w:rPr>
                <w:sz w:val="20"/>
                <w:szCs w:val="20"/>
                <w:color w:val="auto"/>
              </w:rPr>
            </w:pPr>
            <w:r>
              <w:rPr>
                <w:rFonts w:ascii="Arial" w:cs="Arial" w:eastAsia="Arial" w:hAnsi="Arial"/>
                <w:sz w:val="16"/>
                <w:szCs w:val="16"/>
                <w:color w:val="auto"/>
              </w:rPr>
              <w:t>27,987</w:t>
            </w:r>
          </w:p>
        </w:tc>
        <w:tc>
          <w:tcPr>
            <w:tcW w:w="1240" w:type="dxa"/>
            <w:vAlign w:val="bottom"/>
            <w:tcBorders>
              <w:bottom w:val="single" w:sz="8" w:color="E52823"/>
            </w:tcBorders>
            <w:shd w:val="clear" w:color="auto" w:fill="E5E5E5"/>
          </w:tcPr>
          <w:p>
            <w:pPr>
              <w:ind w:left="6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52823"/>
            </w:tcBorders>
            <w:shd w:val="clear" w:color="auto" w:fill="E5E5E5"/>
          </w:tcPr>
          <w:p>
            <w:pPr>
              <w:jc w:val="right"/>
              <w:spacing w:after="0"/>
              <w:rPr>
                <w:sz w:val="20"/>
                <w:szCs w:val="20"/>
                <w:color w:val="auto"/>
              </w:rPr>
            </w:pPr>
            <w:r>
              <w:rPr>
                <w:rFonts w:ascii="Arial" w:cs="Arial" w:eastAsia="Arial" w:hAnsi="Arial"/>
                <w:sz w:val="16"/>
                <w:szCs w:val="16"/>
                <w:color w:val="auto"/>
              </w:rPr>
              <w:t>357,878</w:t>
            </w:r>
          </w:p>
        </w:tc>
      </w:tr>
    </w:tbl>
    <w:p>
      <w:pPr>
        <w:spacing w:after="0" w:line="75" w:lineRule="exact"/>
        <w:rPr>
          <w:sz w:val="20"/>
          <w:szCs w:val="20"/>
          <w:color w:val="auto"/>
        </w:rPr>
      </w:pPr>
    </w:p>
    <w:p>
      <w:pPr>
        <w:jc w:val="both"/>
        <w:ind w:left="440" w:right="40" w:hanging="324"/>
        <w:spacing w:after="0" w:line="225" w:lineRule="auto"/>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 2019, Mr. Balis participated in the Garrett Supplemental Savings Plan. Mr. Balis does not contribute to the plan (and Garrett is not actively making any matching contributions to his account); however, his account continues to earn interest under the plan. All deferred compensation amounts are unfunded and unsecured obligations of Garrett and are subject to the same risks as any of Garrett’s general obligations. No amounts reported in the table above for Mr. Balis have been reported in our Summary Compensation Table for 2018 or 2019.</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Supplemental Savings Plan (“SSP”)</w:t>
      </w:r>
    </w:p>
    <w:p>
      <w:pPr>
        <w:spacing w:after="0" w:line="200" w:lineRule="exact"/>
        <w:rPr>
          <w:sz w:val="20"/>
          <w:szCs w:val="20"/>
          <w:color w:val="auto"/>
        </w:rPr>
      </w:pPr>
    </w:p>
    <w:p>
      <w:pPr>
        <w:ind w:left="120" w:right="320"/>
        <w:spacing w:after="0" w:line="251" w:lineRule="auto"/>
        <w:rPr>
          <w:sz w:val="20"/>
          <w:szCs w:val="20"/>
          <w:color w:val="auto"/>
        </w:rPr>
      </w:pPr>
      <w:r>
        <w:rPr>
          <w:rFonts w:ascii="Arial" w:cs="Arial" w:eastAsia="Arial" w:hAnsi="Arial"/>
          <w:sz w:val="16"/>
          <w:szCs w:val="16"/>
          <w:color w:val="auto"/>
        </w:rPr>
        <w:t>The SSP is a U.S. nonqualified deferred compensation plan that permits executives to defer the portion of their pre-tax compensation and incentive compensation that could not be contributed to Garrett’s tax-qualified 401(k) plan due to the annual deferral and compensation limits imposed by the Internal Revenue Code and/or up to an additional 25% of base annual salary for the plan year. Employer matching contributions are discretionary and immediately vested.</w:t>
      </w:r>
    </w:p>
    <w:p>
      <w:pPr>
        <w:spacing w:after="0" w:line="175"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auto"/>
        </w:rPr>
        <w:t>Participant deferrals are credited with a rate of interest, compounded daily, based on the Fidelity U.S. Bond Index Fund. The rate is subject to change daily, and for 2019, the average rate was 8.5%.</w:t>
      </w:r>
    </w:p>
    <w:p>
      <w:pPr>
        <w:spacing w:after="0" w:line="155"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auto"/>
        </w:rPr>
        <w:t>Mr. Balis elected to receive his SSP benefits in a lump sum, which amount will be paid on the later of six months or in January of the year following his separation from service. Amounts deferred cannot be withdrawn before the distribution date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52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SUMMARY OF POTENTIAL PAYMENTS AND BENEFITS—TERMINATION EVENTS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section describes the benefits payable to our Named Executive Officers in two circumstances:</w:t>
      </w:r>
    </w:p>
    <w:p>
      <w:pPr>
        <w:spacing w:after="0" w:line="86" w:lineRule="exact"/>
        <w:rPr>
          <w:sz w:val="20"/>
          <w:szCs w:val="20"/>
          <w:color w:val="auto"/>
        </w:rPr>
      </w:pPr>
    </w:p>
    <w:p>
      <w:pPr>
        <w:ind w:left="340" w:hanging="224"/>
        <w:spacing w:after="0"/>
        <w:tabs>
          <w:tab w:leader="none" w:pos="340" w:val="left"/>
        </w:tabs>
        <w:numPr>
          <w:ilvl w:val="0"/>
          <w:numId w:val="50"/>
        </w:numPr>
        <w:rPr>
          <w:rFonts w:ascii="Arial" w:cs="Arial" w:eastAsia="Arial" w:hAnsi="Arial"/>
          <w:sz w:val="16"/>
          <w:szCs w:val="16"/>
          <w:color w:val="E52823"/>
        </w:rPr>
      </w:pPr>
      <w:r>
        <w:rPr>
          <w:rFonts w:ascii="Arial" w:cs="Arial" w:eastAsia="Arial" w:hAnsi="Arial"/>
          <w:sz w:val="16"/>
          <w:szCs w:val="16"/>
          <w:color w:val="auto"/>
        </w:rPr>
        <w:t>Termination of Employment</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50"/>
        </w:numPr>
        <w:rPr>
          <w:rFonts w:ascii="Arial" w:cs="Arial" w:eastAsia="Arial" w:hAnsi="Arial"/>
          <w:sz w:val="16"/>
          <w:szCs w:val="16"/>
          <w:color w:val="E52823"/>
        </w:rPr>
      </w:pPr>
      <w:r>
        <w:rPr>
          <w:rFonts w:ascii="Arial" w:cs="Arial" w:eastAsia="Arial" w:hAnsi="Arial"/>
          <w:sz w:val="16"/>
          <w:szCs w:val="16"/>
          <w:color w:val="auto"/>
        </w:rPr>
        <w:t>Change in Control</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Employment Agreements and Offer Letters; Separation Agreement</w:t>
      </w:r>
    </w:p>
    <w:p>
      <w:pPr>
        <w:spacing w:after="0" w:line="193" w:lineRule="exact"/>
        <w:rPr>
          <w:sz w:val="20"/>
          <w:szCs w:val="20"/>
          <w:color w:val="auto"/>
        </w:rPr>
      </w:pPr>
    </w:p>
    <w:p>
      <w:pPr>
        <w:ind w:left="120" w:right="180"/>
        <w:spacing w:after="0" w:line="263" w:lineRule="auto"/>
        <w:rPr>
          <w:sz w:val="20"/>
          <w:szCs w:val="20"/>
          <w:color w:val="auto"/>
        </w:rPr>
      </w:pPr>
      <w:r>
        <w:rPr>
          <w:rFonts w:ascii="Arial" w:cs="Arial" w:eastAsia="Arial" w:hAnsi="Arial"/>
          <w:sz w:val="16"/>
          <w:szCs w:val="16"/>
          <w:i w:val="1"/>
          <w:iCs w:val="1"/>
          <w:color w:val="auto"/>
        </w:rPr>
        <w:t>Olivier Rabiller</w:t>
      </w:r>
      <w:r>
        <w:rPr>
          <w:rFonts w:ascii="Arial" w:cs="Arial" w:eastAsia="Arial" w:hAnsi="Arial"/>
          <w:sz w:val="16"/>
          <w:szCs w:val="16"/>
          <w:color w:val="auto"/>
        </w:rPr>
        <w:t>. Under Mr. Rabiller’s offer letter, upon an involuntary termination of employment, other than for cause, Mr. Rabiller will be entitled to 24</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base salary continuation and target incentive compensation, which will be extended to 36 months in the case of such termination within two years after a change in control of the Company.</w:t>
      </w:r>
    </w:p>
    <w:p>
      <w:pPr>
        <w:spacing w:after="0" w:line="138"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i w:val="1"/>
          <w:iCs w:val="1"/>
          <w:color w:val="auto"/>
        </w:rPr>
        <w:t>Alessandro Gili</w:t>
      </w:r>
      <w:r>
        <w:rPr>
          <w:rFonts w:ascii="Arial" w:cs="Arial" w:eastAsia="Arial" w:hAnsi="Arial"/>
          <w:sz w:val="16"/>
          <w:szCs w:val="16"/>
          <w:color w:val="auto"/>
        </w:rPr>
        <w:t>. Prior to entering into his separation agreement with the Company in September 2019, Mr. Gili was eligible to receive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under his employment agreement. Under Mr. Gili’s employment agreement, Mr. Gili was entitled to a six-month notice period upon a termination of employment by the Company, whereby the Company would have been obligated to provide Mr. Gili with continued salary and benefits for the duration of the notice period regardless of whether Mr. Gili will continue to provide services to the Company. Additionally, upon an involuntary termination of employment, other than for cause, Mr. Gili was entitled to 18 months of base salary continuation and target incentive compensation, which would have been extended to 36 months in the case of such termination within two years after a change in control of the Company that occurs within two years after the Spin-Off.</w:t>
      </w:r>
    </w:p>
    <w:p>
      <w:pPr>
        <w:spacing w:after="0" w:line="16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auto"/>
        </w:rPr>
        <w:t>In connection with his separation from the Company, we entered into a separation agreement with Mr. Gili which provides Mr. Gili with the following payments and benefits: (i) continued salary payments, and a cash allowance in accordance with the applicable Company car policy, with the continued salary payments payable in accordance with the Company’s normal payroll practices during the period commencing on September 30, 2019 and ending on the date which Mr. Gili obtained full-time employment with another employer (the “Termination Date”), (ii) a severance payment in the amount of CHF 1,450,000 (equal to approximately $1,469,694), (iii) a prorated annual incentive bonus in the amount of CHF 328,845 (equal to approximately $333,311) and (iv) accelerated vesting in full of 55,570 of Mr. Gili’s unvested Company restricted stock units. Any other unvested Company equity awards held by Mr. Gili were forfeited without payment therefor. In addition, the Company agreed to pay costs associated with the preparation of Mr. Gili’s 2019 tax return (as well as his 2020 tax return, if the Termination Date occurs in 2020), and any reasonable relocation costs within twelve months of the execution of the separation agreement. In exchange for these payments and benefits, Mr. Gili agreed that, for a period of two years following the Termination Date, Mr. Gili will continue to be subject to the non-competition agreement he entered into with Honeywell (but instead with the covenants applied to our Company). In addition, the separation agreement contains a mutual non-disparagement provision.</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Company Severance Plan</w:t>
      </w:r>
    </w:p>
    <w:p>
      <w:pPr>
        <w:spacing w:after="0" w:line="196"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Our Named Executive Officers are eligible for severance payments and benefits upon a qualifying termination of employment under our Company severance plan. Upon an involuntary termination of employment by the Company, the Named Executive Officers are entitled to 18 months of base salary continuation, target incentive compensation prorated for the severance period and continued health and welfare benefits for the duration of the severance period, in each case, which will be extended to 24 months in the case of such termination following a change in control. We do not provide our Named Executive Officers, all of whom reside in Switzerland, with continued health and welfare benefits upon a qualifying termination of employment as these benefits typically are provided by the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6254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53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E52823"/>
        </w:rPr>
        <w:t>2018 Stock Incentive Plan</w:t>
      </w:r>
    </w:p>
    <w:p>
      <w:pPr>
        <w:spacing w:after="0" w:line="209"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Under the terms of the 2018 Stock Incentive Plan, or the 2018 Plan, in the event of a change in control, if the successor corporation refuses to assume or substitute any outstanding equity awards, or the executive is terminated without “cause” or for “good reason” (each as defined in the 2018 Plan and further below) within 24 months of the change in control, in each case, such equity awards will immediately vest and, if applicable, become exercisable and be deemed exercised immediately prior to the change in control transaction.</w:t>
      </w:r>
    </w:p>
    <w:p>
      <w:pPr>
        <w:spacing w:after="0" w:line="16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In addition, under the terms of the outstanding PSU and PCU awards, in the event of a change in control, if the successor corporation does not assume or substitute any outstanding PSU or PCU awards and (i) the applicable performance period has not ended, PSU awards will vest at target, or at a level of substantially achieved performance as determined by the Compensation Committee, and PCU awards will vest based on actual performance and prorated based on the date of such change in control, and (ii) if the applicable performance period has ended, PSU and PCU awards will vest based on actual performance through the performance period. PSUs that vest will be paid out at the greater of (i) the highest price per share paid by the successor corporation and (ii) the highest fair market value of our common stock during the 90-day period that ends on the change in control date.</w:t>
      </w:r>
    </w:p>
    <w:p>
      <w:pPr>
        <w:spacing w:after="0" w:line="16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If the awards are assumed, then upon a termination without cause or for good reason within 24 months of the change in control, if (i) the applicable performance period has not ended, PSU and PCU awards will vest at target and will be prorated based on the date of termination, and (ii) if the applicable performance period has ended, PSU and PCU awards will vest based on actual performance through the performance period.</w:t>
      </w:r>
    </w:p>
    <w:p>
      <w:pPr>
        <w:spacing w:after="0" w:line="174"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auto"/>
        </w:rPr>
        <w:t>Additionally, under the 2018 Plan, upon the death or disability of the executive, any outstanding equity awards will immediately vest and, if applicable, become exercisable and be deemed exercised; but the terms of the PSU and PCU awards provide that they will vest based on actual performance and will be prorated based on the date of termination.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pro-ration on the PSU and PCU awards will be applied to the period of time employed during the applicable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6254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54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of Potential Payments Upon Termination or Change in Control</w:t>
      </w:r>
    </w:p>
    <w:p>
      <w:pPr>
        <w:spacing w:after="0" w:line="21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The following table summarizes the payments that would be made to our Named Executive Officers upon the occurrence of certain qualifying terminations of employment or a change in control, in any case, occurring on December 31, 2019. Amounts shown do not include (i) accrued but unpaid base salary through the date of termination, or (ii) other benefits earned or accrued by the Named Executive Officer during his employment that are available to all salaried employees, such as accrued vacation, and assume that any successor company in a change in control assumed or substituted awards for any outstanding awards under the 2018 Plan. Pension and nonqualified deferred compensation benefits, which are described elsewhere in this filing, are not included in the table below in accordance with the applicable disclosure requirements, even though they may become payable at the times specified in the table.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jc w:val="center"/>
              <w:ind w:left="21"/>
              <w:spacing w:after="0"/>
              <w:rPr>
                <w:sz w:val="20"/>
                <w:szCs w:val="20"/>
                <w:color w:val="auto"/>
              </w:rPr>
            </w:pPr>
            <w:r>
              <w:rPr>
                <w:rFonts w:ascii="Arial" w:cs="Arial" w:eastAsia="Arial" w:hAnsi="Arial"/>
                <w:sz w:val="14"/>
                <w:szCs w:val="14"/>
                <w:color w:val="auto"/>
              </w:rPr>
              <w:t>Termination</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jc w:val="center"/>
              <w:ind w:left="21"/>
              <w:spacing w:after="0"/>
              <w:rPr>
                <w:sz w:val="20"/>
                <w:szCs w:val="20"/>
                <w:color w:val="auto"/>
              </w:rPr>
            </w:pPr>
            <w:r>
              <w:rPr>
                <w:rFonts w:ascii="Arial" w:cs="Arial" w:eastAsia="Arial" w:hAnsi="Arial"/>
                <w:sz w:val="14"/>
                <w:szCs w:val="14"/>
                <w:color w:val="auto"/>
              </w:rPr>
              <w:t>Without Cause in</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Termination</w:t>
            </w:r>
          </w:p>
        </w:tc>
        <w:tc>
          <w:tcPr>
            <w:tcW w:w="1260" w:type="dxa"/>
            <w:vAlign w:val="bottom"/>
          </w:tcPr>
          <w:p>
            <w:pPr>
              <w:jc w:val="center"/>
              <w:ind w:left="21"/>
              <w:spacing w:after="0"/>
              <w:rPr>
                <w:sz w:val="20"/>
                <w:szCs w:val="20"/>
                <w:color w:val="auto"/>
              </w:rPr>
            </w:pPr>
            <w:r>
              <w:rPr>
                <w:rFonts w:ascii="Arial" w:cs="Arial" w:eastAsia="Arial" w:hAnsi="Arial"/>
                <w:sz w:val="14"/>
                <w:szCs w:val="14"/>
                <w:color w:val="auto"/>
              </w:rPr>
              <w:t>Connection with a</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320"/>
              <w:spacing w:after="0"/>
              <w:rPr>
                <w:sz w:val="20"/>
                <w:szCs w:val="20"/>
                <w:color w:val="auto"/>
              </w:rPr>
            </w:pPr>
            <w:r>
              <w:rPr>
                <w:rFonts w:ascii="Arial" w:cs="Arial" w:eastAsia="Arial" w:hAnsi="Arial"/>
                <w:sz w:val="14"/>
                <w:szCs w:val="14"/>
                <w:color w:val="auto"/>
              </w:rPr>
              <w:t>Death</w:t>
            </w:r>
          </w:p>
        </w:tc>
        <w:tc>
          <w:tcPr>
            <w:tcW w:w="9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Without Cause (no</w:t>
            </w:r>
          </w:p>
        </w:tc>
        <w:tc>
          <w:tcPr>
            <w:tcW w:w="1260" w:type="dxa"/>
            <w:vAlign w:val="bottom"/>
          </w:tcPr>
          <w:p>
            <w:pPr>
              <w:jc w:val="center"/>
              <w:ind w:left="21"/>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80" w:type="dxa"/>
            <w:vAlign w:val="bottom"/>
          </w:tcPr>
          <w:p>
            <w:pPr>
              <w:jc w:val="right"/>
              <w:ind w:right="160"/>
              <w:spacing w:after="0" w:line="149" w:lineRule="exact"/>
              <w:rPr>
                <w:sz w:val="20"/>
                <w:szCs w:val="20"/>
                <w:color w:val="auto"/>
              </w:rPr>
            </w:pPr>
            <w:r>
              <w:rPr>
                <w:rFonts w:ascii="Arial" w:cs="Arial" w:eastAsia="Arial" w:hAnsi="Arial"/>
                <w:sz w:val="14"/>
                <w:szCs w:val="14"/>
                <w:color w:val="auto"/>
              </w:rPr>
              <w:t>Disability</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Change in Control)</w:t>
            </w:r>
          </w:p>
        </w:tc>
        <w:tc>
          <w:tcPr>
            <w:tcW w:w="1260" w:type="dxa"/>
            <w:vAlign w:val="bottom"/>
          </w:tcPr>
          <w:p>
            <w:pPr>
              <w:jc w:val="center"/>
              <w:ind w:left="21"/>
              <w:spacing w:after="0" w:line="149" w:lineRule="exact"/>
              <w:rPr>
                <w:sz w:val="20"/>
                <w:szCs w:val="20"/>
                <w:color w:val="auto"/>
              </w:rPr>
            </w:pPr>
            <w:r>
              <w:rPr>
                <w:rFonts w:ascii="Arial" w:cs="Arial" w:eastAsia="Arial" w:hAnsi="Arial"/>
                <w:sz w:val="14"/>
                <w:szCs w:val="14"/>
                <w:color w:val="auto"/>
              </w:rPr>
              <w:t>Control</w:t>
            </w:r>
          </w:p>
        </w:tc>
        <w:tc>
          <w:tcPr>
            <w:tcW w:w="0" w:type="dxa"/>
            <w:vAlign w:val="bottom"/>
          </w:tcPr>
          <w:p>
            <w:pPr>
              <w:spacing w:after="0"/>
              <w:rPr>
                <w:sz w:val="1"/>
                <w:szCs w:val="1"/>
                <w:color w:val="auto"/>
              </w:rPr>
            </w:pPr>
          </w:p>
        </w:tc>
      </w:tr>
      <w:tr>
        <w:trPr>
          <w:trHeight w:val="186"/>
        </w:trPr>
        <w:tc>
          <w:tcPr>
            <w:tcW w:w="1720" w:type="dxa"/>
            <w:vAlign w:val="bottom"/>
          </w:tcPr>
          <w:p>
            <w:pPr>
              <w:ind w:left="60"/>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6"/>
                <w:szCs w:val="16"/>
                <w:color w:val="auto"/>
              </w:rPr>
            </w:pPr>
          </w:p>
        </w:tc>
        <w:tc>
          <w:tcPr>
            <w:tcW w:w="4180" w:type="dxa"/>
            <w:vAlign w:val="bottom"/>
          </w:tcPr>
          <w:p>
            <w:pPr>
              <w:ind w:left="1860"/>
              <w:spacing w:after="0"/>
              <w:rPr>
                <w:sz w:val="20"/>
                <w:szCs w:val="20"/>
                <w:color w:val="auto"/>
              </w:rPr>
            </w:pPr>
            <w:r>
              <w:rPr>
                <w:rFonts w:ascii="Arial" w:cs="Arial" w:eastAsia="Arial" w:hAnsi="Arial"/>
                <w:sz w:val="14"/>
                <w:szCs w:val="14"/>
                <w:color w:val="auto"/>
              </w:rPr>
              <w:t>Benefit</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260" w:type="dxa"/>
            <w:vAlign w:val="bottom"/>
          </w:tcPr>
          <w:p>
            <w:pPr>
              <w:jc w:val="center"/>
              <w:ind w:left="21"/>
              <w:spacing w:after="0"/>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00"/>
        </w:trPr>
        <w:tc>
          <w:tcPr>
            <w:tcW w:w="1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72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Olivier Rabiller</w:t>
            </w:r>
          </w:p>
        </w:tc>
        <w:tc>
          <w:tcPr>
            <w:tcW w:w="220" w:type="dxa"/>
            <w:vAlign w:val="bottom"/>
            <w:shd w:val="clear" w:color="auto" w:fill="EDEDED"/>
          </w:tcPr>
          <w:p>
            <w:pPr>
              <w:spacing w:after="0"/>
              <w:rPr>
                <w:sz w:val="18"/>
                <w:szCs w:val="18"/>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EDEDED"/>
          </w:tcPr>
          <w:p>
            <w:pPr>
              <w:spacing w:after="0"/>
              <w:rPr>
                <w:sz w:val="18"/>
                <w:szCs w:val="18"/>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4,074,610</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6,111,915</w:t>
            </w:r>
          </w:p>
        </w:tc>
        <w:tc>
          <w:tcPr>
            <w:tcW w:w="0" w:type="dxa"/>
            <w:vAlign w:val="bottom"/>
          </w:tcPr>
          <w:p>
            <w:pPr>
              <w:spacing w:after="0"/>
              <w:rPr>
                <w:sz w:val="1"/>
                <w:szCs w:val="1"/>
                <w:color w:val="auto"/>
              </w:rPr>
            </w:pPr>
          </w:p>
        </w:tc>
      </w:tr>
      <w:tr>
        <w:trPr>
          <w:trHeight w:val="393"/>
        </w:trPr>
        <w:tc>
          <w:tcPr>
            <w:tcW w:w="172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7"/>
                <w:szCs w:val="27"/>
                <w:color w:val="auto"/>
                <w:vertAlign w:val="superscript"/>
              </w:rPr>
              <w:t>(1)</w:t>
            </w:r>
          </w:p>
        </w:tc>
        <w:tc>
          <w:tcPr>
            <w:tcW w:w="1220" w:type="dxa"/>
            <w:vAlign w:val="bottom"/>
            <w:gridSpan w:val="2"/>
            <w:shd w:val="clear" w:color="auto" w:fill="EDEDED"/>
          </w:tcPr>
          <w:p>
            <w:pPr>
              <w:jc w:val="right"/>
              <w:ind w:right="100"/>
              <w:spacing w:after="0"/>
              <w:rPr>
                <w:sz w:val="20"/>
                <w:szCs w:val="20"/>
                <w:color w:val="auto"/>
              </w:rPr>
            </w:pPr>
            <w:r>
              <w:rPr>
                <w:rFonts w:ascii="Arial" w:cs="Arial" w:eastAsia="Arial" w:hAnsi="Arial"/>
                <w:sz w:val="16"/>
                <w:szCs w:val="16"/>
                <w:color w:val="auto"/>
              </w:rPr>
              <w:t>5,005,618</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5,005,618</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6,193,051</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5,982,691</w:t>
            </w:r>
          </w:p>
        </w:tc>
        <w:tc>
          <w:tcPr>
            <w:tcW w:w="0" w:type="dxa"/>
            <w:vAlign w:val="bottom"/>
          </w:tcPr>
          <w:p>
            <w:pPr>
              <w:spacing w:after="0"/>
              <w:rPr>
                <w:sz w:val="1"/>
                <w:szCs w:val="1"/>
                <w:color w:val="auto"/>
              </w:rPr>
            </w:pPr>
          </w:p>
        </w:tc>
      </w:tr>
      <w:tr>
        <w:trPr>
          <w:trHeight w:val="197"/>
        </w:trPr>
        <w:tc>
          <w:tcPr>
            <w:tcW w:w="1720" w:type="dxa"/>
            <w:vAlign w:val="bottom"/>
            <w:shd w:val="clear" w:color="auto" w:fill="EDEDED"/>
          </w:tcPr>
          <w:p>
            <w:pPr>
              <w:spacing w:after="0"/>
              <w:rPr>
                <w:sz w:val="17"/>
                <w:szCs w:val="17"/>
                <w:color w:val="auto"/>
              </w:rPr>
            </w:pPr>
          </w:p>
        </w:tc>
        <w:tc>
          <w:tcPr>
            <w:tcW w:w="220" w:type="dxa"/>
            <w:vAlign w:val="bottom"/>
            <w:shd w:val="clear" w:color="auto" w:fill="EDEDED"/>
          </w:tcPr>
          <w:p>
            <w:pPr>
              <w:spacing w:after="0"/>
              <w:rPr>
                <w:sz w:val="17"/>
                <w:szCs w:val="17"/>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All Other Payments or Benefits</w:t>
            </w:r>
          </w:p>
        </w:tc>
        <w:tc>
          <w:tcPr>
            <w:tcW w:w="200" w:type="dxa"/>
            <w:vAlign w:val="bottom"/>
            <w:shd w:val="clear" w:color="auto" w:fill="EDEDED"/>
          </w:tcPr>
          <w:p>
            <w:pPr>
              <w:spacing w:after="0"/>
              <w:rPr>
                <w:sz w:val="17"/>
                <w:szCs w:val="17"/>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EDEDED"/>
          </w:tcPr>
          <w:p>
            <w:pPr>
              <w:spacing w:after="0"/>
              <w:rPr>
                <w:sz w:val="24"/>
                <w:szCs w:val="24"/>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5,005,618</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5,005,618</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6,193,051</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12,094,606</w:t>
            </w:r>
          </w:p>
        </w:tc>
        <w:tc>
          <w:tcPr>
            <w:tcW w:w="0" w:type="dxa"/>
            <w:vAlign w:val="bottom"/>
          </w:tcPr>
          <w:p>
            <w:pPr>
              <w:spacing w:after="0"/>
              <w:rPr>
                <w:sz w:val="1"/>
                <w:szCs w:val="1"/>
                <w:color w:val="auto"/>
              </w:rPr>
            </w:pPr>
          </w:p>
        </w:tc>
      </w:tr>
      <w:tr>
        <w:trPr>
          <w:trHeight w:val="100"/>
        </w:trPr>
        <w:tc>
          <w:tcPr>
            <w:tcW w:w="1720" w:type="dxa"/>
            <w:vAlign w:val="bottom"/>
            <w:shd w:val="clear" w:color="auto" w:fill="EDEDED"/>
          </w:tcPr>
          <w:p>
            <w:pPr>
              <w:spacing w:after="0"/>
              <w:rPr>
                <w:sz w:val="8"/>
                <w:szCs w:val="8"/>
                <w:color w:val="auto"/>
              </w:rPr>
            </w:pPr>
          </w:p>
        </w:tc>
        <w:tc>
          <w:tcPr>
            <w:tcW w:w="220" w:type="dxa"/>
            <w:vAlign w:val="bottom"/>
            <w:shd w:val="clear" w:color="auto" w:fill="EDEDED"/>
          </w:tcPr>
          <w:p>
            <w:pPr>
              <w:spacing w:after="0"/>
              <w:rPr>
                <w:sz w:val="8"/>
                <w:szCs w:val="8"/>
                <w:color w:val="auto"/>
              </w:rPr>
            </w:pPr>
          </w:p>
        </w:tc>
        <w:tc>
          <w:tcPr>
            <w:tcW w:w="418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980" w:type="dxa"/>
            <w:vAlign w:val="bottom"/>
            <w:shd w:val="clear" w:color="auto" w:fill="EDEDED"/>
          </w:tcPr>
          <w:p>
            <w:pPr>
              <w:spacing w:after="0"/>
              <w:rPr>
                <w:sz w:val="8"/>
                <w:szCs w:val="8"/>
                <w:color w:val="auto"/>
              </w:rPr>
            </w:pPr>
          </w:p>
        </w:tc>
        <w:tc>
          <w:tcPr>
            <w:tcW w:w="1440" w:type="dxa"/>
            <w:vAlign w:val="bottom"/>
            <w:shd w:val="clear" w:color="auto" w:fill="EDEDED"/>
          </w:tcPr>
          <w:p>
            <w:pPr>
              <w:spacing w:after="0"/>
              <w:rPr>
                <w:sz w:val="8"/>
                <w:szCs w:val="8"/>
                <w:color w:val="auto"/>
              </w:rPr>
            </w:pPr>
          </w:p>
        </w:tc>
        <w:tc>
          <w:tcPr>
            <w:tcW w:w="126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Alessandro Gili</w:t>
            </w:r>
          </w:p>
        </w:tc>
        <w:tc>
          <w:tcPr>
            <w:tcW w:w="2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Cash</w:t>
            </w:r>
          </w:p>
        </w:tc>
        <w:tc>
          <w:tcPr>
            <w:tcW w:w="200" w:type="dxa"/>
            <w:vAlign w:val="bottom"/>
          </w:tcPr>
          <w:p>
            <w:pPr>
              <w:spacing w:after="0"/>
              <w:rPr>
                <w:sz w:val="19"/>
                <w:szCs w:val="19"/>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2,028,085</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6"/>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7"/>
                <w:szCs w:val="27"/>
                <w:color w:val="auto"/>
                <w:vertAlign w:val="superscript"/>
              </w:rPr>
              <w:t>(2)</w:t>
            </w:r>
          </w:p>
        </w:tc>
        <w:tc>
          <w:tcPr>
            <w:tcW w:w="200" w:type="dxa"/>
            <w:vAlign w:val="bottom"/>
          </w:tcPr>
          <w:p>
            <w:pPr>
              <w:spacing w:after="0"/>
              <w:rPr>
                <w:sz w:val="24"/>
                <w:szCs w:val="24"/>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385,656</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All Other Payments or Benefits</w:t>
            </w:r>
          </w:p>
        </w:tc>
        <w:tc>
          <w:tcPr>
            <w:tcW w:w="200" w:type="dxa"/>
            <w:vAlign w:val="bottom"/>
          </w:tcPr>
          <w:p>
            <w:pPr>
              <w:spacing w:after="0"/>
              <w:rPr>
                <w:sz w:val="16"/>
                <w:szCs w:val="16"/>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24"/>
                <w:szCs w:val="24"/>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2,413,741</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1720" w:type="dxa"/>
            <w:vAlign w:val="bottom"/>
            <w:tcBorders>
              <w:bottom w:val="single" w:sz="8" w:color="EDEDED"/>
            </w:tcBorders>
          </w:tcPr>
          <w:p>
            <w:pPr>
              <w:spacing w:after="0"/>
              <w:rPr>
                <w:sz w:val="9"/>
                <w:szCs w:val="9"/>
                <w:color w:val="auto"/>
              </w:rPr>
            </w:pPr>
          </w:p>
        </w:tc>
        <w:tc>
          <w:tcPr>
            <w:tcW w:w="220" w:type="dxa"/>
            <w:vAlign w:val="bottom"/>
            <w:tcBorders>
              <w:bottom w:val="single" w:sz="8" w:color="EDEDED"/>
            </w:tcBorders>
          </w:tcPr>
          <w:p>
            <w:pPr>
              <w:spacing w:after="0"/>
              <w:rPr>
                <w:sz w:val="9"/>
                <w:szCs w:val="9"/>
                <w:color w:val="auto"/>
              </w:rPr>
            </w:pPr>
          </w:p>
        </w:tc>
        <w:tc>
          <w:tcPr>
            <w:tcW w:w="4180" w:type="dxa"/>
            <w:vAlign w:val="bottom"/>
            <w:tcBorders>
              <w:bottom w:val="single" w:sz="8" w:color="EDEDED"/>
            </w:tcBorders>
          </w:tcPr>
          <w:p>
            <w:pPr>
              <w:spacing w:after="0"/>
              <w:rPr>
                <w:sz w:val="9"/>
                <w:szCs w:val="9"/>
                <w:color w:val="auto"/>
              </w:rPr>
            </w:pPr>
          </w:p>
        </w:tc>
        <w:tc>
          <w:tcPr>
            <w:tcW w:w="200" w:type="dxa"/>
            <w:vAlign w:val="bottom"/>
            <w:tcBorders>
              <w:bottom w:val="single" w:sz="8" w:color="EDEDED"/>
            </w:tcBorders>
          </w:tcPr>
          <w:p>
            <w:pPr>
              <w:spacing w:after="0"/>
              <w:rPr>
                <w:sz w:val="9"/>
                <w:szCs w:val="9"/>
                <w:color w:val="auto"/>
              </w:rPr>
            </w:pPr>
          </w:p>
        </w:tc>
        <w:tc>
          <w:tcPr>
            <w:tcW w:w="1020" w:type="dxa"/>
            <w:vAlign w:val="bottom"/>
            <w:tcBorders>
              <w:bottom w:val="single" w:sz="8" w:color="EDEDED"/>
            </w:tcBorders>
          </w:tcPr>
          <w:p>
            <w:pPr>
              <w:spacing w:after="0"/>
              <w:rPr>
                <w:sz w:val="9"/>
                <w:szCs w:val="9"/>
                <w:color w:val="auto"/>
              </w:rPr>
            </w:pPr>
          </w:p>
        </w:tc>
        <w:tc>
          <w:tcPr>
            <w:tcW w:w="980" w:type="dxa"/>
            <w:vAlign w:val="bottom"/>
            <w:tcBorders>
              <w:bottom w:val="single" w:sz="8" w:color="EDEDED"/>
            </w:tcBorders>
          </w:tcPr>
          <w:p>
            <w:pPr>
              <w:spacing w:after="0"/>
              <w:rPr>
                <w:sz w:val="9"/>
                <w:szCs w:val="9"/>
                <w:color w:val="auto"/>
              </w:rPr>
            </w:pPr>
          </w:p>
        </w:tc>
        <w:tc>
          <w:tcPr>
            <w:tcW w:w="1440" w:type="dxa"/>
            <w:vAlign w:val="bottom"/>
            <w:tcBorders>
              <w:bottom w:val="single" w:sz="8" w:color="EDEDED"/>
            </w:tcBorders>
          </w:tcPr>
          <w:p>
            <w:pPr>
              <w:spacing w:after="0"/>
              <w:rPr>
                <w:sz w:val="9"/>
                <w:szCs w:val="9"/>
                <w:color w:val="auto"/>
              </w:rPr>
            </w:pPr>
          </w:p>
        </w:tc>
        <w:tc>
          <w:tcPr>
            <w:tcW w:w="1260" w:type="dxa"/>
            <w:vAlign w:val="bottom"/>
            <w:tcBorders>
              <w:bottom w:val="single" w:sz="8" w:color="EDEDED"/>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Peter Bracke</w:t>
            </w:r>
          </w:p>
        </w:tc>
        <w:tc>
          <w:tcPr>
            <w:tcW w:w="220" w:type="dxa"/>
            <w:vAlign w:val="bottom"/>
            <w:shd w:val="clear" w:color="auto" w:fill="EDEDED"/>
          </w:tcPr>
          <w:p>
            <w:pPr>
              <w:spacing w:after="0"/>
              <w:rPr>
                <w:sz w:val="17"/>
                <w:szCs w:val="17"/>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EDEDED"/>
          </w:tcPr>
          <w:p>
            <w:pPr>
              <w:spacing w:after="0"/>
              <w:rPr>
                <w:sz w:val="17"/>
                <w:szCs w:val="17"/>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1,079,913</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2,159,825</w:t>
            </w:r>
          </w:p>
        </w:tc>
        <w:tc>
          <w:tcPr>
            <w:tcW w:w="0" w:type="dxa"/>
            <w:vAlign w:val="bottom"/>
          </w:tcPr>
          <w:p>
            <w:pPr>
              <w:spacing w:after="0"/>
              <w:rPr>
                <w:sz w:val="1"/>
                <w:szCs w:val="1"/>
                <w:color w:val="auto"/>
              </w:rPr>
            </w:pPr>
          </w:p>
        </w:tc>
      </w:tr>
      <w:tr>
        <w:trPr>
          <w:trHeight w:val="398"/>
        </w:trPr>
        <w:tc>
          <w:tcPr>
            <w:tcW w:w="172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7"/>
                <w:szCs w:val="27"/>
                <w:color w:val="auto"/>
                <w:vertAlign w:val="superscript"/>
              </w:rPr>
              <w:t>(1)</w:t>
            </w:r>
          </w:p>
        </w:tc>
        <w:tc>
          <w:tcPr>
            <w:tcW w:w="1220" w:type="dxa"/>
            <w:vAlign w:val="bottom"/>
            <w:gridSpan w:val="2"/>
            <w:shd w:val="clear" w:color="auto" w:fill="EDEDED"/>
          </w:tcPr>
          <w:p>
            <w:pPr>
              <w:jc w:val="right"/>
              <w:ind w:right="100"/>
              <w:spacing w:after="0"/>
              <w:rPr>
                <w:sz w:val="20"/>
                <w:szCs w:val="20"/>
                <w:color w:val="auto"/>
              </w:rPr>
            </w:pPr>
            <w:r>
              <w:rPr>
                <w:rFonts w:ascii="Arial" w:cs="Arial" w:eastAsia="Arial" w:hAnsi="Arial"/>
                <w:sz w:val="16"/>
                <w:szCs w:val="16"/>
                <w:color w:val="auto"/>
              </w:rPr>
              <w:t>1,637,471</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1,637,471</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1,954,424</w:t>
            </w:r>
          </w:p>
        </w:tc>
        <w:tc>
          <w:tcPr>
            <w:tcW w:w="0" w:type="dxa"/>
            <w:vAlign w:val="bottom"/>
          </w:tcPr>
          <w:p>
            <w:pPr>
              <w:spacing w:after="0"/>
              <w:rPr>
                <w:sz w:val="1"/>
                <w:szCs w:val="1"/>
                <w:color w:val="auto"/>
              </w:rPr>
            </w:pPr>
          </w:p>
        </w:tc>
      </w:tr>
      <w:tr>
        <w:trPr>
          <w:trHeight w:val="196"/>
        </w:trPr>
        <w:tc>
          <w:tcPr>
            <w:tcW w:w="1720" w:type="dxa"/>
            <w:vAlign w:val="bottom"/>
            <w:shd w:val="clear" w:color="auto" w:fill="EDEDED"/>
          </w:tcPr>
          <w:p>
            <w:pPr>
              <w:spacing w:after="0"/>
              <w:rPr>
                <w:sz w:val="17"/>
                <w:szCs w:val="17"/>
                <w:color w:val="auto"/>
              </w:rPr>
            </w:pPr>
          </w:p>
        </w:tc>
        <w:tc>
          <w:tcPr>
            <w:tcW w:w="220" w:type="dxa"/>
            <w:vAlign w:val="bottom"/>
            <w:shd w:val="clear" w:color="auto" w:fill="EDEDED"/>
          </w:tcPr>
          <w:p>
            <w:pPr>
              <w:spacing w:after="0"/>
              <w:rPr>
                <w:sz w:val="17"/>
                <w:szCs w:val="17"/>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All Other Payments or Benefits</w:t>
            </w:r>
          </w:p>
        </w:tc>
        <w:tc>
          <w:tcPr>
            <w:tcW w:w="200" w:type="dxa"/>
            <w:vAlign w:val="bottom"/>
            <w:shd w:val="clear" w:color="auto" w:fill="EDEDED"/>
          </w:tcPr>
          <w:p>
            <w:pPr>
              <w:spacing w:after="0"/>
              <w:rPr>
                <w:sz w:val="17"/>
                <w:szCs w:val="17"/>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EDEDED"/>
          </w:tcPr>
          <w:p>
            <w:pPr>
              <w:spacing w:after="0"/>
              <w:rPr>
                <w:sz w:val="24"/>
                <w:szCs w:val="24"/>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1,637,471</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1,637,471</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1,079,913</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4,114,249</w:t>
            </w:r>
          </w:p>
        </w:tc>
        <w:tc>
          <w:tcPr>
            <w:tcW w:w="0" w:type="dxa"/>
            <w:vAlign w:val="bottom"/>
          </w:tcPr>
          <w:p>
            <w:pPr>
              <w:spacing w:after="0"/>
              <w:rPr>
                <w:sz w:val="1"/>
                <w:szCs w:val="1"/>
                <w:color w:val="auto"/>
              </w:rPr>
            </w:pPr>
          </w:p>
        </w:tc>
      </w:tr>
      <w:tr>
        <w:trPr>
          <w:trHeight w:val="100"/>
        </w:trPr>
        <w:tc>
          <w:tcPr>
            <w:tcW w:w="1720" w:type="dxa"/>
            <w:vAlign w:val="bottom"/>
            <w:shd w:val="clear" w:color="auto" w:fill="EDEDED"/>
          </w:tcPr>
          <w:p>
            <w:pPr>
              <w:spacing w:after="0"/>
              <w:rPr>
                <w:sz w:val="8"/>
                <w:szCs w:val="8"/>
                <w:color w:val="auto"/>
              </w:rPr>
            </w:pPr>
          </w:p>
        </w:tc>
        <w:tc>
          <w:tcPr>
            <w:tcW w:w="220" w:type="dxa"/>
            <w:vAlign w:val="bottom"/>
            <w:shd w:val="clear" w:color="auto" w:fill="EDEDED"/>
          </w:tcPr>
          <w:p>
            <w:pPr>
              <w:spacing w:after="0"/>
              <w:rPr>
                <w:sz w:val="8"/>
                <w:szCs w:val="8"/>
                <w:color w:val="auto"/>
              </w:rPr>
            </w:pPr>
          </w:p>
        </w:tc>
        <w:tc>
          <w:tcPr>
            <w:tcW w:w="418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980" w:type="dxa"/>
            <w:vAlign w:val="bottom"/>
            <w:shd w:val="clear" w:color="auto" w:fill="EDEDED"/>
          </w:tcPr>
          <w:p>
            <w:pPr>
              <w:spacing w:after="0"/>
              <w:rPr>
                <w:sz w:val="8"/>
                <w:szCs w:val="8"/>
                <w:color w:val="auto"/>
              </w:rPr>
            </w:pPr>
          </w:p>
        </w:tc>
        <w:tc>
          <w:tcPr>
            <w:tcW w:w="1440" w:type="dxa"/>
            <w:vAlign w:val="bottom"/>
            <w:shd w:val="clear" w:color="auto" w:fill="EDEDED"/>
          </w:tcPr>
          <w:p>
            <w:pPr>
              <w:spacing w:after="0"/>
              <w:rPr>
                <w:sz w:val="8"/>
                <w:szCs w:val="8"/>
                <w:color w:val="auto"/>
              </w:rPr>
            </w:pPr>
          </w:p>
        </w:tc>
        <w:tc>
          <w:tcPr>
            <w:tcW w:w="126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Craig Balis</w:t>
            </w:r>
          </w:p>
        </w:tc>
        <w:tc>
          <w:tcPr>
            <w:tcW w:w="2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Cash</w:t>
            </w:r>
          </w:p>
        </w:tc>
        <w:tc>
          <w:tcPr>
            <w:tcW w:w="200" w:type="dxa"/>
            <w:vAlign w:val="bottom"/>
          </w:tcPr>
          <w:p>
            <w:pPr>
              <w:spacing w:after="0"/>
              <w:rPr>
                <w:sz w:val="19"/>
                <w:szCs w:val="19"/>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965,833</w:t>
            </w:r>
          </w:p>
        </w:tc>
        <w:tc>
          <w:tcPr>
            <w:tcW w:w="1260" w:type="dxa"/>
            <w:vAlign w:val="bottom"/>
          </w:tcPr>
          <w:p>
            <w:pPr>
              <w:jc w:val="right"/>
              <w:spacing w:after="0"/>
              <w:rPr>
                <w:sz w:val="20"/>
                <w:szCs w:val="20"/>
                <w:color w:val="auto"/>
              </w:rPr>
            </w:pPr>
            <w:r>
              <w:rPr>
                <w:rFonts w:ascii="Arial" w:cs="Arial" w:eastAsia="Arial" w:hAnsi="Arial"/>
                <w:sz w:val="16"/>
                <w:szCs w:val="16"/>
                <w:color w:val="auto"/>
              </w:rPr>
              <w:t>1,287,777</w:t>
            </w:r>
          </w:p>
        </w:tc>
        <w:tc>
          <w:tcPr>
            <w:tcW w:w="0" w:type="dxa"/>
            <w:vAlign w:val="bottom"/>
          </w:tcPr>
          <w:p>
            <w:pPr>
              <w:spacing w:after="0"/>
              <w:rPr>
                <w:sz w:val="1"/>
                <w:szCs w:val="1"/>
                <w:color w:val="auto"/>
              </w:rPr>
            </w:pPr>
          </w:p>
        </w:tc>
      </w:tr>
      <w:tr>
        <w:trPr>
          <w:trHeight w:val="399"/>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7"/>
                <w:szCs w:val="27"/>
                <w:color w:val="auto"/>
                <w:vertAlign w:val="superscript"/>
              </w:rPr>
              <w:t>(1)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2,040,696</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2,040,696</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2,439,030</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All Other Payments or Benefits</w:t>
            </w:r>
          </w:p>
        </w:tc>
        <w:tc>
          <w:tcPr>
            <w:tcW w:w="200" w:type="dxa"/>
            <w:vAlign w:val="bottom"/>
          </w:tcPr>
          <w:p>
            <w:pPr>
              <w:spacing w:after="0"/>
              <w:rPr>
                <w:sz w:val="16"/>
                <w:szCs w:val="16"/>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2,040,696</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2,040,696</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965,833</w:t>
            </w:r>
          </w:p>
        </w:tc>
        <w:tc>
          <w:tcPr>
            <w:tcW w:w="1260" w:type="dxa"/>
            <w:vAlign w:val="bottom"/>
          </w:tcPr>
          <w:p>
            <w:pPr>
              <w:jc w:val="right"/>
              <w:spacing w:after="0"/>
              <w:rPr>
                <w:sz w:val="20"/>
                <w:szCs w:val="20"/>
                <w:color w:val="auto"/>
              </w:rPr>
            </w:pPr>
            <w:r>
              <w:rPr>
                <w:rFonts w:ascii="Arial" w:cs="Arial" w:eastAsia="Arial" w:hAnsi="Arial"/>
                <w:sz w:val="16"/>
                <w:szCs w:val="16"/>
                <w:color w:val="auto"/>
              </w:rPr>
              <w:t>3,726,807</w:t>
            </w:r>
          </w:p>
        </w:tc>
        <w:tc>
          <w:tcPr>
            <w:tcW w:w="0" w:type="dxa"/>
            <w:vAlign w:val="bottom"/>
          </w:tcPr>
          <w:p>
            <w:pPr>
              <w:spacing w:after="0"/>
              <w:rPr>
                <w:sz w:val="1"/>
                <w:szCs w:val="1"/>
                <w:color w:val="auto"/>
              </w:rPr>
            </w:pPr>
          </w:p>
        </w:tc>
      </w:tr>
      <w:tr>
        <w:trPr>
          <w:trHeight w:val="108"/>
        </w:trPr>
        <w:tc>
          <w:tcPr>
            <w:tcW w:w="1720" w:type="dxa"/>
            <w:vAlign w:val="bottom"/>
            <w:tcBorders>
              <w:bottom w:val="single" w:sz="8" w:color="EDEDED"/>
            </w:tcBorders>
          </w:tcPr>
          <w:p>
            <w:pPr>
              <w:spacing w:after="0"/>
              <w:rPr>
                <w:sz w:val="9"/>
                <w:szCs w:val="9"/>
                <w:color w:val="auto"/>
              </w:rPr>
            </w:pPr>
          </w:p>
        </w:tc>
        <w:tc>
          <w:tcPr>
            <w:tcW w:w="220" w:type="dxa"/>
            <w:vAlign w:val="bottom"/>
            <w:tcBorders>
              <w:bottom w:val="single" w:sz="8" w:color="EDEDED"/>
            </w:tcBorders>
          </w:tcPr>
          <w:p>
            <w:pPr>
              <w:spacing w:after="0"/>
              <w:rPr>
                <w:sz w:val="9"/>
                <w:szCs w:val="9"/>
                <w:color w:val="auto"/>
              </w:rPr>
            </w:pPr>
          </w:p>
        </w:tc>
        <w:tc>
          <w:tcPr>
            <w:tcW w:w="4180" w:type="dxa"/>
            <w:vAlign w:val="bottom"/>
            <w:tcBorders>
              <w:bottom w:val="single" w:sz="8" w:color="EDEDED"/>
            </w:tcBorders>
          </w:tcPr>
          <w:p>
            <w:pPr>
              <w:spacing w:after="0"/>
              <w:rPr>
                <w:sz w:val="9"/>
                <w:szCs w:val="9"/>
                <w:color w:val="auto"/>
              </w:rPr>
            </w:pPr>
          </w:p>
        </w:tc>
        <w:tc>
          <w:tcPr>
            <w:tcW w:w="200" w:type="dxa"/>
            <w:vAlign w:val="bottom"/>
            <w:tcBorders>
              <w:bottom w:val="single" w:sz="8" w:color="EDEDED"/>
            </w:tcBorders>
          </w:tcPr>
          <w:p>
            <w:pPr>
              <w:spacing w:after="0"/>
              <w:rPr>
                <w:sz w:val="9"/>
                <w:szCs w:val="9"/>
                <w:color w:val="auto"/>
              </w:rPr>
            </w:pPr>
          </w:p>
        </w:tc>
        <w:tc>
          <w:tcPr>
            <w:tcW w:w="1020" w:type="dxa"/>
            <w:vAlign w:val="bottom"/>
            <w:tcBorders>
              <w:bottom w:val="single" w:sz="8" w:color="EDEDED"/>
            </w:tcBorders>
          </w:tcPr>
          <w:p>
            <w:pPr>
              <w:spacing w:after="0"/>
              <w:rPr>
                <w:sz w:val="9"/>
                <w:szCs w:val="9"/>
                <w:color w:val="auto"/>
              </w:rPr>
            </w:pPr>
          </w:p>
        </w:tc>
        <w:tc>
          <w:tcPr>
            <w:tcW w:w="980" w:type="dxa"/>
            <w:vAlign w:val="bottom"/>
            <w:tcBorders>
              <w:bottom w:val="single" w:sz="8" w:color="EDEDED"/>
            </w:tcBorders>
          </w:tcPr>
          <w:p>
            <w:pPr>
              <w:spacing w:after="0"/>
              <w:rPr>
                <w:sz w:val="9"/>
                <w:szCs w:val="9"/>
                <w:color w:val="auto"/>
              </w:rPr>
            </w:pPr>
          </w:p>
        </w:tc>
        <w:tc>
          <w:tcPr>
            <w:tcW w:w="1440" w:type="dxa"/>
            <w:vAlign w:val="bottom"/>
            <w:tcBorders>
              <w:bottom w:val="single" w:sz="8" w:color="EDEDED"/>
            </w:tcBorders>
          </w:tcPr>
          <w:p>
            <w:pPr>
              <w:spacing w:after="0"/>
              <w:rPr>
                <w:sz w:val="9"/>
                <w:szCs w:val="9"/>
                <w:color w:val="auto"/>
              </w:rPr>
            </w:pPr>
          </w:p>
        </w:tc>
        <w:tc>
          <w:tcPr>
            <w:tcW w:w="1260" w:type="dxa"/>
            <w:vAlign w:val="bottom"/>
            <w:tcBorders>
              <w:bottom w:val="single" w:sz="8" w:color="EDEDED"/>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Jérôme Maironi</w:t>
            </w:r>
          </w:p>
        </w:tc>
        <w:tc>
          <w:tcPr>
            <w:tcW w:w="220" w:type="dxa"/>
            <w:vAlign w:val="bottom"/>
            <w:shd w:val="clear" w:color="auto" w:fill="EDEDED"/>
          </w:tcPr>
          <w:p>
            <w:pPr>
              <w:spacing w:after="0"/>
              <w:rPr>
                <w:sz w:val="17"/>
                <w:szCs w:val="17"/>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EDEDED"/>
          </w:tcPr>
          <w:p>
            <w:pPr>
              <w:spacing w:after="0"/>
              <w:rPr>
                <w:sz w:val="17"/>
                <w:szCs w:val="17"/>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1,086,564</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1,448,751</w:t>
            </w:r>
          </w:p>
        </w:tc>
        <w:tc>
          <w:tcPr>
            <w:tcW w:w="0" w:type="dxa"/>
            <w:vAlign w:val="bottom"/>
          </w:tcPr>
          <w:p>
            <w:pPr>
              <w:spacing w:after="0"/>
              <w:rPr>
                <w:sz w:val="1"/>
                <w:szCs w:val="1"/>
                <w:color w:val="auto"/>
              </w:rPr>
            </w:pPr>
          </w:p>
        </w:tc>
      </w:tr>
      <w:tr>
        <w:trPr>
          <w:trHeight w:val="398"/>
        </w:trPr>
        <w:tc>
          <w:tcPr>
            <w:tcW w:w="172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7"/>
                <w:szCs w:val="27"/>
                <w:color w:val="auto"/>
                <w:vertAlign w:val="superscript"/>
              </w:rPr>
              <w:t>(1)</w:t>
            </w:r>
          </w:p>
        </w:tc>
        <w:tc>
          <w:tcPr>
            <w:tcW w:w="1220" w:type="dxa"/>
            <w:vAlign w:val="bottom"/>
            <w:gridSpan w:val="2"/>
            <w:shd w:val="clear" w:color="auto" w:fill="EDEDED"/>
          </w:tcPr>
          <w:p>
            <w:pPr>
              <w:jc w:val="right"/>
              <w:ind w:right="100"/>
              <w:spacing w:after="0"/>
              <w:rPr>
                <w:sz w:val="20"/>
                <w:szCs w:val="20"/>
                <w:color w:val="auto"/>
              </w:rPr>
            </w:pPr>
            <w:r>
              <w:rPr>
                <w:rFonts w:ascii="Arial" w:cs="Arial" w:eastAsia="Arial" w:hAnsi="Arial"/>
                <w:sz w:val="16"/>
                <w:szCs w:val="16"/>
                <w:color w:val="auto"/>
              </w:rPr>
              <w:t>1,767,685</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1,767,685</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2,112,728</w:t>
            </w:r>
          </w:p>
        </w:tc>
        <w:tc>
          <w:tcPr>
            <w:tcW w:w="0" w:type="dxa"/>
            <w:vAlign w:val="bottom"/>
          </w:tcPr>
          <w:p>
            <w:pPr>
              <w:spacing w:after="0"/>
              <w:rPr>
                <w:sz w:val="1"/>
                <w:szCs w:val="1"/>
                <w:color w:val="auto"/>
              </w:rPr>
            </w:pPr>
          </w:p>
        </w:tc>
      </w:tr>
      <w:tr>
        <w:trPr>
          <w:trHeight w:val="197"/>
        </w:trPr>
        <w:tc>
          <w:tcPr>
            <w:tcW w:w="1720" w:type="dxa"/>
            <w:vAlign w:val="bottom"/>
            <w:shd w:val="clear" w:color="auto" w:fill="EDEDED"/>
          </w:tcPr>
          <w:p>
            <w:pPr>
              <w:spacing w:after="0"/>
              <w:rPr>
                <w:sz w:val="17"/>
                <w:szCs w:val="17"/>
                <w:color w:val="auto"/>
              </w:rPr>
            </w:pPr>
          </w:p>
        </w:tc>
        <w:tc>
          <w:tcPr>
            <w:tcW w:w="220" w:type="dxa"/>
            <w:vAlign w:val="bottom"/>
            <w:shd w:val="clear" w:color="auto" w:fill="EDEDED"/>
          </w:tcPr>
          <w:p>
            <w:pPr>
              <w:spacing w:after="0"/>
              <w:rPr>
                <w:sz w:val="17"/>
                <w:szCs w:val="17"/>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All Other Payments or Benefits</w:t>
            </w:r>
          </w:p>
        </w:tc>
        <w:tc>
          <w:tcPr>
            <w:tcW w:w="200" w:type="dxa"/>
            <w:vAlign w:val="bottom"/>
            <w:shd w:val="clear" w:color="auto" w:fill="EDEDED"/>
          </w:tcPr>
          <w:p>
            <w:pPr>
              <w:spacing w:after="0"/>
              <w:rPr>
                <w:sz w:val="17"/>
                <w:szCs w:val="17"/>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72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4180" w:type="dxa"/>
            <w:vAlign w:val="bottom"/>
            <w:shd w:val="clear" w:color="auto" w:fill="EDEDED"/>
          </w:tcPr>
          <w:p>
            <w:pPr>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EDEDED"/>
          </w:tcPr>
          <w:p>
            <w:pPr>
              <w:spacing w:after="0"/>
              <w:rPr>
                <w:sz w:val="24"/>
                <w:szCs w:val="24"/>
                <w:color w:val="auto"/>
              </w:rPr>
            </w:pPr>
          </w:p>
        </w:tc>
        <w:tc>
          <w:tcPr>
            <w:tcW w:w="1020" w:type="dxa"/>
            <w:vAlign w:val="bottom"/>
            <w:shd w:val="clear" w:color="auto" w:fill="EDEDED"/>
          </w:tcPr>
          <w:p>
            <w:pPr>
              <w:jc w:val="right"/>
              <w:ind w:right="100"/>
              <w:spacing w:after="0"/>
              <w:rPr>
                <w:sz w:val="20"/>
                <w:szCs w:val="20"/>
                <w:color w:val="auto"/>
              </w:rPr>
            </w:pPr>
            <w:r>
              <w:rPr>
                <w:rFonts w:ascii="Arial" w:cs="Arial" w:eastAsia="Arial" w:hAnsi="Arial"/>
                <w:sz w:val="16"/>
                <w:szCs w:val="16"/>
                <w:color w:val="auto"/>
              </w:rPr>
              <w:t>1,767,685</w:t>
            </w:r>
          </w:p>
        </w:tc>
        <w:tc>
          <w:tcPr>
            <w:tcW w:w="980" w:type="dxa"/>
            <w:vAlign w:val="bottom"/>
            <w:shd w:val="clear" w:color="auto" w:fill="EDEDED"/>
          </w:tcPr>
          <w:p>
            <w:pPr>
              <w:jc w:val="right"/>
              <w:ind w:right="20"/>
              <w:spacing w:after="0"/>
              <w:rPr>
                <w:sz w:val="20"/>
                <w:szCs w:val="20"/>
                <w:color w:val="auto"/>
              </w:rPr>
            </w:pPr>
            <w:r>
              <w:rPr>
                <w:rFonts w:ascii="Arial" w:cs="Arial" w:eastAsia="Arial" w:hAnsi="Arial"/>
                <w:sz w:val="16"/>
                <w:szCs w:val="16"/>
                <w:color w:val="auto"/>
              </w:rPr>
              <w:t>1,767,685</w:t>
            </w:r>
          </w:p>
        </w:tc>
        <w:tc>
          <w:tcPr>
            <w:tcW w:w="1440" w:type="dxa"/>
            <w:vAlign w:val="bottom"/>
            <w:shd w:val="clear" w:color="auto" w:fill="EDEDED"/>
          </w:tcPr>
          <w:p>
            <w:pPr>
              <w:jc w:val="right"/>
              <w:ind w:right="80"/>
              <w:spacing w:after="0"/>
              <w:rPr>
                <w:sz w:val="20"/>
                <w:szCs w:val="20"/>
                <w:color w:val="auto"/>
              </w:rPr>
            </w:pPr>
            <w:r>
              <w:rPr>
                <w:rFonts w:ascii="Arial" w:cs="Arial" w:eastAsia="Arial" w:hAnsi="Arial"/>
                <w:sz w:val="16"/>
                <w:szCs w:val="16"/>
                <w:color w:val="auto"/>
              </w:rPr>
              <w:t>1,086,564</w:t>
            </w:r>
          </w:p>
        </w:tc>
        <w:tc>
          <w:tcPr>
            <w:tcW w:w="12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3,561,479</w:t>
            </w:r>
          </w:p>
        </w:tc>
        <w:tc>
          <w:tcPr>
            <w:tcW w:w="0" w:type="dxa"/>
            <w:vAlign w:val="bottom"/>
          </w:tcPr>
          <w:p>
            <w:pPr>
              <w:spacing w:after="0"/>
              <w:rPr>
                <w:sz w:val="1"/>
                <w:szCs w:val="1"/>
                <w:color w:val="auto"/>
              </w:rPr>
            </w:pPr>
          </w:p>
        </w:tc>
      </w:tr>
      <w:tr>
        <w:trPr>
          <w:trHeight w:val="101"/>
        </w:trPr>
        <w:tc>
          <w:tcPr>
            <w:tcW w:w="1720" w:type="dxa"/>
            <w:vAlign w:val="bottom"/>
            <w:shd w:val="clear" w:color="auto" w:fill="EDEDED"/>
          </w:tcPr>
          <w:p>
            <w:pPr>
              <w:spacing w:after="0"/>
              <w:rPr>
                <w:sz w:val="8"/>
                <w:szCs w:val="8"/>
                <w:color w:val="auto"/>
              </w:rPr>
            </w:pPr>
          </w:p>
        </w:tc>
        <w:tc>
          <w:tcPr>
            <w:tcW w:w="220" w:type="dxa"/>
            <w:vAlign w:val="bottom"/>
            <w:shd w:val="clear" w:color="auto" w:fill="EDEDED"/>
          </w:tcPr>
          <w:p>
            <w:pPr>
              <w:spacing w:after="0"/>
              <w:rPr>
                <w:sz w:val="8"/>
                <w:szCs w:val="8"/>
                <w:color w:val="auto"/>
              </w:rPr>
            </w:pPr>
          </w:p>
        </w:tc>
        <w:tc>
          <w:tcPr>
            <w:tcW w:w="4180" w:type="dxa"/>
            <w:vAlign w:val="bottom"/>
            <w:shd w:val="clear" w:color="auto" w:fill="EDEDED"/>
          </w:tcPr>
          <w:p>
            <w:pPr>
              <w:spacing w:after="0"/>
              <w:rPr>
                <w:sz w:val="8"/>
                <w:szCs w:val="8"/>
                <w:color w:val="auto"/>
              </w:rPr>
            </w:pPr>
          </w:p>
        </w:tc>
        <w:tc>
          <w:tcPr>
            <w:tcW w:w="200" w:type="dxa"/>
            <w:vAlign w:val="bottom"/>
            <w:shd w:val="clear" w:color="auto" w:fill="EDEDED"/>
          </w:tcPr>
          <w:p>
            <w:pPr>
              <w:spacing w:after="0"/>
              <w:rPr>
                <w:sz w:val="8"/>
                <w:szCs w:val="8"/>
                <w:color w:val="auto"/>
              </w:rPr>
            </w:pPr>
          </w:p>
        </w:tc>
        <w:tc>
          <w:tcPr>
            <w:tcW w:w="1020" w:type="dxa"/>
            <w:vAlign w:val="bottom"/>
            <w:shd w:val="clear" w:color="auto" w:fill="EDEDED"/>
          </w:tcPr>
          <w:p>
            <w:pPr>
              <w:spacing w:after="0"/>
              <w:rPr>
                <w:sz w:val="8"/>
                <w:szCs w:val="8"/>
                <w:color w:val="auto"/>
              </w:rPr>
            </w:pPr>
          </w:p>
        </w:tc>
        <w:tc>
          <w:tcPr>
            <w:tcW w:w="980" w:type="dxa"/>
            <w:vAlign w:val="bottom"/>
            <w:shd w:val="clear" w:color="auto" w:fill="EDEDED"/>
          </w:tcPr>
          <w:p>
            <w:pPr>
              <w:spacing w:after="0"/>
              <w:rPr>
                <w:sz w:val="8"/>
                <w:szCs w:val="8"/>
                <w:color w:val="auto"/>
              </w:rPr>
            </w:pPr>
          </w:p>
        </w:tc>
        <w:tc>
          <w:tcPr>
            <w:tcW w:w="1440" w:type="dxa"/>
            <w:vAlign w:val="bottom"/>
            <w:shd w:val="clear" w:color="auto" w:fill="EDEDED"/>
          </w:tcPr>
          <w:p>
            <w:pPr>
              <w:spacing w:after="0"/>
              <w:rPr>
                <w:sz w:val="8"/>
                <w:szCs w:val="8"/>
                <w:color w:val="auto"/>
              </w:rPr>
            </w:pPr>
          </w:p>
        </w:tc>
        <w:tc>
          <w:tcPr>
            <w:tcW w:w="1260" w:type="dxa"/>
            <w:vAlign w:val="bottom"/>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Thierry Mabru</w:t>
            </w:r>
          </w:p>
        </w:tc>
        <w:tc>
          <w:tcPr>
            <w:tcW w:w="2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Cash</w:t>
            </w:r>
          </w:p>
        </w:tc>
        <w:tc>
          <w:tcPr>
            <w:tcW w:w="200" w:type="dxa"/>
            <w:vAlign w:val="bottom"/>
          </w:tcPr>
          <w:p>
            <w:pPr>
              <w:spacing w:after="0"/>
              <w:rPr>
                <w:sz w:val="19"/>
                <w:szCs w:val="19"/>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947,348</w:t>
            </w:r>
          </w:p>
        </w:tc>
        <w:tc>
          <w:tcPr>
            <w:tcW w:w="1260" w:type="dxa"/>
            <w:vAlign w:val="bottom"/>
          </w:tcPr>
          <w:p>
            <w:pPr>
              <w:jc w:val="right"/>
              <w:spacing w:after="0"/>
              <w:rPr>
                <w:sz w:val="20"/>
                <w:szCs w:val="20"/>
                <w:color w:val="auto"/>
              </w:rPr>
            </w:pPr>
            <w:r>
              <w:rPr>
                <w:rFonts w:ascii="Arial" w:cs="Arial" w:eastAsia="Arial" w:hAnsi="Arial"/>
                <w:sz w:val="16"/>
                <w:szCs w:val="16"/>
                <w:color w:val="auto"/>
              </w:rPr>
              <w:t>1,263,130</w:t>
            </w:r>
          </w:p>
        </w:tc>
        <w:tc>
          <w:tcPr>
            <w:tcW w:w="0" w:type="dxa"/>
            <w:vAlign w:val="bottom"/>
          </w:tcPr>
          <w:p>
            <w:pPr>
              <w:spacing w:after="0"/>
              <w:rPr>
                <w:sz w:val="1"/>
                <w:szCs w:val="1"/>
                <w:color w:val="auto"/>
              </w:rPr>
            </w:pPr>
          </w:p>
        </w:tc>
      </w:tr>
      <w:tr>
        <w:trPr>
          <w:trHeight w:val="399"/>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Equity Acceleration</w:t>
            </w:r>
            <w:r>
              <w:rPr>
                <w:rFonts w:ascii="Arial" w:cs="Arial" w:eastAsia="Arial" w:hAnsi="Arial"/>
                <w:sz w:val="27"/>
                <w:szCs w:val="27"/>
                <w:color w:val="auto"/>
                <w:vertAlign w:val="superscript"/>
              </w:rPr>
              <w:t>(1)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1,577,402</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1,577,402</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1,885,303</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All Other Payments or Benefits</w:t>
            </w:r>
          </w:p>
        </w:tc>
        <w:tc>
          <w:tcPr>
            <w:tcW w:w="200" w:type="dxa"/>
            <w:vAlign w:val="bottom"/>
          </w:tcPr>
          <w:p>
            <w:pPr>
              <w:spacing w:after="0"/>
              <w:rPr>
                <w:sz w:val="16"/>
                <w:szCs w:val="16"/>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Arial" w:cs="Arial" w:eastAsia="Arial" w:hAnsi="Arial"/>
                <w:sz w:val="16"/>
                <w:szCs w:val="16"/>
                <w:color w:val="auto"/>
              </w:rPr>
              <w:t>Total</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1,577,402</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1,577,402</w:t>
            </w:r>
          </w:p>
        </w:tc>
        <w:tc>
          <w:tcPr>
            <w:tcW w:w="1440" w:type="dxa"/>
            <w:vAlign w:val="bottom"/>
          </w:tcPr>
          <w:p>
            <w:pPr>
              <w:jc w:val="right"/>
              <w:ind w:right="80"/>
              <w:spacing w:after="0"/>
              <w:rPr>
                <w:sz w:val="20"/>
                <w:szCs w:val="20"/>
                <w:color w:val="auto"/>
              </w:rPr>
            </w:pPr>
            <w:r>
              <w:rPr>
                <w:rFonts w:ascii="Arial" w:cs="Arial" w:eastAsia="Arial" w:hAnsi="Arial"/>
                <w:sz w:val="16"/>
                <w:szCs w:val="16"/>
                <w:color w:val="auto"/>
              </w:rPr>
              <w:t>947,348</w:t>
            </w:r>
          </w:p>
        </w:tc>
        <w:tc>
          <w:tcPr>
            <w:tcW w:w="1260" w:type="dxa"/>
            <w:vAlign w:val="bottom"/>
          </w:tcPr>
          <w:p>
            <w:pPr>
              <w:jc w:val="right"/>
              <w:spacing w:after="0"/>
              <w:rPr>
                <w:sz w:val="20"/>
                <w:szCs w:val="20"/>
                <w:color w:val="auto"/>
              </w:rPr>
            </w:pPr>
            <w:r>
              <w:rPr>
                <w:rFonts w:ascii="Arial" w:cs="Arial" w:eastAsia="Arial" w:hAnsi="Arial"/>
                <w:sz w:val="16"/>
                <w:szCs w:val="16"/>
                <w:color w:val="auto"/>
              </w:rPr>
              <w:t>3,148,433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9" w:lineRule="exact"/>
        <w:rPr>
          <w:sz w:val="20"/>
          <w:szCs w:val="20"/>
          <w:color w:val="auto"/>
        </w:rPr>
      </w:pPr>
    </w:p>
    <w:p>
      <w:pPr>
        <w:ind w:left="440" w:right="80" w:hanging="324"/>
        <w:spacing w:after="0" w:line="221" w:lineRule="auto"/>
        <w:tabs>
          <w:tab w:leader="none" w:pos="4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Represents the sum of the values attributable to the accelerated vesting of the unvested portion of all outstanding Company Stock Options, RSUs and PSUs held by the executive officer as of December 31, 2019. The value of the accelerated equity awards was calculated based on the closing price of our common stock on December 31, 2019 ($9.99). Upon the death or disability of the executive, PSUs and PCUs will accelerate and vest based on actual performance through the completion of the performance period and will be prorated for the date of termination. We have estimated for purposes of this disclosure that PSUs and PCUs awarded under the Replacement Plan and LTI Plan are valued based on projecting their performance as of December 31, 2019 through the end of the performance period. Note, however, that the value of these accelerated PSU and PCU awards would ultimately reflect actual performance and, accordingly the amounts payable in respect of such PSU and PCU awards under this scenario could be greater or less than the amounts reported.</w:t>
      </w:r>
    </w:p>
    <w:p>
      <w:pPr>
        <w:spacing w:after="0" w:line="65" w:lineRule="exact"/>
        <w:rPr>
          <w:rFonts w:ascii="Arial" w:cs="Arial" w:eastAsia="Arial" w:hAnsi="Arial"/>
          <w:sz w:val="13"/>
          <w:szCs w:val="13"/>
          <w:color w:val="auto"/>
        </w:rPr>
      </w:pPr>
    </w:p>
    <w:p>
      <w:pPr>
        <w:ind w:left="440" w:right="120" w:hanging="324"/>
        <w:spacing w:after="0" w:line="230" w:lineRule="auto"/>
        <w:tabs>
          <w:tab w:leader="none" w:pos="4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With respect to Mr. Gili, represents the sum of the values attributable to the accelerated vesting of the RSUs in connection with his separation from the Company. The value of the accelerated equity awards was calculated based on the closing price of our common stock on February 28, 2020 ($6.94).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6995160" cy="6254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55</w:t>
      </w:r>
    </w:p>
    <w:p>
      <w:pPr>
        <w:sectPr>
          <w:pgSz w:w="11900" w:h="16838" w:orient="portrait"/>
          <w:cols w:equalWidth="0" w:num="1">
            <w:col w:w="11140"/>
          </w:cols>
          <w:pgMar w:left="32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CEO Pay Ratio Disclosure</w:t>
      </w:r>
    </w:p>
    <w:p>
      <w:pPr>
        <w:spacing w:after="0" w:line="234"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regarding the relationship of the annual total compensation of our median employee to the annual total compensation of Olivier Rabiller, our CEO. We consider the pay ratio specified below to be a reasonable estimate, calculated in a manner that is intended to be consistent with the requirements of Item 402(u) of Regulation S-K.</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2019, our last completed fiscal year:</w:t>
      </w:r>
    </w:p>
    <w:p>
      <w:pPr>
        <w:spacing w:after="0" w:line="86"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6"/>
          <w:szCs w:val="16"/>
          <w:color w:val="E52823"/>
        </w:rPr>
      </w:pPr>
      <w:r>
        <w:rPr>
          <w:rFonts w:ascii="Arial" w:cs="Arial" w:eastAsia="Arial" w:hAnsi="Arial"/>
          <w:sz w:val="16"/>
          <w:szCs w:val="16"/>
          <w:color w:val="auto"/>
        </w:rPr>
        <w:t>the annual total compensation of the employee who represents our median compensated employee (other than our CEO) was $27,146; and</w:t>
      </w:r>
    </w:p>
    <w:p>
      <w:pPr>
        <w:spacing w:after="0" w:line="86" w:lineRule="exact"/>
        <w:rPr>
          <w:rFonts w:ascii="Arial" w:cs="Arial" w:eastAsia="Arial" w:hAnsi="Arial"/>
          <w:sz w:val="16"/>
          <w:szCs w:val="16"/>
          <w:color w:val="E52823"/>
        </w:rPr>
      </w:pPr>
    </w:p>
    <w:p>
      <w:pPr>
        <w:ind w:left="980" w:hanging="324"/>
        <w:spacing w:after="0"/>
        <w:tabs>
          <w:tab w:leader="none" w:pos="980" w:val="left"/>
        </w:tabs>
        <w:numPr>
          <w:ilvl w:val="0"/>
          <w:numId w:val="52"/>
        </w:numPr>
        <w:rPr>
          <w:rFonts w:ascii="Arial" w:cs="Arial" w:eastAsia="Arial" w:hAnsi="Arial"/>
          <w:sz w:val="16"/>
          <w:szCs w:val="16"/>
          <w:color w:val="E52823"/>
        </w:rPr>
      </w:pPr>
      <w:r>
        <w:rPr>
          <w:rFonts w:ascii="Arial" w:cs="Arial" w:eastAsia="Arial" w:hAnsi="Arial"/>
          <w:sz w:val="16"/>
          <w:szCs w:val="16"/>
          <w:color w:val="auto"/>
        </w:rPr>
        <w:t>the annual total compensation of our CEO, as reported in the Summary Compensation Table included above, was $5,369,501.</w:t>
      </w:r>
    </w:p>
    <w:p>
      <w:pPr>
        <w:spacing w:after="0" w:line="221"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auto"/>
        </w:rPr>
        <w:t>Based on this information, for 2019, our CEO’s annual total compensation was 198 times that of the median of the annual total compensation of all of our employees (other than the CEO).</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Determining the Median Employee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Employee Population</w:t>
      </w:r>
    </w:p>
    <w:p>
      <w:pPr>
        <w:spacing w:after="0" w:line="129" w:lineRule="exact"/>
        <w:rPr>
          <w:sz w:val="20"/>
          <w:szCs w:val="20"/>
          <w:color w:val="auto"/>
        </w:rPr>
      </w:pPr>
    </w:p>
    <w:p>
      <w:pPr>
        <w:ind w:left="120" w:right="560"/>
        <w:spacing w:after="0" w:line="260" w:lineRule="auto"/>
        <w:rPr>
          <w:sz w:val="20"/>
          <w:szCs w:val="20"/>
          <w:color w:val="auto"/>
        </w:rPr>
      </w:pPr>
      <w:r>
        <w:rPr>
          <w:rFonts w:ascii="Arial" w:cs="Arial" w:eastAsia="Arial" w:hAnsi="Arial"/>
          <w:sz w:val="16"/>
          <w:szCs w:val="16"/>
          <w:color w:val="auto"/>
        </w:rPr>
        <w:t>We used our employee population data as of October 1, 2019 as the determination date for identifying our median employee. As of such date, our employee population consisted of approximately 6,100 individuals.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Methodology for Determining Our Median Employee</w:t>
      </w:r>
    </w:p>
    <w:p>
      <w:pPr>
        <w:spacing w:after="0" w:line="19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To identify the median employee from our employee population, we selected base salary and target bonus as the most appropriate measure of compensation, which was consistently applied to all of our employees included in the calculation. In identifying the median employee, we annualized the compensation of all permanent employees who were new-hires in 2019 and we converted international currencies to US dollars using the exchange rates on the determination date.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Measure and Annual Total Compensation of Median Employee</w:t>
      </w:r>
    </w:p>
    <w:p>
      <w:pPr>
        <w:spacing w:after="0" w:line="200"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auto"/>
        </w:rPr>
        <w:t>With respect to the annual total compensation of the employee who represents our median compensated employee, we calculated the elements of such employee’s compensation for 2019 in accordance with the requirements of Item 402(c)(2)(x) of Regulation S-K, resulting in annual total compensation of $27,146.</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Total Compensation of CEO</w:t>
      </w:r>
    </w:p>
    <w:p>
      <w:pPr>
        <w:spacing w:after="0" w:line="213"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With respect to the annual total compensation of our CEO, we used the amount reported in the 2019 “Total” column of our Summary Compensation Table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56</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EQUITY COMPENSATION PLAN INFORMATION</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equity awards outstanding under the 2018 Plan and the 2018 Stock Plan for Non-Employee Directors as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jc w:val="center"/>
              <w:ind w:left="206"/>
              <w:spacing w:after="0"/>
              <w:rPr>
                <w:sz w:val="20"/>
                <w:szCs w:val="20"/>
                <w:color w:val="auto"/>
              </w:rPr>
            </w:pPr>
            <w:r>
              <w:rPr>
                <w:rFonts w:ascii="Arial" w:cs="Arial" w:eastAsia="Arial" w:hAnsi="Arial"/>
                <w:sz w:val="14"/>
                <w:szCs w:val="14"/>
                <w:color w:val="auto"/>
              </w:rPr>
              <w:t>Number of</w:t>
            </w:r>
          </w:p>
        </w:tc>
      </w:tr>
      <w:tr>
        <w:trPr>
          <w:trHeight w:val="162"/>
        </w:trPr>
        <w:tc>
          <w:tcPr>
            <w:tcW w:w="5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rPr>
              <w:t>Weighted-</w:t>
            </w:r>
          </w:p>
        </w:tc>
        <w:tc>
          <w:tcPr>
            <w:tcW w:w="1600" w:type="dxa"/>
            <w:vAlign w:val="bottom"/>
          </w:tcPr>
          <w:p>
            <w:pPr>
              <w:jc w:val="center"/>
              <w:ind w:left="206"/>
              <w:spacing w:after="0"/>
              <w:rPr>
                <w:sz w:val="20"/>
                <w:szCs w:val="20"/>
                <w:color w:val="auto"/>
              </w:rPr>
            </w:pPr>
            <w:r>
              <w:rPr>
                <w:rFonts w:ascii="Arial" w:cs="Arial" w:eastAsia="Arial" w:hAnsi="Arial"/>
                <w:sz w:val="14"/>
                <w:szCs w:val="14"/>
                <w:color w:val="auto"/>
              </w:rPr>
              <w:t>Shares remaining</w:t>
            </w:r>
          </w:p>
        </w:tc>
      </w:tr>
      <w:tr>
        <w:trPr>
          <w:trHeight w:val="162"/>
        </w:trPr>
        <w:tc>
          <w:tcPr>
            <w:tcW w:w="5740" w:type="dxa"/>
            <w:vAlign w:val="bottom"/>
          </w:tcPr>
          <w:p>
            <w:pPr>
              <w:spacing w:after="0"/>
              <w:rPr>
                <w:sz w:val="14"/>
                <w:szCs w:val="14"/>
                <w:color w:val="auto"/>
              </w:rPr>
            </w:pPr>
          </w:p>
        </w:tc>
        <w:tc>
          <w:tcPr>
            <w:tcW w:w="2040" w:type="dxa"/>
            <w:vAlign w:val="bottom"/>
          </w:tcPr>
          <w:p>
            <w:pPr>
              <w:jc w:val="center"/>
              <w:ind w:left="26"/>
              <w:spacing w:after="0"/>
              <w:rPr>
                <w:sz w:val="20"/>
                <w:szCs w:val="20"/>
                <w:color w:val="auto"/>
              </w:rPr>
            </w:pPr>
            <w:r>
              <w:rPr>
                <w:rFonts w:ascii="Arial" w:cs="Arial" w:eastAsia="Arial" w:hAnsi="Arial"/>
                <w:sz w:val="14"/>
                <w:szCs w:val="14"/>
                <w:color w:val="auto"/>
              </w:rPr>
              <w:t>Number of</w:t>
            </w: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rPr>
              <w:t>average</w:t>
            </w:r>
          </w:p>
        </w:tc>
        <w:tc>
          <w:tcPr>
            <w:tcW w:w="1600" w:type="dxa"/>
            <w:vAlign w:val="bottom"/>
          </w:tcPr>
          <w:p>
            <w:pPr>
              <w:jc w:val="center"/>
              <w:ind w:left="226"/>
              <w:spacing w:after="0"/>
              <w:rPr>
                <w:sz w:val="20"/>
                <w:szCs w:val="20"/>
                <w:color w:val="auto"/>
              </w:rPr>
            </w:pPr>
            <w:r>
              <w:rPr>
                <w:rFonts w:ascii="Arial" w:cs="Arial" w:eastAsia="Arial" w:hAnsi="Arial"/>
                <w:sz w:val="14"/>
                <w:szCs w:val="14"/>
                <w:color w:val="auto"/>
              </w:rPr>
              <w:t>available for</w:t>
            </w:r>
          </w:p>
        </w:tc>
      </w:tr>
      <w:tr>
        <w:trPr>
          <w:trHeight w:val="162"/>
        </w:trPr>
        <w:tc>
          <w:tcPr>
            <w:tcW w:w="5740" w:type="dxa"/>
            <w:vAlign w:val="bottom"/>
          </w:tcPr>
          <w:p>
            <w:pPr>
              <w:spacing w:after="0"/>
              <w:rPr>
                <w:sz w:val="14"/>
                <w:szCs w:val="14"/>
                <w:color w:val="auto"/>
              </w:rPr>
            </w:pPr>
          </w:p>
        </w:tc>
        <w:tc>
          <w:tcPr>
            <w:tcW w:w="2040" w:type="dxa"/>
            <w:vAlign w:val="bottom"/>
          </w:tcPr>
          <w:p>
            <w:pPr>
              <w:jc w:val="center"/>
              <w:ind w:left="26"/>
              <w:spacing w:after="0"/>
              <w:rPr>
                <w:sz w:val="20"/>
                <w:szCs w:val="20"/>
                <w:color w:val="auto"/>
              </w:rPr>
            </w:pPr>
            <w:r>
              <w:rPr>
                <w:rFonts w:ascii="Arial" w:cs="Arial" w:eastAsia="Arial" w:hAnsi="Arial"/>
                <w:sz w:val="14"/>
                <w:szCs w:val="14"/>
                <w:color w:val="auto"/>
              </w:rPr>
              <w:t>Shares to be</w:t>
            </w: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w w:val="99"/>
              </w:rPr>
              <w:t>exercise</w:t>
            </w:r>
          </w:p>
        </w:tc>
        <w:tc>
          <w:tcPr>
            <w:tcW w:w="1600" w:type="dxa"/>
            <w:vAlign w:val="bottom"/>
          </w:tcPr>
          <w:p>
            <w:pPr>
              <w:jc w:val="center"/>
              <w:ind w:left="226"/>
              <w:spacing w:after="0"/>
              <w:rPr>
                <w:sz w:val="20"/>
                <w:szCs w:val="20"/>
                <w:color w:val="auto"/>
              </w:rPr>
            </w:pPr>
            <w:r>
              <w:rPr>
                <w:rFonts w:ascii="Arial" w:cs="Arial" w:eastAsia="Arial" w:hAnsi="Arial"/>
                <w:sz w:val="14"/>
                <w:szCs w:val="14"/>
                <w:color w:val="auto"/>
              </w:rPr>
              <w:t>future issuance</w:t>
            </w:r>
          </w:p>
        </w:tc>
      </w:tr>
      <w:tr>
        <w:trPr>
          <w:trHeight w:val="162"/>
        </w:trPr>
        <w:tc>
          <w:tcPr>
            <w:tcW w:w="5740" w:type="dxa"/>
            <w:vAlign w:val="bottom"/>
          </w:tcPr>
          <w:p>
            <w:pPr>
              <w:spacing w:after="0"/>
              <w:rPr>
                <w:sz w:val="14"/>
                <w:szCs w:val="14"/>
                <w:color w:val="auto"/>
              </w:rPr>
            </w:pPr>
          </w:p>
        </w:tc>
        <w:tc>
          <w:tcPr>
            <w:tcW w:w="2040" w:type="dxa"/>
            <w:vAlign w:val="bottom"/>
          </w:tcPr>
          <w:p>
            <w:pPr>
              <w:jc w:val="center"/>
              <w:ind w:left="26"/>
              <w:spacing w:after="0"/>
              <w:rPr>
                <w:sz w:val="20"/>
                <w:szCs w:val="20"/>
                <w:color w:val="auto"/>
              </w:rPr>
            </w:pPr>
            <w:r>
              <w:rPr>
                <w:rFonts w:ascii="Arial" w:cs="Arial" w:eastAsia="Arial" w:hAnsi="Arial"/>
                <w:sz w:val="14"/>
                <w:szCs w:val="14"/>
                <w:color w:val="auto"/>
              </w:rPr>
              <w:t>issued upon</w:t>
            </w: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rPr>
              <w:t>price of</w:t>
            </w:r>
          </w:p>
        </w:tc>
        <w:tc>
          <w:tcPr>
            <w:tcW w:w="1600" w:type="dxa"/>
            <w:vAlign w:val="bottom"/>
          </w:tcPr>
          <w:p>
            <w:pPr>
              <w:jc w:val="center"/>
              <w:ind w:left="206"/>
              <w:spacing w:after="0"/>
              <w:rPr>
                <w:sz w:val="20"/>
                <w:szCs w:val="20"/>
                <w:color w:val="auto"/>
              </w:rPr>
            </w:pPr>
            <w:r>
              <w:rPr>
                <w:rFonts w:ascii="Arial" w:cs="Arial" w:eastAsia="Arial" w:hAnsi="Arial"/>
                <w:sz w:val="14"/>
                <w:szCs w:val="14"/>
                <w:color w:val="auto"/>
              </w:rPr>
              <w:t>under equity</w:t>
            </w:r>
          </w:p>
        </w:tc>
      </w:tr>
      <w:tr>
        <w:trPr>
          <w:trHeight w:val="162"/>
        </w:trPr>
        <w:tc>
          <w:tcPr>
            <w:tcW w:w="5740" w:type="dxa"/>
            <w:vAlign w:val="bottom"/>
          </w:tcPr>
          <w:p>
            <w:pPr>
              <w:spacing w:after="0"/>
              <w:rPr>
                <w:sz w:val="14"/>
                <w:szCs w:val="14"/>
                <w:color w:val="auto"/>
              </w:rPr>
            </w:pPr>
          </w:p>
        </w:tc>
        <w:tc>
          <w:tcPr>
            <w:tcW w:w="2040" w:type="dxa"/>
            <w:vAlign w:val="bottom"/>
          </w:tcPr>
          <w:p>
            <w:pPr>
              <w:jc w:val="center"/>
              <w:ind w:left="26"/>
              <w:spacing w:after="0"/>
              <w:rPr>
                <w:sz w:val="20"/>
                <w:szCs w:val="20"/>
                <w:color w:val="auto"/>
              </w:rPr>
            </w:pPr>
            <w:r>
              <w:rPr>
                <w:rFonts w:ascii="Arial" w:cs="Arial" w:eastAsia="Arial" w:hAnsi="Arial"/>
                <w:sz w:val="14"/>
                <w:szCs w:val="14"/>
                <w:color w:val="auto"/>
              </w:rPr>
              <w:t>exercise of</w:t>
            </w: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rPr>
              <w:t>outstanding</w:t>
            </w:r>
          </w:p>
        </w:tc>
        <w:tc>
          <w:tcPr>
            <w:tcW w:w="1600" w:type="dxa"/>
            <w:vAlign w:val="bottom"/>
          </w:tcPr>
          <w:p>
            <w:pPr>
              <w:jc w:val="center"/>
              <w:ind w:left="226"/>
              <w:spacing w:after="0"/>
              <w:rPr>
                <w:sz w:val="20"/>
                <w:szCs w:val="20"/>
                <w:color w:val="auto"/>
              </w:rPr>
            </w:pPr>
            <w:r>
              <w:rPr>
                <w:rFonts w:ascii="Arial" w:cs="Arial" w:eastAsia="Arial" w:hAnsi="Arial"/>
                <w:sz w:val="14"/>
                <w:szCs w:val="14"/>
                <w:color w:val="auto"/>
              </w:rPr>
              <w:t>compensation</w:t>
            </w:r>
          </w:p>
        </w:tc>
      </w:tr>
      <w:tr>
        <w:trPr>
          <w:trHeight w:val="162"/>
        </w:trPr>
        <w:tc>
          <w:tcPr>
            <w:tcW w:w="5740" w:type="dxa"/>
            <w:vAlign w:val="bottom"/>
          </w:tcPr>
          <w:p>
            <w:pPr>
              <w:spacing w:after="0"/>
              <w:rPr>
                <w:sz w:val="14"/>
                <w:szCs w:val="14"/>
                <w:color w:val="auto"/>
              </w:rPr>
            </w:pPr>
          </w:p>
        </w:tc>
        <w:tc>
          <w:tcPr>
            <w:tcW w:w="2040" w:type="dxa"/>
            <w:vAlign w:val="bottom"/>
          </w:tcPr>
          <w:p>
            <w:pPr>
              <w:jc w:val="center"/>
              <w:ind w:left="26"/>
              <w:spacing w:after="0"/>
              <w:rPr>
                <w:sz w:val="20"/>
                <w:szCs w:val="20"/>
                <w:color w:val="auto"/>
              </w:rPr>
            </w:pPr>
            <w:r>
              <w:rPr>
                <w:rFonts w:ascii="Arial" w:cs="Arial" w:eastAsia="Arial" w:hAnsi="Arial"/>
                <w:sz w:val="14"/>
                <w:szCs w:val="14"/>
                <w:color w:val="auto"/>
              </w:rPr>
              <w:t>outstanding</w:t>
            </w: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rPr>
              <w:t>options,</w:t>
            </w:r>
          </w:p>
        </w:tc>
        <w:tc>
          <w:tcPr>
            <w:tcW w:w="1600" w:type="dxa"/>
            <w:vAlign w:val="bottom"/>
          </w:tcPr>
          <w:p>
            <w:pPr>
              <w:jc w:val="center"/>
              <w:ind w:left="206"/>
              <w:spacing w:after="0"/>
              <w:rPr>
                <w:sz w:val="20"/>
                <w:szCs w:val="20"/>
                <w:color w:val="auto"/>
              </w:rPr>
            </w:pPr>
            <w:r>
              <w:rPr>
                <w:rFonts w:ascii="Arial" w:cs="Arial" w:eastAsia="Arial" w:hAnsi="Arial"/>
                <w:sz w:val="14"/>
                <w:szCs w:val="14"/>
                <w:color w:val="auto"/>
              </w:rPr>
              <w:t>plans (excluding</w:t>
            </w:r>
          </w:p>
        </w:tc>
      </w:tr>
      <w:tr>
        <w:trPr>
          <w:trHeight w:val="162"/>
        </w:trPr>
        <w:tc>
          <w:tcPr>
            <w:tcW w:w="5740" w:type="dxa"/>
            <w:vAlign w:val="bottom"/>
          </w:tcPr>
          <w:p>
            <w:pPr>
              <w:spacing w:after="0"/>
              <w:rPr>
                <w:sz w:val="14"/>
                <w:szCs w:val="14"/>
                <w:color w:val="auto"/>
              </w:rPr>
            </w:pPr>
          </w:p>
        </w:tc>
        <w:tc>
          <w:tcPr>
            <w:tcW w:w="2040" w:type="dxa"/>
            <w:vAlign w:val="bottom"/>
          </w:tcPr>
          <w:p>
            <w:pPr>
              <w:jc w:val="center"/>
              <w:ind w:left="26"/>
              <w:spacing w:after="0"/>
              <w:rPr>
                <w:sz w:val="20"/>
                <w:szCs w:val="20"/>
                <w:color w:val="auto"/>
              </w:rPr>
            </w:pPr>
            <w:r>
              <w:rPr>
                <w:rFonts w:ascii="Arial" w:cs="Arial" w:eastAsia="Arial" w:hAnsi="Arial"/>
                <w:sz w:val="14"/>
                <w:szCs w:val="14"/>
                <w:color w:val="auto"/>
              </w:rPr>
              <w:t>options,</w:t>
            </w: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rPr>
              <w:t>warrants</w:t>
            </w:r>
          </w:p>
        </w:tc>
        <w:tc>
          <w:tcPr>
            <w:tcW w:w="1600" w:type="dxa"/>
            <w:vAlign w:val="bottom"/>
          </w:tcPr>
          <w:p>
            <w:pPr>
              <w:jc w:val="center"/>
              <w:ind w:left="226"/>
              <w:spacing w:after="0"/>
              <w:rPr>
                <w:sz w:val="20"/>
                <w:szCs w:val="20"/>
                <w:color w:val="auto"/>
              </w:rPr>
            </w:pPr>
            <w:r>
              <w:rPr>
                <w:rFonts w:ascii="Arial" w:cs="Arial" w:eastAsia="Arial" w:hAnsi="Arial"/>
                <w:sz w:val="14"/>
                <w:szCs w:val="14"/>
                <w:color w:val="auto"/>
              </w:rPr>
              <w:t>shares reflected in</w:t>
            </w:r>
          </w:p>
        </w:tc>
      </w:tr>
      <w:tr>
        <w:trPr>
          <w:trHeight w:val="162"/>
        </w:trPr>
        <w:tc>
          <w:tcPr>
            <w:tcW w:w="5740" w:type="dxa"/>
            <w:vAlign w:val="bottom"/>
          </w:tcPr>
          <w:p>
            <w:pPr>
              <w:spacing w:after="0"/>
              <w:rPr>
                <w:sz w:val="14"/>
                <w:szCs w:val="14"/>
                <w:color w:val="auto"/>
              </w:rPr>
            </w:pPr>
          </w:p>
        </w:tc>
        <w:tc>
          <w:tcPr>
            <w:tcW w:w="2040" w:type="dxa"/>
            <w:vAlign w:val="bottom"/>
          </w:tcPr>
          <w:p>
            <w:pPr>
              <w:jc w:val="center"/>
              <w:ind w:left="26"/>
              <w:spacing w:after="0"/>
              <w:rPr>
                <w:sz w:val="20"/>
                <w:szCs w:val="20"/>
                <w:color w:val="auto"/>
              </w:rPr>
            </w:pPr>
            <w:r>
              <w:rPr>
                <w:rFonts w:ascii="Arial" w:cs="Arial" w:eastAsia="Arial" w:hAnsi="Arial"/>
                <w:sz w:val="14"/>
                <w:szCs w:val="14"/>
                <w:color w:val="auto"/>
              </w:rPr>
              <w:t>warrants and</w:t>
            </w:r>
          </w:p>
        </w:tc>
        <w:tc>
          <w:tcPr>
            <w:tcW w:w="1640" w:type="dxa"/>
            <w:vAlign w:val="bottom"/>
          </w:tcPr>
          <w:p>
            <w:pPr>
              <w:jc w:val="center"/>
              <w:ind w:right="126"/>
              <w:spacing w:after="0"/>
              <w:rPr>
                <w:sz w:val="20"/>
                <w:szCs w:val="20"/>
                <w:color w:val="auto"/>
              </w:rPr>
            </w:pPr>
            <w:r>
              <w:rPr>
                <w:rFonts w:ascii="Arial" w:cs="Arial" w:eastAsia="Arial" w:hAnsi="Arial"/>
                <w:sz w:val="14"/>
                <w:szCs w:val="14"/>
                <w:color w:val="auto"/>
              </w:rPr>
              <w:t>and rights</w:t>
            </w:r>
          </w:p>
        </w:tc>
        <w:tc>
          <w:tcPr>
            <w:tcW w:w="1600" w:type="dxa"/>
            <w:vAlign w:val="bottom"/>
          </w:tcPr>
          <w:p>
            <w:pPr>
              <w:jc w:val="center"/>
              <w:ind w:left="226"/>
              <w:spacing w:after="0"/>
              <w:rPr>
                <w:sz w:val="20"/>
                <w:szCs w:val="20"/>
                <w:color w:val="auto"/>
              </w:rPr>
            </w:pPr>
            <w:r>
              <w:rPr>
                <w:rFonts w:ascii="Arial" w:cs="Arial" w:eastAsia="Arial" w:hAnsi="Arial"/>
                <w:sz w:val="14"/>
                <w:szCs w:val="14"/>
                <w:color w:val="auto"/>
              </w:rPr>
              <w:t>the first column)</w:t>
            </w:r>
          </w:p>
        </w:tc>
      </w:tr>
      <w:tr>
        <w:trPr>
          <w:trHeight w:val="164"/>
        </w:trPr>
        <w:tc>
          <w:tcPr>
            <w:tcW w:w="57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Plan Category</w:t>
            </w:r>
          </w:p>
        </w:tc>
        <w:tc>
          <w:tcPr>
            <w:tcW w:w="2040" w:type="dxa"/>
            <w:vAlign w:val="bottom"/>
            <w:tcBorders>
              <w:bottom w:val="single" w:sz="8" w:color="auto"/>
            </w:tcBorders>
          </w:tcPr>
          <w:p>
            <w:pPr>
              <w:jc w:val="center"/>
              <w:ind w:left="26"/>
              <w:spacing w:after="0" w:line="157" w:lineRule="exact"/>
              <w:rPr>
                <w:sz w:val="20"/>
                <w:szCs w:val="20"/>
                <w:color w:val="auto"/>
              </w:rPr>
            </w:pPr>
            <w:r>
              <w:rPr>
                <w:rFonts w:ascii="Arial" w:cs="Arial" w:eastAsia="Arial" w:hAnsi="Arial"/>
                <w:sz w:val="14"/>
                <w:szCs w:val="14"/>
                <w:color w:val="auto"/>
              </w:rPr>
              <w:t>rights (#)</w:t>
            </w:r>
          </w:p>
        </w:tc>
        <w:tc>
          <w:tcPr>
            <w:tcW w:w="1640" w:type="dxa"/>
            <w:vAlign w:val="bottom"/>
            <w:tcBorders>
              <w:bottom w:val="single" w:sz="8" w:color="auto"/>
            </w:tcBorders>
          </w:tcPr>
          <w:p>
            <w:pPr>
              <w:jc w:val="center"/>
              <w:ind w:right="126"/>
              <w:spacing w:after="0" w:line="157" w:lineRule="exact"/>
              <w:rPr>
                <w:sz w:val="20"/>
                <w:szCs w:val="20"/>
                <w:color w:val="auto"/>
              </w:rPr>
            </w:pPr>
            <w:r>
              <w:rPr>
                <w:rFonts w:ascii="Arial" w:cs="Arial" w:eastAsia="Arial" w:hAnsi="Arial"/>
                <w:sz w:val="14"/>
                <w:szCs w:val="14"/>
                <w:color w:val="auto"/>
                <w:w w:val="93"/>
              </w:rPr>
              <w:t>($)</w:t>
            </w:r>
          </w:p>
        </w:tc>
        <w:tc>
          <w:tcPr>
            <w:tcW w:w="1600" w:type="dxa"/>
            <w:vAlign w:val="bottom"/>
            <w:tcBorders>
              <w:bottom w:val="single" w:sz="8" w:color="auto"/>
            </w:tcBorders>
          </w:tcPr>
          <w:p>
            <w:pPr>
              <w:jc w:val="center"/>
              <w:ind w:left="206"/>
              <w:spacing w:after="0" w:line="157" w:lineRule="exact"/>
              <w:rPr>
                <w:sz w:val="20"/>
                <w:szCs w:val="20"/>
                <w:color w:val="auto"/>
              </w:rPr>
            </w:pPr>
            <w:r>
              <w:rPr>
                <w:rFonts w:ascii="Arial" w:cs="Arial" w:eastAsia="Arial" w:hAnsi="Arial"/>
                <w:sz w:val="14"/>
                <w:szCs w:val="14"/>
                <w:color w:val="auto"/>
              </w:rPr>
              <w:t>(#)(1)</w:t>
            </w:r>
          </w:p>
        </w:tc>
      </w:tr>
      <w:tr>
        <w:trPr>
          <w:trHeight w:val="203"/>
        </w:trPr>
        <w:tc>
          <w:tcPr>
            <w:tcW w:w="5740" w:type="dxa"/>
            <w:vAlign w:val="bottom"/>
            <w:shd w:val="clear" w:color="auto" w:fill="EDEDED"/>
          </w:tcPr>
          <w:p>
            <w:pPr>
              <w:ind w:left="60"/>
              <w:spacing w:after="0"/>
              <w:rPr>
                <w:sz w:val="20"/>
                <w:szCs w:val="20"/>
                <w:color w:val="auto"/>
              </w:rPr>
            </w:pPr>
            <w:r>
              <w:rPr>
                <w:rFonts w:ascii="Arial" w:cs="Arial" w:eastAsia="Arial" w:hAnsi="Arial"/>
                <w:sz w:val="16"/>
                <w:szCs w:val="16"/>
                <w:color w:val="auto"/>
              </w:rPr>
              <w:t>Equity compensation plans approved by security holders</w:t>
            </w:r>
          </w:p>
        </w:tc>
        <w:tc>
          <w:tcPr>
            <w:tcW w:w="2040" w:type="dxa"/>
            <w:vAlign w:val="bottom"/>
            <w:shd w:val="clear" w:color="auto" w:fill="EDEDED"/>
          </w:tcPr>
          <w:p>
            <w:pPr>
              <w:jc w:val="right"/>
              <w:ind w:right="266"/>
              <w:spacing w:after="0"/>
              <w:rPr>
                <w:sz w:val="20"/>
                <w:szCs w:val="20"/>
                <w:color w:val="auto"/>
              </w:rPr>
            </w:pPr>
            <w:r>
              <w:rPr>
                <w:rFonts w:ascii="Arial" w:cs="Arial" w:eastAsia="Arial" w:hAnsi="Arial"/>
                <w:sz w:val="16"/>
                <w:szCs w:val="16"/>
                <w:color w:val="auto"/>
              </w:rPr>
              <w:t>3,574,994(2)</w:t>
            </w:r>
          </w:p>
        </w:tc>
        <w:tc>
          <w:tcPr>
            <w:tcW w:w="1640" w:type="dxa"/>
            <w:vAlign w:val="bottom"/>
            <w:shd w:val="clear" w:color="auto" w:fill="EDEDED"/>
          </w:tcPr>
          <w:p>
            <w:pPr>
              <w:jc w:val="right"/>
              <w:ind w:right="266"/>
              <w:spacing w:after="0"/>
              <w:rPr>
                <w:sz w:val="20"/>
                <w:szCs w:val="20"/>
                <w:color w:val="auto"/>
              </w:rPr>
            </w:pPr>
            <w:r>
              <w:rPr>
                <w:rFonts w:ascii="Arial" w:cs="Arial" w:eastAsia="Arial" w:hAnsi="Arial"/>
                <w:sz w:val="16"/>
                <w:szCs w:val="16"/>
                <w:color w:val="auto"/>
              </w:rPr>
              <w:t>16.17(3)</w:t>
            </w:r>
          </w:p>
        </w:tc>
        <w:tc>
          <w:tcPr>
            <w:tcW w:w="1600" w:type="dxa"/>
            <w:vAlign w:val="bottom"/>
            <w:shd w:val="clear" w:color="auto" w:fill="EDEDED"/>
          </w:tcPr>
          <w:p>
            <w:pPr>
              <w:jc w:val="right"/>
              <w:spacing w:after="0"/>
              <w:rPr>
                <w:sz w:val="20"/>
                <w:szCs w:val="20"/>
                <w:color w:val="auto"/>
              </w:rPr>
            </w:pPr>
            <w:r>
              <w:rPr>
                <w:rFonts w:ascii="Arial" w:cs="Arial" w:eastAsia="Arial" w:hAnsi="Arial"/>
                <w:sz w:val="16"/>
                <w:szCs w:val="16"/>
                <w:color w:val="auto"/>
              </w:rPr>
              <w:t>5,853,036</w:t>
            </w:r>
          </w:p>
        </w:tc>
      </w:tr>
      <w:tr>
        <w:trPr>
          <w:trHeight w:val="216"/>
        </w:trPr>
        <w:tc>
          <w:tcPr>
            <w:tcW w:w="574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 security holders</w:t>
            </w:r>
          </w:p>
        </w:tc>
        <w:tc>
          <w:tcPr>
            <w:tcW w:w="2040" w:type="dxa"/>
            <w:vAlign w:val="bottom"/>
          </w:tcPr>
          <w:p>
            <w:pPr>
              <w:jc w:val="right"/>
              <w:ind w:right="466"/>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66"/>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740" w:type="dxa"/>
            <w:vAlign w:val="bottom"/>
            <w:tcBorders>
              <w:bottom w:val="single" w:sz="8" w:color="E52823"/>
            </w:tcBorders>
            <w:shd w:val="clear" w:color="auto" w:fill="EDEDED"/>
          </w:tcPr>
          <w:p>
            <w:pPr>
              <w:ind w:left="60"/>
              <w:spacing w:after="0"/>
              <w:rPr>
                <w:sz w:val="20"/>
                <w:szCs w:val="20"/>
                <w:color w:val="auto"/>
              </w:rPr>
            </w:pPr>
            <w:r>
              <w:rPr>
                <w:rFonts w:ascii="Arial" w:cs="Arial" w:eastAsia="Arial" w:hAnsi="Arial"/>
                <w:sz w:val="16"/>
                <w:szCs w:val="16"/>
                <w:color w:val="auto"/>
              </w:rPr>
              <w:t>Total</w:t>
            </w:r>
          </w:p>
        </w:tc>
        <w:tc>
          <w:tcPr>
            <w:tcW w:w="2040" w:type="dxa"/>
            <w:vAlign w:val="bottom"/>
            <w:tcBorders>
              <w:bottom w:val="single" w:sz="8" w:color="E52823"/>
            </w:tcBorders>
            <w:shd w:val="clear" w:color="auto" w:fill="EDEDED"/>
          </w:tcPr>
          <w:p>
            <w:pPr>
              <w:jc w:val="right"/>
              <w:ind w:right="466"/>
              <w:spacing w:after="0"/>
              <w:rPr>
                <w:sz w:val="20"/>
                <w:szCs w:val="20"/>
                <w:color w:val="auto"/>
              </w:rPr>
            </w:pPr>
            <w:r>
              <w:rPr>
                <w:rFonts w:ascii="Arial" w:cs="Arial" w:eastAsia="Arial" w:hAnsi="Arial"/>
                <w:sz w:val="16"/>
                <w:szCs w:val="16"/>
                <w:color w:val="auto"/>
              </w:rPr>
              <w:t>3,574,994</w:t>
            </w:r>
          </w:p>
        </w:tc>
        <w:tc>
          <w:tcPr>
            <w:tcW w:w="1640" w:type="dxa"/>
            <w:vAlign w:val="bottom"/>
            <w:tcBorders>
              <w:bottom w:val="single" w:sz="8" w:color="E52823"/>
            </w:tcBorders>
            <w:shd w:val="clear" w:color="auto" w:fill="EDEDED"/>
          </w:tcPr>
          <w:p>
            <w:pPr>
              <w:jc w:val="right"/>
              <w:ind w:right="466"/>
              <w:spacing w:after="0"/>
              <w:rPr>
                <w:sz w:val="20"/>
                <w:szCs w:val="20"/>
                <w:color w:val="auto"/>
              </w:rPr>
            </w:pPr>
            <w:r>
              <w:rPr>
                <w:rFonts w:ascii="Arial" w:cs="Arial" w:eastAsia="Arial" w:hAnsi="Arial"/>
                <w:sz w:val="16"/>
                <w:szCs w:val="16"/>
                <w:color w:val="auto"/>
              </w:rPr>
              <w:t>16.17</w:t>
            </w:r>
          </w:p>
        </w:tc>
        <w:tc>
          <w:tcPr>
            <w:tcW w:w="1600" w:type="dxa"/>
            <w:vAlign w:val="bottom"/>
            <w:tcBorders>
              <w:bottom w:val="single" w:sz="8" w:color="E52823"/>
            </w:tcBorders>
            <w:shd w:val="clear" w:color="auto" w:fill="EDEDED"/>
          </w:tcPr>
          <w:p>
            <w:pPr>
              <w:jc w:val="right"/>
              <w:spacing w:after="0"/>
              <w:rPr>
                <w:sz w:val="20"/>
                <w:szCs w:val="20"/>
                <w:color w:val="auto"/>
              </w:rPr>
            </w:pPr>
            <w:r>
              <w:rPr>
                <w:rFonts w:ascii="Arial" w:cs="Arial" w:eastAsia="Arial" w:hAnsi="Arial"/>
                <w:sz w:val="16"/>
                <w:szCs w:val="16"/>
                <w:color w:val="auto"/>
              </w:rPr>
              <w:t>5,853,036</w:t>
            </w:r>
          </w:p>
        </w:tc>
      </w:tr>
    </w:tbl>
    <w:p>
      <w:pPr>
        <w:spacing w:after="0" w:line="75"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Consists of the 2018 Plan and the 2018 Stock Plan for Non-Employee Directors.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Represents shares underlying Company stock options and unvested Company RSUs granted under the 2018 Plan and the 2018 Stock Plan for Non-Employee Directors.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Represents the weighted-average exercise price of Company stock options granted under the 2018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57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DIRECTOR COMPENSATION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 Agreements</w:t>
      </w:r>
    </w:p>
    <w:p>
      <w:pPr>
        <w:spacing w:after="0" w:line="200" w:lineRule="exact"/>
        <w:rPr>
          <w:sz w:val="20"/>
          <w:szCs w:val="20"/>
          <w:color w:val="auto"/>
        </w:rPr>
      </w:pPr>
    </w:p>
    <w:p>
      <w:pPr>
        <w:ind w:left="120" w:right="420"/>
        <w:spacing w:after="0" w:line="253" w:lineRule="auto"/>
        <w:rPr>
          <w:sz w:val="20"/>
          <w:szCs w:val="20"/>
          <w:color w:val="auto"/>
        </w:rPr>
      </w:pPr>
      <w:r>
        <w:rPr>
          <w:rFonts w:ascii="Arial" w:cs="Arial" w:eastAsia="Arial" w:hAnsi="Arial"/>
          <w:sz w:val="16"/>
          <w:szCs w:val="16"/>
          <w:color w:val="auto"/>
        </w:rPr>
        <w:t>We have entered into letter agreements with each of our non-employee directors that generally provide a total compensation package that includes annual cash fees and annual restricted stock unit grants to compensate our non-employee directors for the time and effort necessary to serve on the Board.</w:t>
      </w:r>
    </w:p>
    <w:p>
      <w:pPr>
        <w:spacing w:after="0" w:line="161"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Our non-employee directors receive a cash retainer for service on the Board and for service on each committee of which the non-employee director is a member. The Independent Chairperson of the Board and the Chairperson of each committee may receive a higher retainer for such service. Cash retainers are paid quarterly on the first business day of the applicable quarter. The fees paid to our non-employee directors for service on the Board are set forth in the table below.</w:t>
      </w:r>
    </w:p>
    <w:p>
      <w:pPr>
        <w:spacing w:after="0" w:line="175"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auto"/>
        </w:rPr>
        <w:t>In light of the uncertainties related to the global COVID-19 pandemic, in April 2020 our directors have agreed to reduce their annual cash retainers by 20% for the remainder of 2020.</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Compensation</w:t>
      </w:r>
    </w:p>
    <w:tbl>
      <w:tblPr>
        <w:tblLayout w:type="fixed"/>
        <w:tblInd w:w="120" w:type="dxa"/>
        <w:tblCellMar>
          <w:top w:w="0" w:type="dxa"/>
          <w:left w:w="0" w:type="dxa"/>
          <w:bottom w:w="0" w:type="dxa"/>
          <w:right w:w="0" w:type="dxa"/>
        </w:tblCellMar>
      </w:tblPr>
      <w:tr>
        <w:trPr>
          <w:trHeight w:val="209"/>
        </w:trPr>
        <w:tc>
          <w:tcPr>
            <w:tcW w:w="980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6"/>
                <w:szCs w:val="16"/>
                <w:color w:val="auto"/>
              </w:rPr>
              <w:t>Annual Cash Retainer</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E5E5E5"/>
          </w:tcPr>
          <w:p>
            <w:pPr>
              <w:jc w:val="right"/>
              <w:ind w:right="139"/>
              <w:spacing w:after="0"/>
              <w:rPr>
                <w:sz w:val="20"/>
                <w:szCs w:val="20"/>
                <w:color w:val="auto"/>
              </w:rPr>
            </w:pPr>
            <w:r>
              <w:rPr>
                <w:rFonts w:ascii="Arial" w:cs="Arial" w:eastAsia="Arial" w:hAnsi="Arial"/>
                <w:sz w:val="16"/>
                <w:szCs w:val="16"/>
                <w:color w:val="auto"/>
              </w:rPr>
              <w:t>80,000</w:t>
            </w:r>
          </w:p>
        </w:tc>
      </w:tr>
      <w:tr>
        <w:trPr>
          <w:trHeight w:val="216"/>
        </w:trPr>
        <w:tc>
          <w:tcPr>
            <w:tcW w:w="9800" w:type="dxa"/>
            <w:vAlign w:val="bottom"/>
          </w:tcPr>
          <w:p>
            <w:pPr>
              <w:ind w:left="60"/>
              <w:spacing w:after="0"/>
              <w:rPr>
                <w:sz w:val="20"/>
                <w:szCs w:val="20"/>
                <w:color w:val="auto"/>
              </w:rPr>
            </w:pPr>
            <w:r>
              <w:rPr>
                <w:rFonts w:ascii="Arial" w:cs="Arial" w:eastAsia="Arial" w:hAnsi="Arial"/>
                <w:sz w:val="16"/>
                <w:szCs w:val="16"/>
                <w:color w:val="auto"/>
              </w:rPr>
              <w:t>Independent Chairperson Annual Cash Retainer</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100,000</w:t>
            </w:r>
          </w:p>
        </w:tc>
      </w:tr>
      <w:tr>
        <w:trPr>
          <w:trHeight w:val="216"/>
        </w:trPr>
        <w:tc>
          <w:tcPr>
            <w:tcW w:w="9800" w:type="dxa"/>
            <w:vAlign w:val="bottom"/>
            <w:shd w:val="clear" w:color="auto" w:fill="E5E5E5"/>
          </w:tcPr>
          <w:p>
            <w:pPr>
              <w:ind w:left="60"/>
              <w:spacing w:after="0"/>
              <w:rPr>
                <w:sz w:val="20"/>
                <w:szCs w:val="20"/>
                <w:color w:val="auto"/>
              </w:rPr>
            </w:pPr>
            <w:r>
              <w:rPr>
                <w:rFonts w:ascii="Arial" w:cs="Arial" w:eastAsia="Arial" w:hAnsi="Arial"/>
                <w:sz w:val="16"/>
                <w:szCs w:val="16"/>
                <w:color w:val="auto"/>
              </w:rPr>
              <w:t>Committee Chair Annual Cash Retainer</w:t>
            </w:r>
          </w:p>
        </w:tc>
        <w:tc>
          <w:tcPr>
            <w:tcW w:w="3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r>
      <w:tr>
        <w:trPr>
          <w:trHeight w:val="216"/>
        </w:trPr>
        <w:tc>
          <w:tcPr>
            <w:tcW w:w="9800" w:type="dxa"/>
            <w:vAlign w:val="bottom"/>
          </w:tcPr>
          <w:p>
            <w:pPr>
              <w:ind w:left="380"/>
              <w:spacing w:after="0"/>
              <w:rPr>
                <w:sz w:val="20"/>
                <w:szCs w:val="20"/>
                <w:color w:val="auto"/>
              </w:rPr>
            </w:pPr>
            <w:r>
              <w:rPr>
                <w:rFonts w:ascii="Arial" w:cs="Arial" w:eastAsia="Arial" w:hAnsi="Arial"/>
                <w:sz w:val="16"/>
                <w:szCs w:val="16"/>
                <w:color w:val="auto"/>
              </w:rPr>
              <w:t>Audit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20,000</w:t>
            </w:r>
          </w:p>
        </w:tc>
      </w:tr>
      <w:tr>
        <w:trPr>
          <w:trHeight w:val="216"/>
        </w:trPr>
        <w:tc>
          <w:tcPr>
            <w:tcW w:w="9800" w:type="dxa"/>
            <w:vAlign w:val="bottom"/>
            <w:shd w:val="clear" w:color="auto" w:fill="E5E5E5"/>
          </w:tcPr>
          <w:p>
            <w:pPr>
              <w:ind w:left="380"/>
              <w:spacing w:after="0"/>
              <w:rPr>
                <w:sz w:val="20"/>
                <w:szCs w:val="20"/>
                <w:color w:val="auto"/>
              </w:rPr>
            </w:pPr>
            <w:r>
              <w:rPr>
                <w:rFonts w:ascii="Arial" w:cs="Arial" w:eastAsia="Arial" w:hAnsi="Arial"/>
                <w:sz w:val="16"/>
                <w:szCs w:val="16"/>
                <w:color w:val="auto"/>
              </w:rPr>
              <w:t>Compensation</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15,000</w:t>
            </w:r>
          </w:p>
        </w:tc>
      </w:tr>
      <w:tr>
        <w:trPr>
          <w:trHeight w:val="216"/>
        </w:trPr>
        <w:tc>
          <w:tcPr>
            <w:tcW w:w="9800" w:type="dxa"/>
            <w:vAlign w:val="bottom"/>
          </w:tcPr>
          <w:p>
            <w:pPr>
              <w:ind w:left="380"/>
              <w:spacing w:after="0"/>
              <w:rPr>
                <w:sz w:val="20"/>
                <w:szCs w:val="20"/>
                <w:color w:val="auto"/>
              </w:rPr>
            </w:pPr>
            <w:r>
              <w:rPr>
                <w:rFonts w:ascii="Arial" w:cs="Arial" w:eastAsia="Arial" w:hAnsi="Arial"/>
                <w:sz w:val="16"/>
                <w:szCs w:val="16"/>
                <w:color w:val="auto"/>
              </w:rPr>
              <w:t>Nominating and Governance</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15,000</w:t>
            </w:r>
          </w:p>
        </w:tc>
      </w:tr>
      <w:tr>
        <w:trPr>
          <w:trHeight w:val="216"/>
        </w:trPr>
        <w:tc>
          <w:tcPr>
            <w:tcW w:w="9800" w:type="dxa"/>
            <w:vAlign w:val="bottom"/>
            <w:shd w:val="clear" w:color="auto" w:fill="E5E5E5"/>
          </w:tcPr>
          <w:p>
            <w:pPr>
              <w:ind w:left="380"/>
              <w:spacing w:after="0"/>
              <w:rPr>
                <w:sz w:val="20"/>
                <w:szCs w:val="20"/>
                <w:color w:val="auto"/>
              </w:rPr>
            </w:pPr>
            <w:r>
              <w:rPr>
                <w:rFonts w:ascii="Arial" w:cs="Arial" w:eastAsia="Arial" w:hAnsi="Arial"/>
                <w:sz w:val="16"/>
                <w:szCs w:val="16"/>
                <w:color w:val="auto"/>
              </w:rPr>
              <w:t>Other Committees</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10,000</w:t>
            </w:r>
          </w:p>
        </w:tc>
      </w:tr>
      <w:tr>
        <w:trPr>
          <w:trHeight w:val="216"/>
        </w:trPr>
        <w:tc>
          <w:tcPr>
            <w:tcW w:w="9800" w:type="dxa"/>
            <w:vAlign w:val="bottom"/>
          </w:tcPr>
          <w:p>
            <w:pPr>
              <w:ind w:left="60"/>
              <w:spacing w:after="0"/>
              <w:rPr>
                <w:sz w:val="20"/>
                <w:szCs w:val="20"/>
                <w:color w:val="auto"/>
              </w:rPr>
            </w:pPr>
            <w:r>
              <w:rPr>
                <w:rFonts w:ascii="Arial" w:cs="Arial" w:eastAsia="Arial" w:hAnsi="Arial"/>
                <w:sz w:val="16"/>
                <w:szCs w:val="16"/>
                <w:color w:val="auto"/>
              </w:rPr>
              <w:t>Committee Member Annual Cash Retainer</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800" w:type="dxa"/>
            <w:vAlign w:val="bottom"/>
            <w:shd w:val="clear" w:color="auto" w:fill="E5E5E5"/>
          </w:tcPr>
          <w:p>
            <w:pPr>
              <w:ind w:left="380"/>
              <w:spacing w:after="0"/>
              <w:rPr>
                <w:sz w:val="20"/>
                <w:szCs w:val="20"/>
                <w:color w:val="auto"/>
              </w:rPr>
            </w:pPr>
            <w:r>
              <w:rPr>
                <w:rFonts w:ascii="Arial" w:cs="Arial" w:eastAsia="Arial" w:hAnsi="Arial"/>
                <w:sz w:val="16"/>
                <w:szCs w:val="16"/>
                <w:color w:val="auto"/>
              </w:rPr>
              <w:t>Audit</w:t>
            </w:r>
          </w:p>
        </w:tc>
        <w:tc>
          <w:tcPr>
            <w:tcW w:w="3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ind w:right="139"/>
              <w:spacing w:after="0"/>
              <w:rPr>
                <w:sz w:val="20"/>
                <w:szCs w:val="20"/>
                <w:color w:val="auto"/>
              </w:rPr>
            </w:pPr>
            <w:r>
              <w:rPr>
                <w:rFonts w:ascii="Arial" w:cs="Arial" w:eastAsia="Arial" w:hAnsi="Arial"/>
                <w:sz w:val="16"/>
                <w:szCs w:val="16"/>
                <w:color w:val="auto"/>
              </w:rPr>
              <w:t>10,000</w:t>
            </w:r>
          </w:p>
        </w:tc>
      </w:tr>
      <w:tr>
        <w:trPr>
          <w:trHeight w:val="216"/>
        </w:trPr>
        <w:tc>
          <w:tcPr>
            <w:tcW w:w="9800" w:type="dxa"/>
            <w:vAlign w:val="bottom"/>
          </w:tcPr>
          <w:p>
            <w:pPr>
              <w:ind w:left="380"/>
              <w:spacing w:after="0"/>
              <w:rPr>
                <w:sz w:val="20"/>
                <w:szCs w:val="20"/>
                <w:color w:val="auto"/>
              </w:rPr>
            </w:pPr>
            <w:r>
              <w:rPr>
                <w:rFonts w:ascii="Arial" w:cs="Arial" w:eastAsia="Arial" w:hAnsi="Arial"/>
                <w:sz w:val="16"/>
                <w:szCs w:val="16"/>
                <w:color w:val="auto"/>
              </w:rPr>
              <w:t>Compensation</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7,500</w:t>
            </w:r>
          </w:p>
        </w:tc>
      </w:tr>
      <w:tr>
        <w:trPr>
          <w:trHeight w:val="216"/>
        </w:trPr>
        <w:tc>
          <w:tcPr>
            <w:tcW w:w="9800" w:type="dxa"/>
            <w:vAlign w:val="bottom"/>
            <w:tcBorders>
              <w:bottom w:val="single" w:sz="8" w:color="E52823"/>
            </w:tcBorders>
            <w:shd w:val="clear" w:color="auto" w:fill="E5E5E5"/>
          </w:tcPr>
          <w:p>
            <w:pPr>
              <w:ind w:left="380"/>
              <w:spacing w:after="0"/>
              <w:rPr>
                <w:sz w:val="20"/>
                <w:szCs w:val="20"/>
                <w:color w:val="auto"/>
              </w:rPr>
            </w:pPr>
            <w:r>
              <w:rPr>
                <w:rFonts w:ascii="Arial" w:cs="Arial" w:eastAsia="Arial" w:hAnsi="Arial"/>
                <w:sz w:val="16"/>
                <w:szCs w:val="16"/>
                <w:color w:val="auto"/>
              </w:rPr>
              <w:t>Nominating and Governance and Other Committees</w:t>
            </w:r>
          </w:p>
        </w:tc>
        <w:tc>
          <w:tcPr>
            <w:tcW w:w="360" w:type="dxa"/>
            <w:vAlign w:val="bottom"/>
            <w:tcBorders>
              <w:bottom w:val="single" w:sz="8" w:color="E52823"/>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52823"/>
            </w:tcBorders>
            <w:shd w:val="clear" w:color="auto" w:fill="E5E5E5"/>
          </w:tcPr>
          <w:p>
            <w:pPr>
              <w:jc w:val="right"/>
              <w:ind w:right="139"/>
              <w:spacing w:after="0"/>
              <w:rPr>
                <w:sz w:val="20"/>
                <w:szCs w:val="20"/>
                <w:color w:val="auto"/>
              </w:rPr>
            </w:pPr>
            <w:r>
              <w:rPr>
                <w:rFonts w:ascii="Arial" w:cs="Arial" w:eastAsia="Arial" w:hAnsi="Arial"/>
                <w:sz w:val="16"/>
                <w:szCs w:val="16"/>
                <w:color w:val="auto"/>
              </w:rPr>
              <w:t>5,000</w:t>
            </w:r>
          </w:p>
        </w:tc>
      </w:tr>
    </w:tbl>
    <w:p>
      <w:pPr>
        <w:spacing w:after="0" w:line="177"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auto"/>
        </w:rPr>
        <w:t>In addition, each of our non-employee directors is eligible to receive an annual restricted stock unit grant with a total target value of $120,000 (the actual number of restricted stock units to be determined by dividing the target value by the fair market value of Company common stock on the date of the annual meeting of stockholders). The restricted stock units will vest on the earlier of the one-year anniversary of the grant date, death, disability or the non-employee director’s removal from the Board in connection with a change in control.</w:t>
      </w:r>
    </w:p>
    <w:p>
      <w:pPr>
        <w:spacing w:after="0" w:line="16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Our non-employee directors received a prorated annual restricted stock unit grant for their service on our Board for the remainder of the 2018 calendar year after the Spin-Off, with the number of restricted stock units based on the closing price of the Company’s common stock on a “when issued” basis on the day immediately prior to date of the Spin-Off. These restricted stock units were granted to our non-employee directors in the first quarter of 2019. As described above, these restricted stock units will vest on the earlier of the one-year anniversary of the Spin-Off date, death, disability or the non-employee director’s removal from the Board in connection with a change in control.</w:t>
      </w:r>
    </w:p>
    <w:p>
      <w:pPr>
        <w:spacing w:after="0" w:line="176" w:lineRule="exact"/>
        <w:rPr>
          <w:sz w:val="20"/>
          <w:szCs w:val="20"/>
          <w:color w:val="auto"/>
        </w:rPr>
      </w:pPr>
    </w:p>
    <w:p>
      <w:pPr>
        <w:ind w:left="120" w:right="560"/>
        <w:spacing w:after="0" w:line="260" w:lineRule="auto"/>
        <w:rPr>
          <w:sz w:val="20"/>
          <w:szCs w:val="20"/>
          <w:color w:val="auto"/>
        </w:rPr>
      </w:pPr>
      <w:r>
        <w:rPr>
          <w:rFonts w:ascii="Arial" w:cs="Arial" w:eastAsia="Arial" w:hAnsi="Arial"/>
          <w:sz w:val="16"/>
          <w:szCs w:val="16"/>
          <w:color w:val="auto"/>
        </w:rPr>
        <w:t>We also reimburse our non-employee directors for expenses incurred in connection with attending Board and committee meetings and provide our non-employee directors with business travel accident insurance.</w:t>
      </w:r>
    </w:p>
    <w:p>
      <w:pPr>
        <w:spacing w:after="0" w:line="155"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auto"/>
        </w:rPr>
        <w:t>In accordance with our 2018 Stock Plan for Non-Employee Directors, the maximum number of shares with respect to which awards may be granted to any non-employee director during any calendar year is 20,000.</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Ownership Guidelines</w:t>
      </w:r>
    </w:p>
    <w:p>
      <w:pPr>
        <w:spacing w:after="0" w:line="213"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auto"/>
        </w:rPr>
        <w:t>Under our non-employee director stock ownership guidelines, each non-employee director is required to hold a number of shares of Company common stock having a market value equal to or greater than five times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6254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58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auto"/>
        </w:rPr>
        <w:t>base cash retainer payable to the non-employee director. Until the applicable ownership guideline is achieved, each non-employee director is required to retain at least 50% of the shares acquired from Company restricted stock unit grants, other than any shares required to be sold to pay applicable taxes. Once the applicable ownership guideline is achieved, the aforementioned retention ratio will no longer apply. If a non-employee director’s share ownership subsequently falls back below the applicable ownership guideline and remains below the ownership guideline on a continuous basis for a period of more than 24 months, the non-employee director will be required to comply again with the retention ratio until such time as the non-employee director again achieves the ownership guideline.</w:t>
      </w:r>
    </w:p>
    <w:p>
      <w:pPr>
        <w:spacing w:after="0" w:line="178"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The following table sets forth information regarding the compensation earned by our non-employee directors for the year ended December 31, 2019. Mr. Rabiller, who served as our President and Chief Executive Officer during the year ended December 31, 2019, and continues to serve in that capacity, does not receive additional compensation for his service as a director, and therefore is not included in the Director Compensation table below. All compensation paid to Mr. Rabiller is reported in the Summary Compensation Table included under “Executive Compensation.”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2019 Director Compensation Table</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1380" w:type="dxa"/>
            <w:vAlign w:val="bottom"/>
          </w:tcPr>
          <w:p>
            <w:pPr>
              <w:spacing w:after="0"/>
              <w:rPr>
                <w:sz w:val="14"/>
                <w:szCs w:val="14"/>
                <w:color w:val="auto"/>
              </w:rPr>
            </w:pPr>
          </w:p>
        </w:tc>
      </w:tr>
      <w:tr>
        <w:trPr>
          <w:trHeight w:val="155"/>
        </w:trPr>
        <w:tc>
          <w:tcPr>
            <w:tcW w:w="4200" w:type="dxa"/>
            <w:vAlign w:val="bottom"/>
          </w:tcPr>
          <w:p>
            <w:pPr>
              <w:spacing w:after="0"/>
              <w:rPr>
                <w:sz w:val="13"/>
                <w:szCs w:val="13"/>
                <w:color w:val="auto"/>
              </w:rPr>
            </w:pPr>
          </w:p>
        </w:tc>
        <w:tc>
          <w:tcPr>
            <w:tcW w:w="2100" w:type="dxa"/>
            <w:vAlign w:val="bottom"/>
          </w:tcPr>
          <w:p>
            <w:pPr>
              <w:jc w:val="right"/>
              <w:ind w:right="242"/>
              <w:spacing w:after="0" w:line="155" w:lineRule="exact"/>
              <w:rPr>
                <w:sz w:val="20"/>
                <w:szCs w:val="20"/>
                <w:color w:val="auto"/>
              </w:rPr>
            </w:pPr>
            <w:r>
              <w:rPr>
                <w:rFonts w:ascii="Arial" w:cs="Arial" w:eastAsia="Arial" w:hAnsi="Arial"/>
                <w:sz w:val="14"/>
                <w:szCs w:val="14"/>
                <w:color w:val="auto"/>
              </w:rPr>
              <w:t>Fees Earned or Paid in</w:t>
            </w:r>
          </w:p>
        </w:tc>
        <w:tc>
          <w:tcPr>
            <w:tcW w:w="1600" w:type="dxa"/>
            <w:vAlign w:val="bottom"/>
          </w:tcPr>
          <w:p>
            <w:pPr>
              <w:jc w:val="right"/>
              <w:ind w:right="302"/>
              <w:spacing w:after="0" w:line="155" w:lineRule="exact"/>
              <w:rPr>
                <w:sz w:val="20"/>
                <w:szCs w:val="20"/>
                <w:color w:val="auto"/>
              </w:rPr>
            </w:pPr>
            <w:r>
              <w:rPr>
                <w:rFonts w:ascii="Arial" w:cs="Arial" w:eastAsia="Arial" w:hAnsi="Arial"/>
                <w:sz w:val="14"/>
                <w:szCs w:val="14"/>
                <w:color w:val="auto"/>
              </w:rPr>
              <w:t>Stock Awards</w:t>
            </w:r>
          </w:p>
        </w:tc>
        <w:tc>
          <w:tcPr>
            <w:tcW w:w="1740" w:type="dxa"/>
            <w:vAlign w:val="bottom"/>
          </w:tcPr>
          <w:p>
            <w:pPr>
              <w:jc w:val="center"/>
              <w:spacing w:after="0" w:line="155" w:lineRule="exact"/>
              <w:rPr>
                <w:sz w:val="20"/>
                <w:szCs w:val="20"/>
                <w:color w:val="auto"/>
              </w:rPr>
            </w:pPr>
            <w:r>
              <w:rPr>
                <w:rFonts w:ascii="Arial" w:cs="Arial" w:eastAsia="Arial" w:hAnsi="Arial"/>
                <w:sz w:val="14"/>
                <w:szCs w:val="14"/>
                <w:color w:val="auto"/>
              </w:rPr>
              <w:t>Compensation</w:t>
            </w:r>
          </w:p>
        </w:tc>
        <w:tc>
          <w:tcPr>
            <w:tcW w:w="1380" w:type="dxa"/>
            <w:vAlign w:val="bottom"/>
          </w:tcPr>
          <w:p>
            <w:pPr>
              <w:spacing w:after="0"/>
              <w:rPr>
                <w:sz w:val="13"/>
                <w:szCs w:val="13"/>
                <w:color w:val="auto"/>
              </w:rPr>
            </w:pPr>
          </w:p>
        </w:tc>
      </w:tr>
      <w:tr>
        <w:trPr>
          <w:trHeight w:val="185"/>
        </w:trPr>
        <w:tc>
          <w:tcPr>
            <w:tcW w:w="4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w:t>
            </w:r>
          </w:p>
        </w:tc>
        <w:tc>
          <w:tcPr>
            <w:tcW w:w="2100" w:type="dxa"/>
            <w:vAlign w:val="bottom"/>
            <w:tcBorders>
              <w:bottom w:val="single" w:sz="8" w:color="auto"/>
            </w:tcBorders>
          </w:tcPr>
          <w:p>
            <w:pPr>
              <w:jc w:val="right"/>
              <w:ind w:right="622"/>
              <w:spacing w:after="0" w:line="178" w:lineRule="exact"/>
              <w:rPr>
                <w:sz w:val="20"/>
                <w:szCs w:val="20"/>
                <w:color w:val="auto"/>
              </w:rPr>
            </w:pPr>
            <w:r>
              <w:rPr>
                <w:rFonts w:ascii="Arial" w:cs="Arial" w:eastAsia="Arial" w:hAnsi="Arial"/>
                <w:sz w:val="12"/>
                <w:szCs w:val="12"/>
                <w:color w:val="auto"/>
              </w:rPr>
              <w:t>Cash ($)</w:t>
            </w:r>
            <w:r>
              <w:rPr>
                <w:rFonts w:ascii="Arial" w:cs="Arial" w:eastAsia="Arial" w:hAnsi="Arial"/>
                <w:sz w:val="20"/>
                <w:szCs w:val="20"/>
                <w:color w:val="auto"/>
                <w:vertAlign w:val="superscript"/>
              </w:rPr>
              <w:t>(1)</w:t>
            </w:r>
          </w:p>
        </w:tc>
        <w:tc>
          <w:tcPr>
            <w:tcW w:w="1600" w:type="dxa"/>
            <w:vAlign w:val="bottom"/>
            <w:tcBorders>
              <w:bottom w:val="single" w:sz="8" w:color="auto"/>
            </w:tcBorders>
          </w:tcPr>
          <w:p>
            <w:pPr>
              <w:jc w:val="right"/>
              <w:ind w:right="582"/>
              <w:spacing w:after="0" w:line="178"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perscript"/>
              </w:rPr>
              <w:t>(2)</w:t>
            </w:r>
          </w:p>
        </w:tc>
        <w:tc>
          <w:tcPr>
            <w:tcW w:w="174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0"/>
                <w:szCs w:val="10"/>
                <w:color w:val="auto"/>
              </w:rPr>
              <w:t>(3)</w:t>
            </w: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Total ($)</w:t>
            </w:r>
          </w:p>
        </w:tc>
      </w:tr>
      <w:tr>
        <w:trPr>
          <w:trHeight w:val="202"/>
        </w:trPr>
        <w:tc>
          <w:tcPr>
            <w:tcW w:w="4200" w:type="dxa"/>
            <w:vAlign w:val="bottom"/>
            <w:shd w:val="clear" w:color="auto" w:fill="E5E5E5"/>
          </w:tcPr>
          <w:p>
            <w:pPr>
              <w:ind w:left="80"/>
              <w:spacing w:after="0"/>
              <w:rPr>
                <w:sz w:val="20"/>
                <w:szCs w:val="20"/>
                <w:color w:val="auto"/>
              </w:rPr>
            </w:pPr>
            <w:r>
              <w:rPr>
                <w:rFonts w:ascii="Arial" w:cs="Arial" w:eastAsia="Arial" w:hAnsi="Arial"/>
                <w:sz w:val="16"/>
                <w:szCs w:val="16"/>
                <w:color w:val="auto"/>
              </w:rPr>
              <w:t>Carlos M. Cardoso</w:t>
            </w:r>
          </w:p>
        </w:tc>
        <w:tc>
          <w:tcPr>
            <w:tcW w:w="210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202,500</w:t>
            </w:r>
          </w:p>
        </w:tc>
        <w:tc>
          <w:tcPr>
            <w:tcW w:w="16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146,449</w:t>
            </w:r>
          </w:p>
        </w:tc>
        <w:tc>
          <w:tcPr>
            <w:tcW w:w="1740" w:type="dxa"/>
            <w:vAlign w:val="bottom"/>
            <w:shd w:val="clear" w:color="auto" w:fill="E5E5E5"/>
          </w:tcPr>
          <w:p>
            <w:pPr>
              <w:jc w:val="right"/>
              <w:ind w:right="3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ind w:left="400"/>
              <w:spacing w:after="0"/>
              <w:rPr>
                <w:sz w:val="20"/>
                <w:szCs w:val="20"/>
                <w:color w:val="auto"/>
              </w:rPr>
            </w:pPr>
            <w:r>
              <w:rPr>
                <w:rFonts w:ascii="Arial" w:cs="Arial" w:eastAsia="Arial" w:hAnsi="Arial"/>
                <w:sz w:val="16"/>
                <w:szCs w:val="16"/>
                <w:color w:val="auto"/>
              </w:rPr>
              <w:t>348,949</w:t>
            </w:r>
          </w:p>
        </w:tc>
      </w:tr>
      <w:tr>
        <w:trPr>
          <w:trHeight w:val="216"/>
        </w:trPr>
        <w:tc>
          <w:tcPr>
            <w:tcW w:w="4200" w:type="dxa"/>
            <w:vAlign w:val="bottom"/>
          </w:tcPr>
          <w:p>
            <w:pPr>
              <w:ind w:left="80"/>
              <w:spacing w:after="0"/>
              <w:rPr>
                <w:sz w:val="20"/>
                <w:szCs w:val="20"/>
                <w:color w:val="auto"/>
              </w:rPr>
            </w:pPr>
            <w:r>
              <w:rPr>
                <w:rFonts w:ascii="Arial" w:cs="Arial" w:eastAsia="Arial" w:hAnsi="Arial"/>
                <w:sz w:val="16"/>
                <w:szCs w:val="16"/>
                <w:color w:val="auto"/>
              </w:rPr>
              <w:t>Maura J. Clark</w:t>
            </w:r>
          </w:p>
        </w:tc>
        <w:tc>
          <w:tcPr>
            <w:tcW w:w="2100" w:type="dxa"/>
            <w:vAlign w:val="bottom"/>
          </w:tcPr>
          <w:p>
            <w:pPr>
              <w:jc w:val="right"/>
              <w:ind w:right="242"/>
              <w:spacing w:after="0"/>
              <w:rPr>
                <w:sz w:val="20"/>
                <w:szCs w:val="20"/>
                <w:color w:val="auto"/>
              </w:rPr>
            </w:pPr>
            <w:r>
              <w:rPr>
                <w:rFonts w:ascii="Arial" w:cs="Arial" w:eastAsia="Arial" w:hAnsi="Arial"/>
                <w:sz w:val="16"/>
                <w:szCs w:val="16"/>
                <w:color w:val="auto"/>
              </w:rPr>
              <w:t>102,500</w:t>
            </w:r>
          </w:p>
        </w:tc>
        <w:tc>
          <w:tcPr>
            <w:tcW w:w="1600" w:type="dxa"/>
            <w:vAlign w:val="bottom"/>
          </w:tcPr>
          <w:p>
            <w:pPr>
              <w:jc w:val="right"/>
              <w:ind w:right="302"/>
              <w:spacing w:after="0"/>
              <w:rPr>
                <w:sz w:val="20"/>
                <w:szCs w:val="20"/>
                <w:color w:val="auto"/>
              </w:rPr>
            </w:pPr>
            <w:r>
              <w:rPr>
                <w:rFonts w:ascii="Arial" w:cs="Arial" w:eastAsia="Arial" w:hAnsi="Arial"/>
                <w:sz w:val="16"/>
                <w:szCs w:val="16"/>
                <w:color w:val="auto"/>
              </w:rPr>
              <w:t>146,449</w:t>
            </w:r>
          </w:p>
        </w:tc>
        <w:tc>
          <w:tcPr>
            <w:tcW w:w="1740" w:type="dxa"/>
            <w:vAlign w:val="bottom"/>
          </w:tcPr>
          <w:p>
            <w:pPr>
              <w:jc w:val="right"/>
              <w:ind w:right="344"/>
              <w:spacing w:after="0"/>
              <w:rPr>
                <w:sz w:val="20"/>
                <w:szCs w:val="20"/>
                <w:color w:val="auto"/>
              </w:rPr>
            </w:pPr>
            <w:r>
              <w:rPr>
                <w:rFonts w:ascii="Arial" w:cs="Arial" w:eastAsia="Arial" w:hAnsi="Arial"/>
                <w:sz w:val="16"/>
                <w:szCs w:val="16"/>
                <w:color w:val="auto"/>
              </w:rPr>
              <w:t>—</w:t>
            </w:r>
          </w:p>
        </w:tc>
        <w:tc>
          <w:tcPr>
            <w:tcW w:w="1380" w:type="dxa"/>
            <w:vAlign w:val="bottom"/>
          </w:tcPr>
          <w:p>
            <w:pPr>
              <w:ind w:left="400"/>
              <w:spacing w:after="0"/>
              <w:rPr>
                <w:sz w:val="20"/>
                <w:szCs w:val="20"/>
                <w:color w:val="auto"/>
              </w:rPr>
            </w:pPr>
            <w:r>
              <w:rPr>
                <w:rFonts w:ascii="Arial" w:cs="Arial" w:eastAsia="Arial" w:hAnsi="Arial"/>
                <w:sz w:val="16"/>
                <w:szCs w:val="16"/>
                <w:color w:val="auto"/>
              </w:rPr>
              <w:t>248,949</w:t>
            </w:r>
          </w:p>
        </w:tc>
      </w:tr>
      <w:tr>
        <w:trPr>
          <w:trHeight w:val="216"/>
        </w:trPr>
        <w:tc>
          <w:tcPr>
            <w:tcW w:w="4200" w:type="dxa"/>
            <w:vAlign w:val="bottom"/>
            <w:shd w:val="clear" w:color="auto" w:fill="E5E5E5"/>
          </w:tcPr>
          <w:p>
            <w:pPr>
              <w:ind w:left="80"/>
              <w:spacing w:after="0"/>
              <w:rPr>
                <w:sz w:val="20"/>
                <w:szCs w:val="20"/>
                <w:color w:val="auto"/>
              </w:rPr>
            </w:pPr>
            <w:r>
              <w:rPr>
                <w:rFonts w:ascii="Arial" w:cs="Arial" w:eastAsia="Arial" w:hAnsi="Arial"/>
                <w:sz w:val="16"/>
                <w:szCs w:val="16"/>
                <w:color w:val="auto"/>
              </w:rPr>
              <w:t>Courtney M. Enghauser</w:t>
            </w:r>
          </w:p>
        </w:tc>
        <w:tc>
          <w:tcPr>
            <w:tcW w:w="210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95,000</w:t>
            </w:r>
          </w:p>
        </w:tc>
        <w:tc>
          <w:tcPr>
            <w:tcW w:w="16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146,449</w:t>
            </w:r>
          </w:p>
        </w:tc>
        <w:tc>
          <w:tcPr>
            <w:tcW w:w="1740" w:type="dxa"/>
            <w:vAlign w:val="bottom"/>
            <w:shd w:val="clear" w:color="auto" w:fill="E5E5E5"/>
          </w:tcPr>
          <w:p>
            <w:pPr>
              <w:jc w:val="right"/>
              <w:ind w:right="3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ind w:left="400"/>
              <w:spacing w:after="0"/>
              <w:rPr>
                <w:sz w:val="20"/>
                <w:szCs w:val="20"/>
                <w:color w:val="auto"/>
              </w:rPr>
            </w:pPr>
            <w:r>
              <w:rPr>
                <w:rFonts w:ascii="Arial" w:cs="Arial" w:eastAsia="Arial" w:hAnsi="Arial"/>
                <w:sz w:val="16"/>
                <w:szCs w:val="16"/>
                <w:color w:val="auto"/>
              </w:rPr>
              <w:t>241,449</w:t>
            </w:r>
          </w:p>
        </w:tc>
      </w:tr>
      <w:tr>
        <w:trPr>
          <w:trHeight w:val="216"/>
        </w:trPr>
        <w:tc>
          <w:tcPr>
            <w:tcW w:w="4200" w:type="dxa"/>
            <w:vAlign w:val="bottom"/>
          </w:tcPr>
          <w:p>
            <w:pPr>
              <w:ind w:left="80"/>
              <w:spacing w:after="0"/>
              <w:rPr>
                <w:sz w:val="20"/>
                <w:szCs w:val="20"/>
                <w:color w:val="auto"/>
              </w:rPr>
            </w:pPr>
            <w:r>
              <w:rPr>
                <w:rFonts w:ascii="Arial" w:cs="Arial" w:eastAsia="Arial" w:hAnsi="Arial"/>
                <w:sz w:val="16"/>
                <w:szCs w:val="16"/>
                <w:color w:val="auto"/>
              </w:rPr>
              <w:t>Susan L. Main</w:t>
            </w:r>
          </w:p>
        </w:tc>
        <w:tc>
          <w:tcPr>
            <w:tcW w:w="2100" w:type="dxa"/>
            <w:vAlign w:val="bottom"/>
          </w:tcPr>
          <w:p>
            <w:pPr>
              <w:jc w:val="right"/>
              <w:ind w:right="242"/>
              <w:spacing w:after="0"/>
              <w:rPr>
                <w:sz w:val="20"/>
                <w:szCs w:val="20"/>
                <w:color w:val="auto"/>
              </w:rPr>
            </w:pPr>
            <w:r>
              <w:rPr>
                <w:rFonts w:ascii="Arial" w:cs="Arial" w:eastAsia="Arial" w:hAnsi="Arial"/>
                <w:sz w:val="16"/>
                <w:szCs w:val="16"/>
                <w:color w:val="auto"/>
              </w:rPr>
              <w:t>95,000</w:t>
            </w:r>
          </w:p>
        </w:tc>
        <w:tc>
          <w:tcPr>
            <w:tcW w:w="1600" w:type="dxa"/>
            <w:vAlign w:val="bottom"/>
          </w:tcPr>
          <w:p>
            <w:pPr>
              <w:jc w:val="right"/>
              <w:ind w:right="302"/>
              <w:spacing w:after="0"/>
              <w:rPr>
                <w:sz w:val="20"/>
                <w:szCs w:val="20"/>
                <w:color w:val="auto"/>
              </w:rPr>
            </w:pPr>
            <w:r>
              <w:rPr>
                <w:rFonts w:ascii="Arial" w:cs="Arial" w:eastAsia="Arial" w:hAnsi="Arial"/>
                <w:sz w:val="16"/>
                <w:szCs w:val="16"/>
                <w:color w:val="auto"/>
              </w:rPr>
              <w:t>146,449</w:t>
            </w:r>
          </w:p>
        </w:tc>
        <w:tc>
          <w:tcPr>
            <w:tcW w:w="1740" w:type="dxa"/>
            <w:vAlign w:val="bottom"/>
          </w:tcPr>
          <w:p>
            <w:pPr>
              <w:jc w:val="right"/>
              <w:ind w:right="344"/>
              <w:spacing w:after="0"/>
              <w:rPr>
                <w:sz w:val="20"/>
                <w:szCs w:val="20"/>
                <w:color w:val="auto"/>
              </w:rPr>
            </w:pPr>
            <w:r>
              <w:rPr>
                <w:rFonts w:ascii="Arial" w:cs="Arial" w:eastAsia="Arial" w:hAnsi="Arial"/>
                <w:sz w:val="16"/>
                <w:szCs w:val="16"/>
                <w:color w:val="auto"/>
              </w:rPr>
              <w:t>—</w:t>
            </w:r>
          </w:p>
        </w:tc>
        <w:tc>
          <w:tcPr>
            <w:tcW w:w="1380" w:type="dxa"/>
            <w:vAlign w:val="bottom"/>
          </w:tcPr>
          <w:p>
            <w:pPr>
              <w:ind w:left="400"/>
              <w:spacing w:after="0"/>
              <w:rPr>
                <w:sz w:val="20"/>
                <w:szCs w:val="20"/>
                <w:color w:val="auto"/>
              </w:rPr>
            </w:pPr>
            <w:r>
              <w:rPr>
                <w:rFonts w:ascii="Arial" w:cs="Arial" w:eastAsia="Arial" w:hAnsi="Arial"/>
                <w:sz w:val="16"/>
                <w:szCs w:val="16"/>
                <w:color w:val="auto"/>
              </w:rPr>
              <w:t>241,449</w:t>
            </w:r>
          </w:p>
        </w:tc>
      </w:tr>
      <w:tr>
        <w:trPr>
          <w:trHeight w:val="216"/>
        </w:trPr>
        <w:tc>
          <w:tcPr>
            <w:tcW w:w="4200" w:type="dxa"/>
            <w:vAlign w:val="bottom"/>
            <w:shd w:val="clear" w:color="auto" w:fill="E5E5E5"/>
          </w:tcPr>
          <w:p>
            <w:pPr>
              <w:ind w:left="80"/>
              <w:spacing w:after="0"/>
              <w:rPr>
                <w:sz w:val="20"/>
                <w:szCs w:val="20"/>
                <w:color w:val="auto"/>
              </w:rPr>
            </w:pPr>
            <w:r>
              <w:rPr>
                <w:rFonts w:ascii="Arial" w:cs="Arial" w:eastAsia="Arial" w:hAnsi="Arial"/>
                <w:sz w:val="16"/>
                <w:szCs w:val="16"/>
                <w:color w:val="auto"/>
              </w:rPr>
              <w:t>Carsten J. Reinhardt</w:t>
            </w:r>
          </w:p>
        </w:tc>
        <w:tc>
          <w:tcPr>
            <w:tcW w:w="210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rPr>
              <w:t>95,000</w:t>
            </w:r>
          </w:p>
        </w:tc>
        <w:tc>
          <w:tcPr>
            <w:tcW w:w="16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146,449</w:t>
            </w:r>
          </w:p>
        </w:tc>
        <w:tc>
          <w:tcPr>
            <w:tcW w:w="1740" w:type="dxa"/>
            <w:vAlign w:val="bottom"/>
            <w:shd w:val="clear" w:color="auto" w:fill="E5E5E5"/>
          </w:tcPr>
          <w:p>
            <w:pPr>
              <w:jc w:val="right"/>
              <w:ind w:right="344"/>
              <w:spacing w:after="0"/>
              <w:rPr>
                <w:sz w:val="20"/>
                <w:szCs w:val="20"/>
                <w:color w:val="auto"/>
              </w:rPr>
            </w:pPr>
            <w:r>
              <w:rPr>
                <w:rFonts w:ascii="Arial" w:cs="Arial" w:eastAsia="Arial" w:hAnsi="Arial"/>
                <w:sz w:val="16"/>
                <w:szCs w:val="16"/>
                <w:color w:val="auto"/>
              </w:rPr>
              <w:t>4,400</w:t>
            </w:r>
          </w:p>
        </w:tc>
        <w:tc>
          <w:tcPr>
            <w:tcW w:w="1380" w:type="dxa"/>
            <w:vAlign w:val="bottom"/>
            <w:shd w:val="clear" w:color="auto" w:fill="E5E5E5"/>
          </w:tcPr>
          <w:p>
            <w:pPr>
              <w:ind w:left="400"/>
              <w:spacing w:after="0"/>
              <w:rPr>
                <w:sz w:val="20"/>
                <w:szCs w:val="20"/>
                <w:color w:val="auto"/>
              </w:rPr>
            </w:pPr>
            <w:r>
              <w:rPr>
                <w:rFonts w:ascii="Arial" w:cs="Arial" w:eastAsia="Arial" w:hAnsi="Arial"/>
                <w:sz w:val="16"/>
                <w:szCs w:val="16"/>
                <w:color w:val="auto"/>
              </w:rPr>
              <w:t>245,849</w:t>
            </w:r>
          </w:p>
        </w:tc>
      </w:tr>
      <w:tr>
        <w:trPr>
          <w:trHeight w:val="216"/>
        </w:trPr>
        <w:tc>
          <w:tcPr>
            <w:tcW w:w="4200" w:type="dxa"/>
            <w:vAlign w:val="bottom"/>
            <w:tcBorders>
              <w:bottom w:val="single" w:sz="8" w:color="E52823"/>
            </w:tcBorders>
          </w:tcPr>
          <w:p>
            <w:pPr>
              <w:ind w:left="80"/>
              <w:spacing w:after="0"/>
              <w:rPr>
                <w:sz w:val="20"/>
                <w:szCs w:val="20"/>
                <w:color w:val="auto"/>
              </w:rPr>
            </w:pPr>
            <w:r>
              <w:rPr>
                <w:rFonts w:ascii="Arial" w:cs="Arial" w:eastAsia="Arial" w:hAnsi="Arial"/>
                <w:sz w:val="16"/>
                <w:szCs w:val="16"/>
                <w:color w:val="auto"/>
              </w:rPr>
              <w:t>Scott A. Tozier</w:t>
            </w:r>
          </w:p>
        </w:tc>
        <w:tc>
          <w:tcPr>
            <w:tcW w:w="2100" w:type="dxa"/>
            <w:vAlign w:val="bottom"/>
            <w:tcBorders>
              <w:bottom w:val="single" w:sz="8" w:color="E52823"/>
            </w:tcBorders>
          </w:tcPr>
          <w:p>
            <w:pPr>
              <w:jc w:val="right"/>
              <w:ind w:right="242"/>
              <w:spacing w:after="0"/>
              <w:rPr>
                <w:sz w:val="20"/>
                <w:szCs w:val="20"/>
                <w:color w:val="auto"/>
              </w:rPr>
            </w:pPr>
            <w:r>
              <w:rPr>
                <w:rFonts w:ascii="Arial" w:cs="Arial" w:eastAsia="Arial" w:hAnsi="Arial"/>
                <w:sz w:val="16"/>
                <w:szCs w:val="16"/>
                <w:color w:val="auto"/>
              </w:rPr>
              <w:t>107,500</w:t>
            </w:r>
          </w:p>
        </w:tc>
        <w:tc>
          <w:tcPr>
            <w:tcW w:w="1600" w:type="dxa"/>
            <w:vAlign w:val="bottom"/>
            <w:tcBorders>
              <w:bottom w:val="single" w:sz="8" w:color="E52823"/>
            </w:tcBorders>
          </w:tcPr>
          <w:p>
            <w:pPr>
              <w:jc w:val="right"/>
              <w:ind w:right="302"/>
              <w:spacing w:after="0"/>
              <w:rPr>
                <w:sz w:val="20"/>
                <w:szCs w:val="20"/>
                <w:color w:val="auto"/>
              </w:rPr>
            </w:pPr>
            <w:r>
              <w:rPr>
                <w:rFonts w:ascii="Arial" w:cs="Arial" w:eastAsia="Arial" w:hAnsi="Arial"/>
                <w:sz w:val="16"/>
                <w:szCs w:val="16"/>
                <w:color w:val="auto"/>
              </w:rPr>
              <w:t>146,449</w:t>
            </w:r>
          </w:p>
        </w:tc>
        <w:tc>
          <w:tcPr>
            <w:tcW w:w="1740" w:type="dxa"/>
            <w:vAlign w:val="bottom"/>
            <w:tcBorders>
              <w:bottom w:val="single" w:sz="8" w:color="E52823"/>
            </w:tcBorders>
          </w:tcPr>
          <w:p>
            <w:pPr>
              <w:jc w:val="right"/>
              <w:ind w:right="344"/>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52823"/>
            </w:tcBorders>
          </w:tcPr>
          <w:p>
            <w:pPr>
              <w:ind w:left="400"/>
              <w:spacing w:after="0"/>
              <w:rPr>
                <w:sz w:val="20"/>
                <w:szCs w:val="20"/>
                <w:color w:val="auto"/>
              </w:rPr>
            </w:pPr>
            <w:r>
              <w:rPr>
                <w:rFonts w:ascii="Arial" w:cs="Arial" w:eastAsia="Arial" w:hAnsi="Arial"/>
                <w:sz w:val="16"/>
                <w:szCs w:val="16"/>
                <w:color w:val="auto"/>
              </w:rPr>
              <w:t>253,949</w:t>
            </w:r>
          </w:p>
        </w:tc>
      </w:tr>
    </w:tbl>
    <w:p>
      <w:pPr>
        <w:spacing w:after="0" w:line="75"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Reflects cash retainer fees earned by our directors in 2019.</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As of December 31, 2019, Messrs. Cardoso, Reinhardt and Tozier, and Mses. Clark, Enghauser and Main, each held 7,555 RSUs.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 for Mr. Reinhardt represents reimbursement of tax planning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59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SECURITY OWNERSHIP OF CERTAIN BENEFICIAL OWNERS AND MANAGEMENT</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regarding beneficial ownership of our common stock as of April 3, 2020, by:</w:t>
      </w:r>
    </w:p>
    <w:p>
      <w:pPr>
        <w:spacing w:after="0" w:line="86" w:lineRule="exact"/>
        <w:rPr>
          <w:sz w:val="20"/>
          <w:szCs w:val="20"/>
          <w:color w:val="auto"/>
        </w:rPr>
      </w:pPr>
    </w:p>
    <w:p>
      <w:pPr>
        <w:ind w:left="340" w:right="60" w:hanging="224"/>
        <w:spacing w:after="0" w:line="260" w:lineRule="auto"/>
        <w:tabs>
          <w:tab w:leader="none" w:pos="340" w:val="left"/>
        </w:tabs>
        <w:numPr>
          <w:ilvl w:val="0"/>
          <w:numId w:val="55"/>
        </w:numPr>
        <w:rPr>
          <w:rFonts w:ascii="Arial" w:cs="Arial" w:eastAsia="Arial" w:hAnsi="Arial"/>
          <w:sz w:val="16"/>
          <w:szCs w:val="16"/>
          <w:color w:val="E52823"/>
        </w:rPr>
      </w:pPr>
      <w:r>
        <w:rPr>
          <w:rFonts w:ascii="Arial" w:cs="Arial" w:eastAsia="Arial" w:hAnsi="Arial"/>
          <w:sz w:val="16"/>
          <w:szCs w:val="16"/>
          <w:color w:val="auto"/>
        </w:rPr>
        <w:t>each person, or group of affiliated persons, known to us to be the beneficial owner of more than 5% of the outstanding shares of our common stock as of such date based on currently available Schedules 13D and 13G filed with the SEC;</w:t>
      </w:r>
    </w:p>
    <w:p>
      <w:pPr>
        <w:spacing w:after="0" w:line="60" w:lineRule="exact"/>
        <w:rPr>
          <w:rFonts w:ascii="Arial" w:cs="Arial" w:eastAsia="Arial" w:hAnsi="Arial"/>
          <w:sz w:val="16"/>
          <w:szCs w:val="16"/>
          <w:color w:val="E52823"/>
        </w:rPr>
      </w:pPr>
    </w:p>
    <w:p>
      <w:pPr>
        <w:ind w:left="340" w:hanging="224"/>
        <w:spacing w:after="0"/>
        <w:tabs>
          <w:tab w:leader="none" w:pos="340" w:val="left"/>
        </w:tabs>
        <w:numPr>
          <w:ilvl w:val="0"/>
          <w:numId w:val="55"/>
        </w:numPr>
        <w:rPr>
          <w:rFonts w:ascii="Arial" w:cs="Arial" w:eastAsia="Arial" w:hAnsi="Arial"/>
          <w:sz w:val="16"/>
          <w:szCs w:val="16"/>
          <w:color w:val="E52823"/>
        </w:rPr>
      </w:pPr>
      <w:r>
        <w:rPr>
          <w:rFonts w:ascii="Arial" w:cs="Arial" w:eastAsia="Arial" w:hAnsi="Arial"/>
          <w:sz w:val="16"/>
          <w:szCs w:val="16"/>
          <w:color w:val="auto"/>
        </w:rPr>
        <w:t>each of our directors (which includes all nominees);</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55"/>
        </w:numPr>
        <w:rPr>
          <w:rFonts w:ascii="Arial" w:cs="Arial" w:eastAsia="Arial" w:hAnsi="Arial"/>
          <w:sz w:val="16"/>
          <w:szCs w:val="16"/>
          <w:color w:val="E52823"/>
        </w:rPr>
      </w:pPr>
      <w:r>
        <w:rPr>
          <w:rFonts w:ascii="Arial" w:cs="Arial" w:eastAsia="Arial" w:hAnsi="Arial"/>
          <w:sz w:val="16"/>
          <w:szCs w:val="16"/>
          <w:color w:val="auto"/>
        </w:rPr>
        <w:t>our named executive officers; and</w:t>
      </w:r>
    </w:p>
    <w:p>
      <w:pPr>
        <w:spacing w:after="0" w:line="86" w:lineRule="exact"/>
        <w:rPr>
          <w:rFonts w:ascii="Arial" w:cs="Arial" w:eastAsia="Arial" w:hAnsi="Arial"/>
          <w:sz w:val="16"/>
          <w:szCs w:val="16"/>
          <w:color w:val="E52823"/>
        </w:rPr>
      </w:pPr>
    </w:p>
    <w:p>
      <w:pPr>
        <w:ind w:left="340" w:hanging="224"/>
        <w:spacing w:after="0"/>
        <w:tabs>
          <w:tab w:leader="none" w:pos="340" w:val="left"/>
        </w:tabs>
        <w:numPr>
          <w:ilvl w:val="0"/>
          <w:numId w:val="55"/>
        </w:numPr>
        <w:rPr>
          <w:rFonts w:ascii="Arial" w:cs="Arial" w:eastAsia="Arial" w:hAnsi="Arial"/>
          <w:sz w:val="16"/>
          <w:szCs w:val="16"/>
          <w:color w:val="E52823"/>
        </w:rPr>
      </w:pPr>
      <w:r>
        <w:rPr>
          <w:rFonts w:ascii="Arial" w:cs="Arial" w:eastAsia="Arial" w:hAnsi="Arial"/>
          <w:sz w:val="16"/>
          <w:szCs w:val="16"/>
          <w:color w:val="auto"/>
        </w:rPr>
        <w:t>all of our directors and executive officers as a group.</w:t>
      </w:r>
    </w:p>
    <w:p>
      <w:pPr>
        <w:spacing w:after="0" w:line="181"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Shares of our common stock issuable under restricted stock units that will vest, and stock options that will be exercisable, on or before June 2, 2020, are deemed beneficially owned for computing the percentage ownership of the person holding the options, but are not deemed outstanding for computing the percentage ownership of any other person. Unless otherwise indicated, to our knowledge, all persons named in the table have sole voting and investment power with respect to their shares of common stock, except to the extent authority is shared by spouses under community property laws. Unless otherwise indicated, the address of all directors and executive officers is La Pièce 16, Rolle, Switzerland 1180. The inclusion of any shares deemed beneficially owned in this table does not constitute an admission of beneficial ownership of those shares.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3040" w:type="dxa"/>
            <w:vAlign w:val="bottom"/>
          </w:tcPr>
          <w:p>
            <w:pPr>
              <w:ind w:left="1400"/>
              <w:spacing w:after="0"/>
              <w:rPr>
                <w:sz w:val="20"/>
                <w:szCs w:val="20"/>
                <w:color w:val="auto"/>
              </w:rPr>
            </w:pPr>
            <w:r>
              <w:rPr>
                <w:rFonts w:ascii="Arial" w:cs="Arial" w:eastAsia="Arial" w:hAnsi="Arial"/>
                <w:sz w:val="14"/>
                <w:szCs w:val="14"/>
                <w:color w:val="auto"/>
              </w:rPr>
              <w:t>Total Number</w:t>
            </w:r>
          </w:p>
        </w:tc>
        <w:tc>
          <w:tcPr>
            <w:tcW w:w="2100" w:type="dxa"/>
            <w:vAlign w:val="bottom"/>
          </w:tcPr>
          <w:p>
            <w:pPr>
              <w:jc w:val="right"/>
              <w:ind w:right="225"/>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3040" w:type="dxa"/>
            <w:vAlign w:val="bottom"/>
          </w:tcPr>
          <w:p>
            <w:pPr>
              <w:ind w:left="1500"/>
              <w:spacing w:after="0" w:line="155" w:lineRule="exact"/>
              <w:rPr>
                <w:sz w:val="20"/>
                <w:szCs w:val="20"/>
                <w:color w:val="auto"/>
              </w:rPr>
            </w:pPr>
            <w:r>
              <w:rPr>
                <w:rFonts w:ascii="Arial" w:cs="Arial" w:eastAsia="Arial" w:hAnsi="Arial"/>
                <w:sz w:val="14"/>
                <w:szCs w:val="14"/>
                <w:color w:val="auto"/>
              </w:rPr>
              <w:t>of Shares</w:t>
            </w:r>
          </w:p>
        </w:tc>
        <w:tc>
          <w:tcPr>
            <w:tcW w:w="2100" w:type="dxa"/>
            <w:vAlign w:val="bottom"/>
          </w:tcPr>
          <w:p>
            <w:pPr>
              <w:jc w:val="right"/>
              <w:ind w:right="185"/>
              <w:spacing w:after="0" w:line="155" w:lineRule="exact"/>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172"/>
        </w:trPr>
        <w:tc>
          <w:tcPr>
            <w:tcW w:w="58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 and Address of Beneficial Owner</w:t>
            </w:r>
          </w:p>
        </w:tc>
        <w:tc>
          <w:tcPr>
            <w:tcW w:w="304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Beneficially Owned</w:t>
            </w:r>
          </w:p>
        </w:tc>
        <w:tc>
          <w:tcPr>
            <w:tcW w:w="2100" w:type="dxa"/>
            <w:vAlign w:val="bottom"/>
            <w:tcBorders>
              <w:bottom w:val="single" w:sz="8" w:color="auto"/>
            </w:tcBorders>
          </w:tcPr>
          <w:p>
            <w:pPr>
              <w:jc w:val="right"/>
              <w:ind w:right="65"/>
              <w:spacing w:after="0" w:line="164" w:lineRule="exact"/>
              <w:rPr>
                <w:sz w:val="20"/>
                <w:szCs w:val="20"/>
                <w:color w:val="auto"/>
              </w:rPr>
            </w:pPr>
            <w:r>
              <w:rPr>
                <w:rFonts w:ascii="Arial" w:cs="Arial" w:eastAsia="Arial" w:hAnsi="Arial"/>
                <w:sz w:val="12"/>
                <w:szCs w:val="12"/>
                <w:color w:val="auto"/>
              </w:rPr>
              <w:t>Beneficially Owned</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203"/>
        </w:trPr>
        <w:tc>
          <w:tcPr>
            <w:tcW w:w="58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i w:val="1"/>
                <w:iCs w:val="1"/>
                <w:color w:val="auto"/>
              </w:rPr>
              <w:t>Holders of more than 5% of our Common Stock</w:t>
            </w:r>
          </w:p>
        </w:tc>
        <w:tc>
          <w:tcPr>
            <w:tcW w:w="3040" w:type="dxa"/>
            <w:vAlign w:val="bottom"/>
            <w:shd w:val="clear" w:color="auto" w:fill="E5E5E5"/>
          </w:tcPr>
          <w:p>
            <w:pPr>
              <w:spacing w:after="0"/>
              <w:rPr>
                <w:sz w:val="17"/>
                <w:szCs w:val="17"/>
                <w:color w:val="auto"/>
              </w:rPr>
            </w:pPr>
          </w:p>
        </w:tc>
        <w:tc>
          <w:tcPr>
            <w:tcW w:w="2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80" w:type="dxa"/>
            <w:vAlign w:val="bottom"/>
          </w:tcPr>
          <w:p>
            <w:pPr>
              <w:ind w:left="60"/>
              <w:spacing w:after="0"/>
              <w:rPr>
                <w:sz w:val="20"/>
                <w:szCs w:val="20"/>
                <w:color w:val="auto"/>
              </w:rPr>
            </w:pPr>
            <w:r>
              <w:rPr>
                <w:rFonts w:ascii="Arial" w:cs="Arial" w:eastAsia="Arial" w:hAnsi="Arial"/>
                <w:sz w:val="16"/>
                <w:szCs w:val="16"/>
                <w:color w:val="auto"/>
              </w:rPr>
              <w:t>BlackRock, Inc.</w:t>
            </w:r>
          </w:p>
        </w:tc>
        <w:tc>
          <w:tcPr>
            <w:tcW w:w="3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60"/>
              <w:spacing w:after="0"/>
              <w:rPr>
                <w:sz w:val="20"/>
                <w:szCs w:val="20"/>
                <w:color w:val="auto"/>
              </w:rPr>
            </w:pPr>
            <w:r>
              <w:rPr>
                <w:rFonts w:ascii="Arial" w:cs="Arial" w:eastAsia="Arial" w:hAnsi="Arial"/>
                <w:sz w:val="16"/>
                <w:szCs w:val="16"/>
                <w:color w:val="auto"/>
              </w:rPr>
              <w:t>55 East 52nd Street</w:t>
            </w:r>
          </w:p>
        </w:tc>
        <w:tc>
          <w:tcPr>
            <w:tcW w:w="3040" w:type="dxa"/>
            <w:vAlign w:val="bottom"/>
            <w:vMerge w:val="restart"/>
          </w:tcPr>
          <w:p>
            <w:pPr>
              <w:ind w:left="1500"/>
              <w:spacing w:after="0"/>
              <w:rPr>
                <w:sz w:val="20"/>
                <w:szCs w:val="20"/>
                <w:color w:val="auto"/>
              </w:rPr>
            </w:pPr>
            <w:r>
              <w:rPr>
                <w:rFonts w:ascii="Arial" w:cs="Arial" w:eastAsia="Arial" w:hAnsi="Arial"/>
                <w:sz w:val="16"/>
                <w:szCs w:val="16"/>
                <w:color w:val="auto"/>
              </w:rPr>
              <w:t>8,069,950</w:t>
            </w:r>
            <w:r>
              <w:rPr>
                <w:rFonts w:ascii="Arial" w:cs="Arial" w:eastAsia="Arial" w:hAnsi="Arial"/>
                <w:sz w:val="27"/>
                <w:szCs w:val="27"/>
                <w:color w:val="auto"/>
                <w:vertAlign w:val="superscript"/>
              </w:rPr>
              <w:t>(2)</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ind w:left="60"/>
              <w:spacing w:after="0"/>
              <w:rPr>
                <w:sz w:val="20"/>
                <w:szCs w:val="20"/>
                <w:color w:val="auto"/>
              </w:rPr>
            </w:pPr>
            <w:r>
              <w:rPr>
                <w:rFonts w:ascii="Arial" w:cs="Arial" w:eastAsia="Arial" w:hAnsi="Arial"/>
                <w:sz w:val="16"/>
                <w:szCs w:val="16"/>
                <w:color w:val="auto"/>
              </w:rPr>
              <w:t>New York, NY 10055</w:t>
            </w:r>
          </w:p>
        </w:tc>
        <w:tc>
          <w:tcPr>
            <w:tcW w:w="3040" w:type="dxa"/>
            <w:vAlign w:val="bottom"/>
            <w:vMerge w:val="continue"/>
          </w:tcPr>
          <w:p>
            <w:pPr>
              <w:spacing w:after="0"/>
              <w:rPr>
                <w:sz w:val="16"/>
                <w:szCs w:val="16"/>
                <w:color w:val="auto"/>
              </w:rPr>
            </w:pPr>
          </w:p>
        </w:tc>
        <w:tc>
          <w:tcPr>
            <w:tcW w:w="2100" w:type="dxa"/>
            <w:vAlign w:val="bottom"/>
          </w:tcPr>
          <w:p>
            <w:pPr>
              <w:jc w:val="right"/>
              <w:ind w:right="325"/>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3"/>
        </w:trPr>
        <w:tc>
          <w:tcPr>
            <w:tcW w:w="5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Sessa Capital (Master), L.P. and affiliated funds</w:t>
            </w:r>
          </w:p>
        </w:tc>
        <w:tc>
          <w:tcPr>
            <w:tcW w:w="3040" w:type="dxa"/>
            <w:vAlign w:val="bottom"/>
            <w:shd w:val="clear" w:color="auto" w:fill="E5E5E5"/>
          </w:tcPr>
          <w:p>
            <w:pPr>
              <w:spacing w:after="0"/>
              <w:rPr>
                <w:sz w:val="18"/>
                <w:szCs w:val="18"/>
                <w:color w:val="auto"/>
              </w:rPr>
            </w:pPr>
          </w:p>
        </w:tc>
        <w:tc>
          <w:tcPr>
            <w:tcW w:w="2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80" w:type="dxa"/>
            <w:vAlign w:val="bottom"/>
            <w:shd w:val="clear" w:color="auto" w:fill="E5E5E5"/>
          </w:tcPr>
          <w:p>
            <w:pPr>
              <w:ind w:left="60"/>
              <w:spacing w:after="0" w:line="194" w:lineRule="exact"/>
              <w:rPr>
                <w:sz w:val="20"/>
                <w:szCs w:val="20"/>
                <w:color w:val="auto"/>
              </w:rPr>
            </w:pPr>
            <w:r>
              <w:rPr>
                <w:rFonts w:ascii="Arial" w:cs="Arial" w:eastAsia="Arial" w:hAnsi="Arial"/>
                <w:sz w:val="14"/>
                <w:szCs w:val="14"/>
                <w:color w:val="auto"/>
              </w:rPr>
              <w:t>888 Seventh Avenue, 30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040" w:type="dxa"/>
            <w:vAlign w:val="bottom"/>
            <w:vMerge w:val="restart"/>
            <w:shd w:val="clear" w:color="auto" w:fill="E5E5E5"/>
          </w:tcPr>
          <w:p>
            <w:pPr>
              <w:ind w:left="1500"/>
              <w:spacing w:after="0"/>
              <w:rPr>
                <w:sz w:val="20"/>
                <w:szCs w:val="20"/>
                <w:color w:val="auto"/>
              </w:rPr>
            </w:pPr>
            <w:r>
              <w:rPr>
                <w:rFonts w:ascii="Arial" w:cs="Arial" w:eastAsia="Arial" w:hAnsi="Arial"/>
                <w:sz w:val="16"/>
                <w:szCs w:val="16"/>
                <w:color w:val="auto"/>
              </w:rPr>
              <w:t>7,285,260</w:t>
            </w:r>
            <w:r>
              <w:rPr>
                <w:rFonts w:ascii="Arial" w:cs="Arial" w:eastAsia="Arial" w:hAnsi="Arial"/>
                <w:sz w:val="27"/>
                <w:szCs w:val="27"/>
                <w:color w:val="auto"/>
                <w:vertAlign w:val="superscript"/>
              </w:rPr>
              <w:t>(3)</w:t>
            </w:r>
          </w:p>
        </w:tc>
        <w:tc>
          <w:tcPr>
            <w:tcW w:w="2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New York, NY 10019</w:t>
            </w:r>
          </w:p>
        </w:tc>
        <w:tc>
          <w:tcPr>
            <w:tcW w:w="3040" w:type="dxa"/>
            <w:vAlign w:val="bottom"/>
            <w:vMerge w:val="continue"/>
            <w:shd w:val="clear" w:color="auto" w:fill="E5E5E5"/>
          </w:tcPr>
          <w:p>
            <w:pPr>
              <w:spacing w:after="0"/>
              <w:rPr>
                <w:sz w:val="16"/>
                <w:szCs w:val="16"/>
                <w:color w:val="auto"/>
              </w:rPr>
            </w:pPr>
          </w:p>
        </w:tc>
        <w:tc>
          <w:tcPr>
            <w:tcW w:w="2100" w:type="dxa"/>
            <w:vAlign w:val="bottom"/>
            <w:shd w:val="clear" w:color="auto" w:fill="E5E5E5"/>
          </w:tcPr>
          <w:p>
            <w:pPr>
              <w:jc w:val="right"/>
              <w:ind w:right="325"/>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8"/>
        </w:trPr>
        <w:tc>
          <w:tcPr>
            <w:tcW w:w="5880" w:type="dxa"/>
            <w:vAlign w:val="bottom"/>
          </w:tcPr>
          <w:p>
            <w:pPr>
              <w:ind w:left="60"/>
              <w:spacing w:after="0"/>
              <w:rPr>
                <w:sz w:val="20"/>
                <w:szCs w:val="20"/>
                <w:color w:val="auto"/>
              </w:rPr>
            </w:pPr>
            <w:r>
              <w:rPr>
                <w:rFonts w:ascii="Arial" w:cs="Arial" w:eastAsia="Arial" w:hAnsi="Arial"/>
                <w:sz w:val="16"/>
                <w:szCs w:val="16"/>
                <w:color w:val="auto"/>
              </w:rPr>
              <w:t>Deccan Value Investors L.P.</w:t>
            </w:r>
          </w:p>
        </w:tc>
        <w:tc>
          <w:tcPr>
            <w:tcW w:w="3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60"/>
              <w:spacing w:after="0"/>
              <w:rPr>
                <w:sz w:val="20"/>
                <w:szCs w:val="20"/>
                <w:color w:val="auto"/>
              </w:rPr>
            </w:pPr>
            <w:r>
              <w:rPr>
                <w:rFonts w:ascii="Arial" w:cs="Arial" w:eastAsia="Arial" w:hAnsi="Arial"/>
                <w:sz w:val="16"/>
                <w:szCs w:val="16"/>
                <w:color w:val="auto"/>
              </w:rPr>
              <w:t>Vinit Bodas</w:t>
            </w:r>
          </w:p>
        </w:tc>
        <w:tc>
          <w:tcPr>
            <w:tcW w:w="3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60"/>
              <w:spacing w:after="0"/>
              <w:rPr>
                <w:sz w:val="20"/>
                <w:szCs w:val="20"/>
                <w:color w:val="auto"/>
              </w:rPr>
            </w:pPr>
            <w:r>
              <w:rPr>
                <w:rFonts w:ascii="Arial" w:cs="Arial" w:eastAsia="Arial" w:hAnsi="Arial"/>
                <w:sz w:val="16"/>
                <w:szCs w:val="16"/>
                <w:color w:val="auto"/>
              </w:rPr>
              <w:t>One Fawcett Place</w:t>
            </w:r>
          </w:p>
        </w:tc>
        <w:tc>
          <w:tcPr>
            <w:tcW w:w="3040" w:type="dxa"/>
            <w:vAlign w:val="bottom"/>
            <w:vMerge w:val="restart"/>
          </w:tcPr>
          <w:p>
            <w:pPr>
              <w:ind w:left="1500"/>
              <w:spacing w:after="0"/>
              <w:rPr>
                <w:sz w:val="20"/>
                <w:szCs w:val="20"/>
                <w:color w:val="auto"/>
              </w:rPr>
            </w:pPr>
            <w:r>
              <w:rPr>
                <w:rFonts w:ascii="Arial" w:cs="Arial" w:eastAsia="Arial" w:hAnsi="Arial"/>
                <w:sz w:val="16"/>
                <w:szCs w:val="16"/>
                <w:color w:val="auto"/>
              </w:rPr>
              <w:t>7,200,605</w:t>
            </w:r>
            <w:r>
              <w:rPr>
                <w:rFonts w:ascii="Arial" w:cs="Arial" w:eastAsia="Arial" w:hAnsi="Arial"/>
                <w:sz w:val="27"/>
                <w:szCs w:val="27"/>
                <w:color w:val="auto"/>
                <w:vertAlign w:val="superscript"/>
              </w:rPr>
              <w:t>(4)</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ind w:left="60"/>
              <w:spacing w:after="0"/>
              <w:rPr>
                <w:sz w:val="20"/>
                <w:szCs w:val="20"/>
                <w:color w:val="auto"/>
              </w:rPr>
            </w:pPr>
            <w:r>
              <w:rPr>
                <w:rFonts w:ascii="Arial" w:cs="Arial" w:eastAsia="Arial" w:hAnsi="Arial"/>
                <w:sz w:val="16"/>
                <w:szCs w:val="16"/>
                <w:color w:val="auto"/>
              </w:rPr>
              <w:t>Greenwich, CT 06830</w:t>
            </w:r>
          </w:p>
        </w:tc>
        <w:tc>
          <w:tcPr>
            <w:tcW w:w="3040" w:type="dxa"/>
            <w:vAlign w:val="bottom"/>
            <w:vMerge w:val="continue"/>
          </w:tcPr>
          <w:p>
            <w:pPr>
              <w:spacing w:after="0"/>
              <w:rPr>
                <w:sz w:val="16"/>
                <w:szCs w:val="16"/>
                <w:color w:val="auto"/>
              </w:rPr>
            </w:pPr>
          </w:p>
        </w:tc>
        <w:tc>
          <w:tcPr>
            <w:tcW w:w="2100" w:type="dxa"/>
            <w:vAlign w:val="bottom"/>
          </w:tcPr>
          <w:p>
            <w:pPr>
              <w:jc w:val="right"/>
              <w:ind w:right="325"/>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8"/>
        </w:trPr>
        <w:tc>
          <w:tcPr>
            <w:tcW w:w="5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Dynamo Internacional Gestão de Recursos Ltda.</w:t>
            </w:r>
          </w:p>
        </w:tc>
        <w:tc>
          <w:tcPr>
            <w:tcW w:w="3040" w:type="dxa"/>
            <w:vAlign w:val="bottom"/>
            <w:shd w:val="clear" w:color="auto" w:fill="E5E5E5"/>
          </w:tcPr>
          <w:p>
            <w:pPr>
              <w:spacing w:after="0"/>
              <w:rPr>
                <w:sz w:val="18"/>
                <w:szCs w:val="18"/>
                <w:color w:val="auto"/>
              </w:rPr>
            </w:pPr>
          </w:p>
        </w:tc>
        <w:tc>
          <w:tcPr>
            <w:tcW w:w="2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Av. Ataulfo de Paiva, 1235, 6th floor,</w:t>
            </w:r>
          </w:p>
        </w:tc>
        <w:tc>
          <w:tcPr>
            <w:tcW w:w="3040" w:type="dxa"/>
            <w:vAlign w:val="bottom"/>
            <w:vMerge w:val="restart"/>
            <w:shd w:val="clear" w:color="auto" w:fill="E5E5E5"/>
          </w:tcPr>
          <w:p>
            <w:pPr>
              <w:ind w:left="1500"/>
              <w:spacing w:after="0"/>
              <w:rPr>
                <w:sz w:val="20"/>
                <w:szCs w:val="20"/>
                <w:color w:val="auto"/>
              </w:rPr>
            </w:pPr>
            <w:r>
              <w:rPr>
                <w:rFonts w:ascii="Arial" w:cs="Arial" w:eastAsia="Arial" w:hAnsi="Arial"/>
                <w:sz w:val="16"/>
                <w:szCs w:val="16"/>
                <w:color w:val="auto"/>
              </w:rPr>
              <w:t>3,773,845</w:t>
            </w:r>
            <w:r>
              <w:rPr>
                <w:rFonts w:ascii="Arial" w:cs="Arial" w:eastAsia="Arial" w:hAnsi="Arial"/>
                <w:sz w:val="27"/>
                <w:szCs w:val="27"/>
                <w:color w:val="auto"/>
                <w:vertAlign w:val="superscript"/>
              </w:rPr>
              <w:t>(5)</w:t>
            </w:r>
          </w:p>
        </w:tc>
        <w:tc>
          <w:tcPr>
            <w:tcW w:w="2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Borders>
              <w:bottom w:val="single" w:sz="8" w:color="E52823"/>
            </w:tcBorders>
            <w:shd w:val="clear" w:color="auto" w:fill="E5E5E5"/>
          </w:tcPr>
          <w:p>
            <w:pPr>
              <w:ind w:left="60"/>
              <w:spacing w:after="0"/>
              <w:rPr>
                <w:sz w:val="20"/>
                <w:szCs w:val="20"/>
                <w:color w:val="auto"/>
              </w:rPr>
            </w:pPr>
            <w:r>
              <w:rPr>
                <w:rFonts w:ascii="Arial" w:cs="Arial" w:eastAsia="Arial" w:hAnsi="Arial"/>
                <w:sz w:val="16"/>
                <w:szCs w:val="16"/>
                <w:color w:val="auto"/>
              </w:rPr>
              <w:t>Rio de Janeiro – RJ, Brazil</w:t>
            </w:r>
          </w:p>
        </w:tc>
        <w:tc>
          <w:tcPr>
            <w:tcW w:w="3040" w:type="dxa"/>
            <w:vAlign w:val="bottom"/>
            <w:tcBorders>
              <w:bottom w:val="single" w:sz="8" w:color="E52823"/>
            </w:tcBorders>
            <w:vMerge w:val="continue"/>
            <w:shd w:val="clear" w:color="auto" w:fill="E5E5E5"/>
          </w:tcPr>
          <w:p>
            <w:pPr>
              <w:spacing w:after="0"/>
              <w:rPr>
                <w:sz w:val="16"/>
                <w:szCs w:val="16"/>
                <w:color w:val="auto"/>
              </w:rPr>
            </w:pPr>
          </w:p>
        </w:tc>
        <w:tc>
          <w:tcPr>
            <w:tcW w:w="2100" w:type="dxa"/>
            <w:vAlign w:val="bottom"/>
            <w:tcBorders>
              <w:bottom w:val="single" w:sz="8" w:color="E52823"/>
            </w:tcBorders>
            <w:shd w:val="clear" w:color="auto" w:fill="E5E5E5"/>
          </w:tcPr>
          <w:p>
            <w:pPr>
              <w:jc w:val="right"/>
              <w:ind w:right="325"/>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919"/>
        </w:trPr>
        <w:tc>
          <w:tcPr>
            <w:tcW w:w="5880" w:type="dxa"/>
            <w:vAlign w:val="bottom"/>
          </w:tcPr>
          <w:p>
            <w:pPr>
              <w:ind w:left="180"/>
              <w:spacing w:after="0"/>
              <w:rPr>
                <w:sz w:val="20"/>
                <w:szCs w:val="20"/>
                <w:color w:val="auto"/>
              </w:rPr>
            </w:pPr>
            <w:r>
              <w:rPr>
                <w:rFonts w:ascii="Arial" w:cs="Arial" w:eastAsia="Arial" w:hAnsi="Arial"/>
                <w:sz w:val="16"/>
                <w:szCs w:val="16"/>
                <w:b w:val="1"/>
                <w:bCs w:val="1"/>
                <w:color w:val="auto"/>
              </w:rPr>
              <w:t>60</w:t>
            </w:r>
          </w:p>
        </w:tc>
        <w:tc>
          <w:tcPr>
            <w:tcW w:w="3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-338455</wp:posOffset>
            </wp:positionV>
            <wp:extent cx="6995160" cy="6254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720" w:type="dxa"/>
            <w:vAlign w:val="bottom"/>
          </w:tcPr>
          <w:p>
            <w:pPr>
              <w:jc w:val="center"/>
              <w:ind w:right="142"/>
              <w:spacing w:after="0"/>
              <w:rPr>
                <w:sz w:val="20"/>
                <w:szCs w:val="20"/>
                <w:color w:val="auto"/>
              </w:rPr>
            </w:pPr>
            <w:r>
              <w:rPr>
                <w:rFonts w:ascii="Arial" w:cs="Arial" w:eastAsia="Arial" w:hAnsi="Arial"/>
                <w:sz w:val="14"/>
                <w:szCs w:val="14"/>
                <w:color w:val="auto"/>
              </w:rPr>
              <w:t>Total Number</w:t>
            </w:r>
          </w:p>
        </w:tc>
        <w:tc>
          <w:tcPr>
            <w:tcW w:w="2440" w:type="dxa"/>
            <w:vAlign w:val="bottom"/>
          </w:tcPr>
          <w:p>
            <w:pPr>
              <w:jc w:val="right"/>
              <w:ind w:right="621"/>
              <w:spacing w:after="0"/>
              <w:rPr>
                <w:sz w:val="20"/>
                <w:szCs w:val="20"/>
                <w:color w:val="auto"/>
              </w:rPr>
            </w:pPr>
            <w:r>
              <w:rPr>
                <w:rFonts w:ascii="Arial" w:cs="Arial" w:eastAsia="Arial" w:hAnsi="Arial"/>
                <w:sz w:val="14"/>
                <w:szCs w:val="14"/>
                <w:color w:val="auto"/>
              </w:rPr>
              <w:t>Percentage of</w:t>
            </w:r>
          </w:p>
        </w:tc>
      </w:tr>
      <w:tr>
        <w:trPr>
          <w:trHeight w:val="155"/>
        </w:trPr>
        <w:tc>
          <w:tcPr>
            <w:tcW w:w="5860" w:type="dxa"/>
            <w:vAlign w:val="bottom"/>
          </w:tcPr>
          <w:p>
            <w:pPr>
              <w:spacing w:after="0"/>
              <w:rPr>
                <w:sz w:val="13"/>
                <w:szCs w:val="13"/>
                <w:color w:val="auto"/>
              </w:rPr>
            </w:pPr>
          </w:p>
        </w:tc>
        <w:tc>
          <w:tcPr>
            <w:tcW w:w="2720" w:type="dxa"/>
            <w:vAlign w:val="bottom"/>
          </w:tcPr>
          <w:p>
            <w:pPr>
              <w:jc w:val="center"/>
              <w:ind w:right="142"/>
              <w:spacing w:after="0" w:line="155" w:lineRule="exact"/>
              <w:rPr>
                <w:sz w:val="20"/>
                <w:szCs w:val="20"/>
                <w:color w:val="auto"/>
              </w:rPr>
            </w:pPr>
            <w:r>
              <w:rPr>
                <w:rFonts w:ascii="Arial" w:cs="Arial" w:eastAsia="Arial" w:hAnsi="Arial"/>
                <w:sz w:val="14"/>
                <w:szCs w:val="14"/>
                <w:color w:val="auto"/>
              </w:rPr>
              <w:t>of Shares</w:t>
            </w:r>
          </w:p>
        </w:tc>
        <w:tc>
          <w:tcPr>
            <w:tcW w:w="2440" w:type="dxa"/>
            <w:vAlign w:val="bottom"/>
          </w:tcPr>
          <w:p>
            <w:pPr>
              <w:jc w:val="right"/>
              <w:ind w:right="581"/>
              <w:spacing w:after="0" w:line="155" w:lineRule="exact"/>
              <w:rPr>
                <w:sz w:val="20"/>
                <w:szCs w:val="20"/>
                <w:color w:val="auto"/>
              </w:rPr>
            </w:pPr>
            <w:r>
              <w:rPr>
                <w:rFonts w:ascii="Arial" w:cs="Arial" w:eastAsia="Arial" w:hAnsi="Arial"/>
                <w:sz w:val="14"/>
                <w:szCs w:val="14"/>
                <w:color w:val="auto"/>
              </w:rPr>
              <w:t>Common Stock</w:t>
            </w:r>
          </w:p>
        </w:tc>
      </w:tr>
      <w:tr>
        <w:trPr>
          <w:trHeight w:val="172"/>
        </w:trPr>
        <w:tc>
          <w:tcPr>
            <w:tcW w:w="5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Name and Address of Beneficial Owner</w:t>
            </w:r>
          </w:p>
        </w:tc>
        <w:tc>
          <w:tcPr>
            <w:tcW w:w="27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Beneficially Owned</w:t>
            </w:r>
          </w:p>
        </w:tc>
        <w:tc>
          <w:tcPr>
            <w:tcW w:w="2440" w:type="dxa"/>
            <w:vAlign w:val="bottom"/>
            <w:tcBorders>
              <w:bottom w:val="single" w:sz="8" w:color="auto"/>
            </w:tcBorders>
          </w:tcPr>
          <w:p>
            <w:pPr>
              <w:jc w:val="right"/>
              <w:ind w:right="381"/>
              <w:spacing w:after="0" w:line="164" w:lineRule="exact"/>
              <w:rPr>
                <w:sz w:val="20"/>
                <w:szCs w:val="20"/>
                <w:color w:val="auto"/>
              </w:rPr>
            </w:pPr>
            <w:r>
              <w:rPr>
                <w:rFonts w:ascii="Arial" w:cs="Arial" w:eastAsia="Arial" w:hAnsi="Arial"/>
                <w:sz w:val="12"/>
                <w:szCs w:val="12"/>
                <w:color w:val="auto"/>
              </w:rPr>
              <w:t>Beneficially Owned</w:t>
            </w:r>
            <w:r>
              <w:rPr>
                <w:rFonts w:ascii="Arial" w:cs="Arial" w:eastAsia="Arial" w:hAnsi="Arial"/>
                <w:sz w:val="19"/>
                <w:szCs w:val="19"/>
                <w:color w:val="auto"/>
                <w:vertAlign w:val="superscript"/>
              </w:rPr>
              <w:t>(1)</w:t>
            </w:r>
          </w:p>
        </w:tc>
      </w:tr>
      <w:tr>
        <w:trPr>
          <w:trHeight w:val="188"/>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Directors (including all nominees) and Named</w:t>
            </w:r>
          </w:p>
        </w:tc>
        <w:tc>
          <w:tcPr>
            <w:tcW w:w="2720" w:type="dxa"/>
            <w:vAlign w:val="bottom"/>
            <w:shd w:val="clear" w:color="auto" w:fill="E5E5E5"/>
          </w:tcPr>
          <w:p>
            <w:pPr>
              <w:spacing w:after="0"/>
              <w:rPr>
                <w:sz w:val="16"/>
                <w:szCs w:val="16"/>
                <w:color w:val="auto"/>
              </w:rPr>
            </w:pPr>
          </w:p>
        </w:tc>
        <w:tc>
          <w:tcPr>
            <w:tcW w:w="2440" w:type="dxa"/>
            <w:vAlign w:val="bottom"/>
            <w:shd w:val="clear" w:color="auto" w:fill="E5E5E5"/>
          </w:tcPr>
          <w:p>
            <w:pPr>
              <w:spacing w:after="0"/>
              <w:rPr>
                <w:sz w:val="16"/>
                <w:szCs w:val="16"/>
                <w:color w:val="auto"/>
              </w:rPr>
            </w:pPr>
          </w:p>
        </w:tc>
      </w:tr>
      <w:tr>
        <w:trPr>
          <w:trHeight w:val="203"/>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i w:val="1"/>
                <w:iCs w:val="1"/>
                <w:color w:val="auto"/>
              </w:rPr>
              <w:t>Executive Officers</w:t>
            </w:r>
          </w:p>
        </w:tc>
        <w:tc>
          <w:tcPr>
            <w:tcW w:w="2720" w:type="dxa"/>
            <w:vAlign w:val="bottom"/>
            <w:shd w:val="clear" w:color="auto" w:fill="E5E5E5"/>
          </w:tcPr>
          <w:p>
            <w:pPr>
              <w:spacing w:after="0"/>
              <w:rPr>
                <w:sz w:val="17"/>
                <w:szCs w:val="17"/>
                <w:color w:val="auto"/>
              </w:rPr>
            </w:pPr>
          </w:p>
        </w:tc>
        <w:tc>
          <w:tcPr>
            <w:tcW w:w="2440" w:type="dxa"/>
            <w:vAlign w:val="bottom"/>
            <w:shd w:val="clear" w:color="auto" w:fill="E5E5E5"/>
          </w:tcPr>
          <w:p>
            <w:pPr>
              <w:spacing w:after="0"/>
              <w:rPr>
                <w:sz w:val="17"/>
                <w:szCs w:val="17"/>
                <w:color w:val="auto"/>
              </w:rPr>
            </w:pP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color w:val="auto"/>
              </w:rPr>
              <w:t>Olivier Rabiller</w:t>
            </w:r>
          </w:p>
        </w:tc>
        <w:tc>
          <w:tcPr>
            <w:tcW w:w="2720" w:type="dxa"/>
            <w:vAlign w:val="bottom"/>
          </w:tcPr>
          <w:p>
            <w:pPr>
              <w:jc w:val="right"/>
              <w:ind w:right="622"/>
              <w:spacing w:after="0" w:line="216" w:lineRule="exact"/>
              <w:rPr>
                <w:sz w:val="20"/>
                <w:szCs w:val="20"/>
                <w:color w:val="auto"/>
              </w:rPr>
            </w:pPr>
            <w:r>
              <w:rPr>
                <w:rFonts w:ascii="Arial" w:cs="Arial" w:eastAsia="Arial" w:hAnsi="Arial"/>
                <w:sz w:val="15"/>
                <w:szCs w:val="15"/>
                <w:color w:val="auto"/>
              </w:rPr>
              <w:t>157,290</w:t>
            </w:r>
            <w:r>
              <w:rPr>
                <w:rFonts w:ascii="Arial" w:cs="Arial" w:eastAsia="Arial" w:hAnsi="Arial"/>
                <w:sz w:val="25"/>
                <w:szCs w:val="25"/>
                <w:color w:val="auto"/>
                <w:vertAlign w:val="superscript"/>
              </w:rPr>
              <w:t>(6)</w:t>
            </w:r>
          </w:p>
        </w:tc>
        <w:tc>
          <w:tcPr>
            <w:tcW w:w="24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Carlos M. Cardoso</w:t>
            </w:r>
          </w:p>
        </w:tc>
        <w:tc>
          <w:tcPr>
            <w:tcW w:w="2720" w:type="dxa"/>
            <w:vAlign w:val="bottom"/>
            <w:shd w:val="clear" w:color="auto" w:fill="E5E5E5"/>
          </w:tcPr>
          <w:p>
            <w:pPr>
              <w:jc w:val="right"/>
              <w:ind w:right="782"/>
              <w:spacing w:after="0"/>
              <w:rPr>
                <w:sz w:val="20"/>
                <w:szCs w:val="20"/>
                <w:color w:val="auto"/>
              </w:rPr>
            </w:pPr>
            <w:r>
              <w:rPr>
                <w:rFonts w:ascii="Arial" w:cs="Arial" w:eastAsia="Arial" w:hAnsi="Arial"/>
                <w:sz w:val="16"/>
                <w:szCs w:val="16"/>
                <w:color w:val="auto"/>
              </w:rPr>
              <w:t>1,635</w:t>
            </w:r>
          </w:p>
        </w:tc>
        <w:tc>
          <w:tcPr>
            <w:tcW w:w="244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color w:val="auto"/>
              </w:rPr>
              <w:t>Maura J. Clark</w:t>
            </w:r>
          </w:p>
        </w:tc>
        <w:tc>
          <w:tcPr>
            <w:tcW w:w="2720" w:type="dxa"/>
            <w:vAlign w:val="bottom"/>
          </w:tcPr>
          <w:p>
            <w:pPr>
              <w:jc w:val="right"/>
              <w:ind w:right="782"/>
              <w:spacing w:after="0"/>
              <w:rPr>
                <w:sz w:val="20"/>
                <w:szCs w:val="20"/>
                <w:color w:val="auto"/>
              </w:rPr>
            </w:pPr>
            <w:r>
              <w:rPr>
                <w:rFonts w:ascii="Arial" w:cs="Arial" w:eastAsia="Arial" w:hAnsi="Arial"/>
                <w:sz w:val="16"/>
                <w:szCs w:val="16"/>
                <w:color w:val="auto"/>
              </w:rPr>
              <w:t>1,635</w:t>
            </w:r>
          </w:p>
        </w:tc>
        <w:tc>
          <w:tcPr>
            <w:tcW w:w="24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Courtney M. Enghauser</w:t>
            </w:r>
          </w:p>
        </w:tc>
        <w:tc>
          <w:tcPr>
            <w:tcW w:w="2720" w:type="dxa"/>
            <w:vAlign w:val="bottom"/>
            <w:shd w:val="clear" w:color="auto" w:fill="E5E5E5"/>
          </w:tcPr>
          <w:p>
            <w:pPr>
              <w:jc w:val="right"/>
              <w:ind w:right="782"/>
              <w:spacing w:after="0"/>
              <w:rPr>
                <w:sz w:val="20"/>
                <w:szCs w:val="20"/>
                <w:color w:val="auto"/>
              </w:rPr>
            </w:pPr>
            <w:r>
              <w:rPr>
                <w:rFonts w:ascii="Arial" w:cs="Arial" w:eastAsia="Arial" w:hAnsi="Arial"/>
                <w:sz w:val="16"/>
                <w:szCs w:val="16"/>
                <w:color w:val="auto"/>
              </w:rPr>
              <w:t>1,635</w:t>
            </w:r>
          </w:p>
        </w:tc>
        <w:tc>
          <w:tcPr>
            <w:tcW w:w="244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color w:val="auto"/>
              </w:rPr>
              <w:t>Susan L. Main</w:t>
            </w:r>
          </w:p>
        </w:tc>
        <w:tc>
          <w:tcPr>
            <w:tcW w:w="2720" w:type="dxa"/>
            <w:vAlign w:val="bottom"/>
          </w:tcPr>
          <w:p>
            <w:pPr>
              <w:jc w:val="right"/>
              <w:ind w:right="782"/>
              <w:spacing w:after="0"/>
              <w:rPr>
                <w:sz w:val="20"/>
                <w:szCs w:val="20"/>
                <w:color w:val="auto"/>
              </w:rPr>
            </w:pPr>
            <w:r>
              <w:rPr>
                <w:rFonts w:ascii="Arial" w:cs="Arial" w:eastAsia="Arial" w:hAnsi="Arial"/>
                <w:sz w:val="16"/>
                <w:szCs w:val="16"/>
                <w:color w:val="auto"/>
              </w:rPr>
              <w:t>1,635</w:t>
            </w:r>
          </w:p>
        </w:tc>
        <w:tc>
          <w:tcPr>
            <w:tcW w:w="24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Carsten J. Reinhardt</w:t>
            </w:r>
          </w:p>
        </w:tc>
        <w:tc>
          <w:tcPr>
            <w:tcW w:w="2720" w:type="dxa"/>
            <w:vAlign w:val="bottom"/>
            <w:shd w:val="clear" w:color="auto" w:fill="E5E5E5"/>
          </w:tcPr>
          <w:p>
            <w:pPr>
              <w:jc w:val="right"/>
              <w:ind w:right="782"/>
              <w:spacing w:after="0"/>
              <w:rPr>
                <w:sz w:val="20"/>
                <w:szCs w:val="20"/>
                <w:color w:val="auto"/>
              </w:rPr>
            </w:pPr>
            <w:r>
              <w:rPr>
                <w:rFonts w:ascii="Arial" w:cs="Arial" w:eastAsia="Arial" w:hAnsi="Arial"/>
                <w:sz w:val="16"/>
                <w:szCs w:val="16"/>
                <w:color w:val="auto"/>
              </w:rPr>
              <w:t>1,144</w:t>
            </w:r>
          </w:p>
        </w:tc>
        <w:tc>
          <w:tcPr>
            <w:tcW w:w="244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color w:val="auto"/>
              </w:rPr>
              <w:t>Jérôme Stoll</w:t>
            </w:r>
          </w:p>
        </w:tc>
        <w:tc>
          <w:tcPr>
            <w:tcW w:w="272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Scott A. Tozier</w:t>
            </w:r>
          </w:p>
        </w:tc>
        <w:tc>
          <w:tcPr>
            <w:tcW w:w="2720" w:type="dxa"/>
            <w:vAlign w:val="bottom"/>
            <w:shd w:val="clear" w:color="auto" w:fill="E5E5E5"/>
          </w:tcPr>
          <w:p>
            <w:pPr>
              <w:jc w:val="right"/>
              <w:ind w:right="782"/>
              <w:spacing w:after="0"/>
              <w:rPr>
                <w:sz w:val="20"/>
                <w:szCs w:val="20"/>
                <w:color w:val="auto"/>
              </w:rPr>
            </w:pPr>
            <w:r>
              <w:rPr>
                <w:rFonts w:ascii="Arial" w:cs="Arial" w:eastAsia="Arial" w:hAnsi="Arial"/>
                <w:sz w:val="16"/>
                <w:szCs w:val="16"/>
                <w:color w:val="auto"/>
              </w:rPr>
              <w:t>1,635</w:t>
            </w:r>
          </w:p>
        </w:tc>
        <w:tc>
          <w:tcPr>
            <w:tcW w:w="244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color w:val="auto"/>
              </w:rPr>
              <w:t>Craig Balis</w:t>
            </w:r>
          </w:p>
        </w:tc>
        <w:tc>
          <w:tcPr>
            <w:tcW w:w="2720" w:type="dxa"/>
            <w:vAlign w:val="bottom"/>
          </w:tcPr>
          <w:p>
            <w:pPr>
              <w:jc w:val="right"/>
              <w:ind w:right="622"/>
              <w:spacing w:after="0" w:line="216" w:lineRule="exact"/>
              <w:rPr>
                <w:sz w:val="20"/>
                <w:szCs w:val="20"/>
                <w:color w:val="auto"/>
              </w:rPr>
            </w:pPr>
            <w:r>
              <w:rPr>
                <w:rFonts w:ascii="Arial" w:cs="Arial" w:eastAsia="Arial" w:hAnsi="Arial"/>
                <w:sz w:val="15"/>
                <w:szCs w:val="15"/>
                <w:color w:val="auto"/>
              </w:rPr>
              <w:t>134,174</w:t>
            </w:r>
            <w:r>
              <w:rPr>
                <w:rFonts w:ascii="Arial" w:cs="Arial" w:eastAsia="Arial" w:hAnsi="Arial"/>
                <w:sz w:val="25"/>
                <w:szCs w:val="25"/>
                <w:color w:val="auto"/>
                <w:vertAlign w:val="superscript"/>
              </w:rPr>
              <w:t>(7)</w:t>
            </w:r>
          </w:p>
        </w:tc>
        <w:tc>
          <w:tcPr>
            <w:tcW w:w="24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Peter Bracke</w:t>
            </w:r>
          </w:p>
        </w:tc>
        <w:tc>
          <w:tcPr>
            <w:tcW w:w="2720" w:type="dxa"/>
            <w:vAlign w:val="bottom"/>
            <w:shd w:val="clear" w:color="auto" w:fill="E5E5E5"/>
          </w:tcPr>
          <w:p>
            <w:pPr>
              <w:jc w:val="right"/>
              <w:ind w:right="622"/>
              <w:spacing w:after="0" w:line="216" w:lineRule="exact"/>
              <w:rPr>
                <w:sz w:val="20"/>
                <w:szCs w:val="20"/>
                <w:color w:val="auto"/>
              </w:rPr>
            </w:pPr>
            <w:r>
              <w:rPr>
                <w:rFonts w:ascii="Arial" w:cs="Arial" w:eastAsia="Arial" w:hAnsi="Arial"/>
                <w:sz w:val="15"/>
                <w:szCs w:val="15"/>
                <w:color w:val="auto"/>
              </w:rPr>
              <w:t>117,308</w:t>
            </w:r>
            <w:r>
              <w:rPr>
                <w:rFonts w:ascii="Arial" w:cs="Arial" w:eastAsia="Arial" w:hAnsi="Arial"/>
                <w:sz w:val="25"/>
                <w:szCs w:val="25"/>
                <w:color w:val="auto"/>
                <w:vertAlign w:val="superscript"/>
              </w:rPr>
              <w:t>(8)</w:t>
            </w:r>
          </w:p>
        </w:tc>
        <w:tc>
          <w:tcPr>
            <w:tcW w:w="244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color w:val="auto"/>
              </w:rPr>
              <w:t>Alessandro Gili</w:t>
            </w:r>
          </w:p>
        </w:tc>
        <w:tc>
          <w:tcPr>
            <w:tcW w:w="2720" w:type="dxa"/>
            <w:vAlign w:val="bottom"/>
          </w:tcPr>
          <w:p>
            <w:pPr>
              <w:jc w:val="right"/>
              <w:ind w:right="782"/>
              <w:spacing w:after="0"/>
              <w:rPr>
                <w:sz w:val="20"/>
                <w:szCs w:val="20"/>
                <w:color w:val="auto"/>
              </w:rPr>
            </w:pPr>
            <w:r>
              <w:rPr>
                <w:rFonts w:ascii="Arial" w:cs="Arial" w:eastAsia="Arial" w:hAnsi="Arial"/>
                <w:sz w:val="16"/>
                <w:szCs w:val="16"/>
                <w:color w:val="auto"/>
              </w:rPr>
              <w:t>69,101</w:t>
            </w:r>
          </w:p>
        </w:tc>
        <w:tc>
          <w:tcPr>
            <w:tcW w:w="24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E5E5E5"/>
          </w:tcPr>
          <w:p>
            <w:pPr>
              <w:ind w:left="60"/>
              <w:spacing w:after="0"/>
              <w:rPr>
                <w:sz w:val="20"/>
                <w:szCs w:val="20"/>
                <w:color w:val="auto"/>
              </w:rPr>
            </w:pPr>
            <w:r>
              <w:rPr>
                <w:rFonts w:ascii="Arial" w:cs="Arial" w:eastAsia="Arial" w:hAnsi="Arial"/>
                <w:sz w:val="16"/>
                <w:szCs w:val="16"/>
                <w:color w:val="auto"/>
              </w:rPr>
              <w:t>Thierry Mabru</w:t>
            </w:r>
          </w:p>
        </w:tc>
        <w:tc>
          <w:tcPr>
            <w:tcW w:w="2720" w:type="dxa"/>
            <w:vAlign w:val="bottom"/>
            <w:shd w:val="clear" w:color="auto" w:fill="E5E5E5"/>
          </w:tcPr>
          <w:p>
            <w:pPr>
              <w:jc w:val="right"/>
              <w:ind w:right="622"/>
              <w:spacing w:after="0" w:line="216" w:lineRule="exact"/>
              <w:rPr>
                <w:sz w:val="20"/>
                <w:szCs w:val="20"/>
                <w:color w:val="auto"/>
              </w:rPr>
            </w:pPr>
            <w:r>
              <w:rPr>
                <w:rFonts w:ascii="Arial" w:cs="Arial" w:eastAsia="Arial" w:hAnsi="Arial"/>
                <w:sz w:val="15"/>
                <w:szCs w:val="15"/>
                <w:color w:val="auto"/>
              </w:rPr>
              <w:t>55,215</w:t>
            </w:r>
            <w:r>
              <w:rPr>
                <w:rFonts w:ascii="Arial" w:cs="Arial" w:eastAsia="Arial" w:hAnsi="Arial"/>
                <w:sz w:val="25"/>
                <w:szCs w:val="25"/>
                <w:color w:val="auto"/>
                <w:vertAlign w:val="superscript"/>
              </w:rPr>
              <w:t>(9)</w:t>
            </w:r>
          </w:p>
        </w:tc>
        <w:tc>
          <w:tcPr>
            <w:tcW w:w="244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color w:val="auto"/>
              </w:rPr>
              <w:t>Jérôme Maironi</w:t>
            </w:r>
          </w:p>
        </w:tc>
        <w:tc>
          <w:tcPr>
            <w:tcW w:w="2720" w:type="dxa"/>
            <w:vAlign w:val="bottom"/>
          </w:tcPr>
          <w:p>
            <w:pPr>
              <w:jc w:val="right"/>
              <w:ind w:right="542"/>
              <w:spacing w:after="0" w:line="216" w:lineRule="exact"/>
              <w:rPr>
                <w:sz w:val="20"/>
                <w:szCs w:val="20"/>
                <w:color w:val="auto"/>
              </w:rPr>
            </w:pPr>
            <w:r>
              <w:rPr>
                <w:rFonts w:ascii="Arial" w:cs="Arial" w:eastAsia="Arial" w:hAnsi="Arial"/>
                <w:sz w:val="15"/>
                <w:szCs w:val="15"/>
                <w:color w:val="auto"/>
              </w:rPr>
              <w:t>114,832</w:t>
            </w:r>
            <w:r>
              <w:rPr>
                <w:rFonts w:ascii="Arial" w:cs="Arial" w:eastAsia="Arial" w:hAnsi="Arial"/>
                <w:sz w:val="25"/>
                <w:szCs w:val="25"/>
                <w:color w:val="auto"/>
                <w:vertAlign w:val="superscript"/>
              </w:rPr>
              <w:t>(10)</w:t>
            </w:r>
          </w:p>
        </w:tc>
        <w:tc>
          <w:tcPr>
            <w:tcW w:w="24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Borders>
              <w:bottom w:val="single" w:sz="8" w:color="E52823"/>
            </w:tcBorders>
            <w:shd w:val="clear" w:color="auto" w:fill="E5E5E5"/>
          </w:tcPr>
          <w:p>
            <w:pPr>
              <w:ind w:left="60"/>
              <w:spacing w:after="0"/>
              <w:rPr>
                <w:sz w:val="20"/>
                <w:szCs w:val="20"/>
                <w:color w:val="auto"/>
              </w:rPr>
            </w:pPr>
            <w:r>
              <w:rPr>
                <w:rFonts w:ascii="Arial" w:cs="Arial" w:eastAsia="Arial" w:hAnsi="Arial"/>
                <w:sz w:val="16"/>
                <w:szCs w:val="16"/>
                <w:i w:val="1"/>
                <w:iCs w:val="1"/>
                <w:color w:val="auto"/>
              </w:rPr>
              <w:t>All current directors and executive officers as a group (14 persons)</w:t>
            </w:r>
          </w:p>
        </w:tc>
        <w:tc>
          <w:tcPr>
            <w:tcW w:w="2720" w:type="dxa"/>
            <w:vAlign w:val="bottom"/>
            <w:tcBorders>
              <w:bottom w:val="single" w:sz="8" w:color="E52823"/>
            </w:tcBorders>
            <w:shd w:val="clear" w:color="auto" w:fill="E5E5E5"/>
          </w:tcPr>
          <w:p>
            <w:pPr>
              <w:jc w:val="right"/>
              <w:ind w:right="542"/>
              <w:spacing w:after="0" w:line="216" w:lineRule="exact"/>
              <w:rPr>
                <w:sz w:val="20"/>
                <w:szCs w:val="20"/>
                <w:color w:val="auto"/>
              </w:rPr>
            </w:pPr>
            <w:r>
              <w:rPr>
                <w:rFonts w:ascii="Arial" w:cs="Arial" w:eastAsia="Arial" w:hAnsi="Arial"/>
                <w:sz w:val="15"/>
                <w:szCs w:val="15"/>
                <w:color w:val="auto"/>
              </w:rPr>
              <w:t>672,645</w:t>
            </w:r>
            <w:r>
              <w:rPr>
                <w:rFonts w:ascii="Arial" w:cs="Arial" w:eastAsia="Arial" w:hAnsi="Arial"/>
                <w:sz w:val="25"/>
                <w:szCs w:val="25"/>
                <w:color w:val="auto"/>
                <w:vertAlign w:val="superscript"/>
              </w:rPr>
              <w:t>(11)</w:t>
            </w:r>
          </w:p>
        </w:tc>
        <w:tc>
          <w:tcPr>
            <w:tcW w:w="2440" w:type="dxa"/>
            <w:vAlign w:val="bottom"/>
            <w:tcBorders>
              <w:bottom w:val="single" w:sz="8" w:color="E52823"/>
            </w:tcBorders>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bl>
    <w:p>
      <w:pPr>
        <w:spacing w:after="0" w:line="75"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Less than 1% of our outstanding common stock.</w:t>
      </w:r>
    </w:p>
    <w:p>
      <w:pPr>
        <w:spacing w:after="0" w:line="67"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Applicable percentage of ownership for each holder is based on 75,571,651 shares of common stock outstanding on April 3, 2020.</w:t>
      </w:r>
    </w:p>
    <w:p>
      <w:pPr>
        <w:spacing w:after="0" w:line="66" w:lineRule="exact"/>
        <w:rPr>
          <w:rFonts w:ascii="Arial" w:cs="Arial" w:eastAsia="Arial" w:hAnsi="Arial"/>
          <w:sz w:val="13"/>
          <w:szCs w:val="13"/>
          <w:color w:val="auto"/>
        </w:rPr>
      </w:pPr>
    </w:p>
    <w:p>
      <w:pPr>
        <w:ind w:left="440" w:right="180" w:hanging="324"/>
        <w:spacing w:after="0" w:line="230"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Information is based on a Schedule 13G/A filed by BlackRock, Inc. on February 4, 2020. According to the Schedule 13G/A, BlackRock, Inc. has sole voting power over 8,013,175 shares and sole dispositive power over all 8,069,950 shares.</w:t>
      </w:r>
    </w:p>
    <w:p>
      <w:pPr>
        <w:spacing w:after="0" w:line="64" w:lineRule="exact"/>
        <w:rPr>
          <w:rFonts w:ascii="Arial" w:cs="Arial" w:eastAsia="Arial" w:hAnsi="Arial"/>
          <w:sz w:val="13"/>
          <w:szCs w:val="13"/>
          <w:color w:val="auto"/>
        </w:rPr>
      </w:pPr>
    </w:p>
    <w:p>
      <w:pPr>
        <w:ind w:left="440" w:right="140" w:hanging="324"/>
        <w:spacing w:after="0" w:line="222"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Information is based on a Schedule 13G/A filed by Sessa Capital (Master), L.P. (the “Sessa Fund”), Sessa Capital GP, LLC, Sessa Capital IM, L.P., Sessa Capital IM GP, LLC and John Petry on February 14, 2020. According to the Schedule 13G/A, each of the Sessa Fund, Sessa Capital GP, LLC, Sessa Capital IM, L.P., Sessa Capital IM, GP, LLC and John Petry has sole voting and dispositive power over 7,285,260 shares. The Sessa Fund directly beneficially owns all 7,285,260 shares. Sessa Capital GP, LLC is the general partner of the Sessa Fund, Sessa Capital IM, L.P. is the investment manager of the Sessa Fund, Sessa Capital IM GP, LLC is the general partner of Sessa Capital IM, L.P. and Mr. Petry is the manager of Sessa Capital GP, LLC and Sessa Capital IM GP, LLC.</w:t>
      </w:r>
    </w:p>
    <w:p>
      <w:pPr>
        <w:spacing w:after="0" w:line="64" w:lineRule="exact"/>
        <w:rPr>
          <w:rFonts w:ascii="Arial" w:cs="Arial" w:eastAsia="Arial" w:hAnsi="Arial"/>
          <w:sz w:val="13"/>
          <w:szCs w:val="13"/>
          <w:color w:val="auto"/>
        </w:rPr>
      </w:pPr>
    </w:p>
    <w:p>
      <w:pPr>
        <w:ind w:left="440" w:right="160" w:hanging="324"/>
        <w:spacing w:after="0" w:line="223"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Information is based on a Schedule 13G/A filed by Deccan Value Investors L.P. (the “Deccan Investment Manager”) and Vinit Bodas on February 14, 2020. According to the Schedule 13G/A, each of the Deccan Investment Manager and Mr. Bodas has shared voting power and shared dispositive power over all 7,200,605 shares. The Deccan Investment Manager serves as an investment manager with respect to the shares held by certain funds and managed accounts. Mr. Bodas is the managing member of Deccan Value LLC, the general partner of the Deccan Investment Manager.</w:t>
      </w:r>
    </w:p>
    <w:p>
      <w:pPr>
        <w:spacing w:after="0" w:line="65" w:lineRule="exact"/>
        <w:rPr>
          <w:rFonts w:ascii="Arial" w:cs="Arial" w:eastAsia="Arial" w:hAnsi="Arial"/>
          <w:sz w:val="13"/>
          <w:szCs w:val="13"/>
          <w:color w:val="auto"/>
        </w:rPr>
      </w:pPr>
    </w:p>
    <w:p>
      <w:pPr>
        <w:ind w:left="440" w:right="20" w:hanging="324"/>
        <w:spacing w:after="0" w:line="221"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Information is based on a Schedule 13G filed by Dynamo Internacional Gestão de Recursos Ltda. (“Dynamo”) on February 14, 2020. According to the Schedule 13G, Dynamo has sole voting and dispositive power over all 3,773,845 shares. Dynamo serves as the investment manager of Dynamo Global Master Fundo de Investimento em Ações – Investimento no Exterior (“Dynamo Global Master Fund”) and Dynamo Master Fund (together with Dynamo Global Master Fund, the “Master Funds”), which directly hold the shares reported herein. The controlling shareholders of Dynamo Global Master Fund are Dynamo Global Fundo de Investimento em Cotas de Fundo de Investimento em Ações – Investimento no Exterior and Dybra Global Fundo de Investimento em Cotas de Fundo de Investimento em Ações – Investimento no Exterior, and the controlling shareholders of Dynamo Master Fund are Dynamo Fund and Dynamo Fund LLC (the controlling shareholders together, the “Feeder Funds”).</w:t>
      </w:r>
    </w:p>
    <w:p>
      <w:pPr>
        <w:spacing w:after="0" w:line="65"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options to purchase 27,138 shares that will vest on or before June 2,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options to purchase 6,892 shares that will vest on or before June 2,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options to purchase 3,135 shares that will vest on or before June 2,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options to purchase 5,582 shares that will vest on or before June 2,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options to purchase 7,327 shares that will vest on or before June 2, 2020.</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options to purchase an aggregate of 58,391 shares of common stock that will vest on or before June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61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CERTAIN RELATIONSHIPS AND RELATED PERSON TRANSACTIONS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Person Transactions</w:t>
      </w:r>
    </w:p>
    <w:p>
      <w:pPr>
        <w:spacing w:after="0" w:line="200" w:lineRule="exact"/>
        <w:rPr>
          <w:sz w:val="20"/>
          <w:szCs w:val="20"/>
          <w:color w:val="auto"/>
        </w:rPr>
      </w:pPr>
    </w:p>
    <w:p>
      <w:pPr>
        <w:ind w:left="120"/>
        <w:spacing w:after="0" w:line="246" w:lineRule="auto"/>
        <w:rPr>
          <w:sz w:val="20"/>
          <w:szCs w:val="20"/>
          <w:color w:val="auto"/>
        </w:rPr>
      </w:pPr>
      <w:r>
        <w:rPr>
          <w:rFonts w:ascii="Arial" w:cs="Arial" w:eastAsia="Arial" w:hAnsi="Arial"/>
          <w:sz w:val="16"/>
          <w:szCs w:val="16"/>
          <w:color w:val="auto"/>
        </w:rPr>
        <w:t>Our Board has adopted written policies and procedures (the “Policy”) for the review, approval and ratification of any transaction, arrangement or relationship (or any series of similar transactions, arrangements or relationships) (“Related Person Transactions”) in which the Company (including any of its subsidiaries) was, is or will be a participant and the amount involved exceeds $120,000, and in which any “Related Person” had, has or will have a direct or indirect material interest. Under the Policy, a “Related Person” includes (i) any person who is, or at any time since the beginning of the Company’s last fiscal year was, a director, executive officer or a nominee to become a director of the Company; (ii) any person (or group) who is the beneficial owner of more than 5% of any class of the Company’s voting securities; (iii) any immediate family member of any of the foregoing persons; and</w:t>
      </w:r>
    </w:p>
    <w:p>
      <w:pPr>
        <w:spacing w:after="0" w:line="2" w:lineRule="exact"/>
        <w:rPr>
          <w:sz w:val="20"/>
          <w:szCs w:val="20"/>
          <w:color w:val="auto"/>
        </w:rPr>
      </w:pPr>
    </w:p>
    <w:p>
      <w:pPr>
        <w:ind w:left="120" w:right="100" w:hanging="4"/>
        <w:spacing w:after="0" w:line="260" w:lineRule="auto"/>
        <w:tabs>
          <w:tab w:leader="none" w:pos="39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firm, corporation or other entity in which any of the foregoing persons is employed or is a general partner or principal or in a similar position or in which such person has a 10% or greater beneficial ownership interest.</w:t>
      </w:r>
    </w:p>
    <w:p>
      <w:pPr>
        <w:spacing w:after="0" w:line="155"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Prior to entering into any Related Person Transaction, the Related Person must provide notice to our General Counsel of the facts and circumstances of the proposed Related Person Transaction. The Policy calls for the proposed transaction to be assessed by the General Counsel and, if determined to be a Related Person Transaction, submitted to the Nominating and Governance Committee for its consideration at the next Nominating and Governance Committee meeting or, if the General Counsel, in consultation with the Chief Executive Officer or Chief Financial Officer, determines that it is not practicable or desirable to wait until the next Nominating and Governance Committee meeting, to the Chair of the Nominating and Governance Committee.</w:t>
      </w:r>
    </w:p>
    <w:p>
      <w:pPr>
        <w:spacing w:after="0" w:line="178"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auto"/>
        </w:rPr>
        <w:t>The Nominating and Governance Committee or Chair of the Nominating and Governance Committee, as applicable, will review and consider all the relevant facts and circumstances available, including but not limited to:</w:t>
      </w:r>
    </w:p>
    <w:p>
      <w:pPr>
        <w:spacing w:after="0" w:line="60" w:lineRule="exact"/>
        <w:rPr>
          <w:sz w:val="20"/>
          <w:szCs w:val="20"/>
          <w:color w:val="auto"/>
        </w:rPr>
      </w:pPr>
    </w:p>
    <w:p>
      <w:pPr>
        <w:ind w:left="340" w:hanging="224"/>
        <w:spacing w:after="0"/>
        <w:tabs>
          <w:tab w:leader="none" w:pos="340" w:val="left"/>
        </w:tabs>
        <w:numPr>
          <w:ilvl w:val="0"/>
          <w:numId w:val="59"/>
        </w:numPr>
        <w:rPr>
          <w:rFonts w:ascii="Arial" w:cs="Arial" w:eastAsia="Arial" w:hAnsi="Arial"/>
          <w:sz w:val="16"/>
          <w:szCs w:val="16"/>
          <w:color w:val="E52823"/>
        </w:rPr>
      </w:pPr>
      <w:r>
        <w:rPr>
          <w:rFonts w:ascii="Arial" w:cs="Arial" w:eastAsia="Arial" w:hAnsi="Arial"/>
          <w:sz w:val="16"/>
          <w:szCs w:val="16"/>
          <w:color w:val="auto"/>
        </w:rPr>
        <w:t>the benefits to the Company of the proposed transaction;</w:t>
      </w:r>
    </w:p>
    <w:p>
      <w:pPr>
        <w:spacing w:after="0" w:line="86" w:lineRule="exact"/>
        <w:rPr>
          <w:rFonts w:ascii="Arial" w:cs="Arial" w:eastAsia="Arial" w:hAnsi="Arial"/>
          <w:sz w:val="16"/>
          <w:szCs w:val="16"/>
          <w:color w:val="E52823"/>
        </w:rPr>
      </w:pPr>
    </w:p>
    <w:p>
      <w:pPr>
        <w:ind w:left="340" w:right="20" w:hanging="224"/>
        <w:spacing w:after="0" w:line="260" w:lineRule="auto"/>
        <w:tabs>
          <w:tab w:leader="none" w:pos="340" w:val="left"/>
        </w:tabs>
        <w:numPr>
          <w:ilvl w:val="0"/>
          <w:numId w:val="59"/>
        </w:numPr>
        <w:rPr>
          <w:rFonts w:ascii="Arial" w:cs="Arial" w:eastAsia="Arial" w:hAnsi="Arial"/>
          <w:sz w:val="16"/>
          <w:szCs w:val="16"/>
          <w:color w:val="E52823"/>
        </w:rPr>
      </w:pPr>
      <w:r>
        <w:rPr>
          <w:rFonts w:ascii="Arial" w:cs="Arial" w:eastAsia="Arial" w:hAnsi="Arial"/>
          <w:sz w:val="16"/>
          <w:szCs w:val="16"/>
          <w:color w:val="auto"/>
        </w:rPr>
        <w:t>the impact on a director’s independence in the event the Related Person is a director, an immediately family member of a director or an entity in which a director is a partner, stockholder or executive officer; and</w:t>
      </w:r>
    </w:p>
    <w:p>
      <w:pPr>
        <w:spacing w:after="0" w:line="60" w:lineRule="exact"/>
        <w:rPr>
          <w:rFonts w:ascii="Arial" w:cs="Arial" w:eastAsia="Arial" w:hAnsi="Arial"/>
          <w:sz w:val="16"/>
          <w:szCs w:val="16"/>
          <w:color w:val="E52823"/>
        </w:rPr>
      </w:pPr>
    </w:p>
    <w:p>
      <w:pPr>
        <w:ind w:left="340" w:right="100" w:hanging="224"/>
        <w:spacing w:after="0" w:line="260" w:lineRule="auto"/>
        <w:tabs>
          <w:tab w:leader="none" w:pos="340" w:val="left"/>
        </w:tabs>
        <w:numPr>
          <w:ilvl w:val="0"/>
          <w:numId w:val="59"/>
        </w:numPr>
        <w:rPr>
          <w:rFonts w:ascii="Arial" w:cs="Arial" w:eastAsia="Arial" w:hAnsi="Arial"/>
          <w:sz w:val="16"/>
          <w:szCs w:val="16"/>
          <w:color w:val="E52823"/>
        </w:rPr>
      </w:pPr>
      <w:r>
        <w:rPr>
          <w:rFonts w:ascii="Arial" w:cs="Arial" w:eastAsia="Arial" w:hAnsi="Arial"/>
          <w:sz w:val="16"/>
          <w:szCs w:val="16"/>
          <w:color w:val="auto"/>
        </w:rPr>
        <w:t>the availability of other sources for comparable products or services, the terms of the transaction, and the terms available to unrelated third parties or to employees generally.</w:t>
      </w:r>
    </w:p>
    <w:p>
      <w:pPr>
        <w:spacing w:after="0" w:line="155" w:lineRule="exact"/>
        <w:rPr>
          <w:sz w:val="20"/>
          <w:szCs w:val="20"/>
          <w:color w:val="auto"/>
        </w:rPr>
      </w:pPr>
    </w:p>
    <w:p>
      <w:pPr>
        <w:jc w:val="both"/>
        <w:ind w:left="120" w:right="360"/>
        <w:spacing w:after="0" w:line="251" w:lineRule="auto"/>
        <w:rPr>
          <w:sz w:val="20"/>
          <w:szCs w:val="20"/>
          <w:color w:val="auto"/>
        </w:rPr>
      </w:pPr>
      <w:r>
        <w:rPr>
          <w:rFonts w:ascii="Arial" w:cs="Arial" w:eastAsia="Arial" w:hAnsi="Arial"/>
          <w:sz w:val="16"/>
          <w:szCs w:val="16"/>
          <w:color w:val="auto"/>
        </w:rPr>
        <w:t>The Nominating and Governance Committee (or the Chair of the Nominating and Governance Committee) shall approve only those Related Person Transactions that are in, or are not inconsistent with, the best interests of the Company, as the Nominating and Governance Committee (or its Chair) determines in good faith. From time to time, the Nominating and Governance Committee shall review certain previously approved or ratified Related Person Transactions that remain ongoing in nature.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not been a party to any Related Person Transactions since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6254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62</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420"/>
        <w:spacing w:after="0" w:line="298" w:lineRule="auto"/>
        <w:rPr>
          <w:sz w:val="20"/>
          <w:szCs w:val="20"/>
          <w:color w:val="auto"/>
        </w:rPr>
      </w:pPr>
      <w:r>
        <w:rPr>
          <w:rFonts w:ascii="Arial" w:cs="Arial" w:eastAsia="Arial" w:hAnsi="Arial"/>
          <w:sz w:val="23"/>
          <w:szCs w:val="23"/>
          <w:b w:val="1"/>
          <w:bCs w:val="1"/>
          <w:color w:val="E52823"/>
        </w:rPr>
        <w:t>PROPOSAL TWO—RATIFICATION OF APPOINTMENT OF INDEPENDENT REGISTERED PUBLIC ACCOUNTING FIRM</w:t>
      </w:r>
    </w:p>
    <w:p>
      <w:pPr>
        <w:spacing w:after="0" w:line="125"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Audit Committee of our Board has appointed the firm of Deloitte SA as our independent registered public accounting firm for the fiscal year ending December 31, 2020. Although stockholder ratification of the appointment of Deloitte SA is not required by law, our Board believes that it is advisable to give stockholders an opportunity to ratify this appointment. If this proposal is not approved at the Annual Meeting, our Audit Committee will reconsider its appointment of Deloitte SA. Deloitte SA served as our independent registered accounting firm for the year ended December 31, 2019. Representatives of Deloitte SA are expected to be present at the Annual Meeting and will have the opportunity to make a statement, if they desire to do so, and will be available to respond to appropriate questions from our stockholders. Even if the selection of Deloitte SA is ratified, the Audit Committee retains the discretion to select a different independent registered public accounting firm at any time if it determines that such a change would be in the best interests of the Company.</w:t>
      </w:r>
    </w:p>
    <w:p>
      <w:pPr>
        <w:spacing w:after="0" w:line="167"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As previously disclosed in the Form 8-K filed with the SEC on November 6, 2018 (the “Form 8-K”), on November 1, 2018, the Audit Committee approved the engagement of Deloitte SA as the Company’s independent registered public accounting firm, effective immediately. On the same date, the Audit Committee dismissed Deloitte &amp; Touche LLP (“Deloitte US”) as the Company’s independent registered public accounting firm.</w:t>
      </w:r>
    </w:p>
    <w:p>
      <w:pPr>
        <w:spacing w:after="0" w:line="16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In connection with the Spin-Off, Honeywell had engaged Deloitte US to audit the combined financial statements of the Business included in the Company’s Registration Statement on Form 10, as amended and filed with the Securities and Exchange Commission on September 5, 2018 (the “Form 10”). The report of Deloitte US on the combined financial statements of the Business for each of the two fiscal years ended December 31, 2016 and 2017 included in the Form 10 did not contain an adverse opinion or a disclaimer of opinion, nor was the report qualified or modified as to uncertainty, audit scope or accounting principles.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fiscal years ended December 31, 2016 and December 31, 2017, and the subsequent interim period through November 1, 2018, there were no</w:t>
      </w:r>
    </w:p>
    <w:p>
      <w:pPr>
        <w:spacing w:after="0" w:line="5" w:lineRule="exact"/>
        <w:rPr>
          <w:sz w:val="20"/>
          <w:szCs w:val="20"/>
          <w:color w:val="auto"/>
        </w:rPr>
      </w:pPr>
    </w:p>
    <w:p>
      <w:pPr>
        <w:ind w:left="120" w:hanging="4"/>
        <w:spacing w:after="0" w:line="248" w:lineRule="auto"/>
        <w:tabs>
          <w:tab w:leader="none" w:pos="3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“disagreements” (as that term is defined in Item 304(a)(1)(iv) of Regulation S-K and the related instructions) between the Company and Deloitte US on any matter of accounting principles or practices, financial statement disclosure, or auditing scope or procedures which, if not resolved to the satisfaction of Deloitte US would have caused Deloitte US to make reference to the matter in connection with its report, or (b) “reportable events,” as that term is defined in Item 304(a)(1)(v) of Regulation S-K, except that, as previously disclosed in the Form 10, a material weakness in internal control over financial reporting was identified in August 2018 related to the estimation in the liability for unasserted Bendix-related asbestos claims. Specifically, it was determined that there were not effective controls in place to provide reasonable assurance that a material error would be prevented or detected related to the application of ASC 450 (Contingencies) in the estimation of such Bendix-related asbestos liability. Prior to the Spin-Off, and at the time the material weakness was identified, the Company was not a standalone entity and did not have a board of directors or an audit committee. Therefore, the Audit Committee did not discuss the material weakness with Deloitte US. The Company has authorized Deloitte US to respond fully to the inquiries of Deloitte SA concerning the material weakness.</w:t>
      </w:r>
    </w:p>
    <w:p>
      <w:pPr>
        <w:spacing w:after="0" w:line="164"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During the fiscal years ended December 31, 2016 and 2017, and the subsequent interim period through November 1, 2018, neither the Company nor the Business, nor anyone on their behalf, consulted with Deloitte SA with respect to (a) the application of accounting principles to a specified transaction, either completed or proposed, or the type of audit opinion that might be rendered on the Company’s consolidated financial statements, and neither a written report nor oral advice was provided to the Company that Deloitte SA concluded was an important factor considered by the Company in reaching a decision as to any accounting, auditing or financial reporting issue, or (b) any matter that was either the subject of a “disagreement” (as defined in Item 304(a)(1)(iv) of Regulation S-K and the related instructions) or a “reportable event” (as described in Item 304(a)(1)(v) of Regulation S-K).</w:t>
      </w:r>
    </w:p>
    <w:p>
      <w:pPr>
        <w:spacing w:after="0" w:line="16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Company provided Deloitte US with a copy of the disclosures that it made in the Form 8-K and requested that Deloitte US furnish the Company with a letter addressed to the SEC stating whether it agrees with the statements contained in such Form 8-K. A copy of Deloitte US’s letter, dated November 6, 2018, was filed as Exhibit 16.1 to the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6254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63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Recommendation</w:t>
      </w:r>
    </w:p>
    <w:p>
      <w:pPr>
        <w:spacing w:after="0" w:line="229" w:lineRule="exact"/>
        <w:rPr>
          <w:sz w:val="20"/>
          <w:szCs w:val="20"/>
          <w:color w:val="auto"/>
        </w:rPr>
      </w:pPr>
    </w:p>
    <w:p>
      <w:pPr>
        <w:ind w:left="1220" w:right="500"/>
        <w:spacing w:after="0" w:line="271" w:lineRule="auto"/>
        <w:rPr>
          <w:sz w:val="20"/>
          <w:szCs w:val="20"/>
          <w:color w:val="auto"/>
        </w:rPr>
      </w:pPr>
      <w:r>
        <w:rPr>
          <w:rFonts w:ascii="Arial" w:cs="Arial" w:eastAsia="Arial" w:hAnsi="Arial"/>
          <w:sz w:val="18"/>
          <w:szCs w:val="18"/>
          <w:color w:val="auto"/>
        </w:rPr>
        <w:t xml:space="preserve">The Board recommends a vote </w:t>
      </w:r>
      <w:r>
        <w:rPr>
          <w:rFonts w:ascii="Arial" w:cs="Arial" w:eastAsia="Arial" w:hAnsi="Arial"/>
          <w:sz w:val="18"/>
          <w:szCs w:val="18"/>
          <w:b w:val="1"/>
          <w:bCs w:val="1"/>
          <w:color w:val="E52823"/>
        </w:rPr>
        <w:t>“FOR”</w:t>
      </w:r>
      <w:r>
        <w:rPr>
          <w:rFonts w:ascii="Arial" w:cs="Arial" w:eastAsia="Arial" w:hAnsi="Arial"/>
          <w:sz w:val="18"/>
          <w:szCs w:val="18"/>
          <w:color w:val="auto"/>
        </w:rPr>
        <w:t xml:space="preserve"> the ratification of the appointment by the Audit Committee of Deloitte SA as our independent registered public accounting firm for the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-290195</wp:posOffset>
            </wp:positionV>
            <wp:extent cx="7003415" cy="5060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0034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Principal Accountant Fees and Services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fees of Deloitte SA, our independent registered public accounting firm, billed to us for each of the last two fiscal years.</w:t>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81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Fee Category</w:t>
            </w:r>
          </w:p>
        </w:tc>
        <w:tc>
          <w:tcPr>
            <w:tcW w:w="15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2019</w:t>
            </w:r>
          </w:p>
        </w:tc>
        <w:tc>
          <w:tcPr>
            <w:tcW w:w="13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2018</w:t>
            </w:r>
          </w:p>
        </w:tc>
      </w:tr>
      <w:tr>
        <w:trPr>
          <w:trHeight w:val="203"/>
        </w:trPr>
        <w:tc>
          <w:tcPr>
            <w:tcW w:w="8140" w:type="dxa"/>
            <w:vAlign w:val="bottom"/>
            <w:shd w:val="clear" w:color="auto" w:fill="E5E5E5"/>
          </w:tcPr>
          <w:p>
            <w:pPr>
              <w:ind w:left="60"/>
              <w:spacing w:after="0" w:line="202" w:lineRule="exact"/>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15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$3,706,000</w:t>
            </w:r>
          </w:p>
        </w:tc>
        <w:tc>
          <w:tcPr>
            <w:tcW w:w="136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$3,090,800</w:t>
            </w:r>
          </w:p>
        </w:tc>
      </w:tr>
      <w:tr>
        <w:trPr>
          <w:trHeight w:val="216"/>
        </w:trPr>
        <w:tc>
          <w:tcPr>
            <w:tcW w:w="8140" w:type="dxa"/>
            <w:vAlign w:val="bottom"/>
          </w:tcPr>
          <w:p>
            <w:pPr>
              <w:ind w:left="60"/>
              <w:spacing w:after="0" w:line="216" w:lineRule="exact"/>
              <w:rPr>
                <w:sz w:val="20"/>
                <w:szCs w:val="20"/>
                <w:color w:val="auto"/>
              </w:rPr>
            </w:pPr>
            <w:r>
              <w:rPr>
                <w:rFonts w:ascii="Arial" w:cs="Arial" w:eastAsia="Arial" w:hAnsi="Arial"/>
                <w:sz w:val="15"/>
                <w:szCs w:val="15"/>
                <w:color w:val="auto"/>
              </w:rPr>
              <w:t>Audit-Related Fees</w:t>
            </w:r>
            <w:r>
              <w:rPr>
                <w:rFonts w:ascii="Arial" w:cs="Arial" w:eastAsia="Arial" w:hAnsi="Arial"/>
                <w:sz w:val="25"/>
                <w:szCs w:val="25"/>
                <w:color w:val="auto"/>
                <w:vertAlign w:val="superscript"/>
              </w:rPr>
              <w:t>(2)</w:t>
            </w:r>
          </w:p>
        </w:tc>
        <w:tc>
          <w:tcPr>
            <w:tcW w:w="1520" w:type="dxa"/>
            <w:vAlign w:val="bottom"/>
          </w:tcPr>
          <w:p>
            <w:pPr>
              <w:jc w:val="right"/>
              <w:ind w:right="221"/>
              <w:spacing w:after="0"/>
              <w:rPr>
                <w:sz w:val="20"/>
                <w:szCs w:val="20"/>
                <w:color w:val="auto"/>
              </w:rPr>
            </w:pPr>
            <w:r>
              <w:rPr>
                <w:rFonts w:ascii="Arial" w:cs="Arial" w:eastAsia="Arial" w:hAnsi="Arial"/>
                <w:sz w:val="16"/>
                <w:szCs w:val="16"/>
                <w:color w:val="auto"/>
              </w:rPr>
              <w:t>$7,000</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$1,300</w:t>
            </w:r>
          </w:p>
        </w:tc>
      </w:tr>
      <w:tr>
        <w:trPr>
          <w:trHeight w:val="216"/>
        </w:trPr>
        <w:tc>
          <w:tcPr>
            <w:tcW w:w="8140" w:type="dxa"/>
            <w:vAlign w:val="bottom"/>
            <w:shd w:val="clear" w:color="auto" w:fill="E5E5E5"/>
          </w:tcPr>
          <w:p>
            <w:pPr>
              <w:ind w:left="60"/>
              <w:spacing w:after="0" w:line="216" w:lineRule="exact"/>
              <w:rPr>
                <w:sz w:val="20"/>
                <w:szCs w:val="20"/>
                <w:color w:val="auto"/>
              </w:rPr>
            </w:pPr>
            <w:r>
              <w:rPr>
                <w:rFonts w:ascii="Arial" w:cs="Arial" w:eastAsia="Arial" w:hAnsi="Arial"/>
                <w:sz w:val="15"/>
                <w:szCs w:val="15"/>
                <w:color w:val="auto"/>
              </w:rPr>
              <w:t>Tax Fees</w:t>
            </w:r>
            <w:r>
              <w:rPr>
                <w:rFonts w:ascii="Arial" w:cs="Arial" w:eastAsia="Arial" w:hAnsi="Arial"/>
                <w:sz w:val="25"/>
                <w:szCs w:val="25"/>
                <w:color w:val="auto"/>
                <w:vertAlign w:val="superscript"/>
              </w:rPr>
              <w:t>(3)</w:t>
            </w:r>
          </w:p>
        </w:tc>
        <w:tc>
          <w:tcPr>
            <w:tcW w:w="1520" w:type="dxa"/>
            <w:vAlign w:val="bottom"/>
            <w:shd w:val="clear" w:color="auto" w:fill="E5E5E5"/>
          </w:tcPr>
          <w:p>
            <w:pPr>
              <w:jc w:val="right"/>
              <w:ind w:right="221"/>
              <w:spacing w:after="0"/>
              <w:rPr>
                <w:sz w:val="20"/>
                <w:szCs w:val="20"/>
                <w:color w:val="auto"/>
              </w:rPr>
            </w:pPr>
            <w:r>
              <w:rPr>
                <w:rFonts w:ascii="Arial" w:cs="Arial" w:eastAsia="Arial" w:hAnsi="Arial"/>
                <w:sz w:val="16"/>
                <w:szCs w:val="16"/>
                <w:color w:val="auto"/>
              </w:rPr>
              <w:t>$76,000</w:t>
            </w:r>
          </w:p>
        </w:tc>
        <w:tc>
          <w:tcPr>
            <w:tcW w:w="136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r>
      <w:tr>
        <w:trPr>
          <w:trHeight w:val="216"/>
        </w:trPr>
        <w:tc>
          <w:tcPr>
            <w:tcW w:w="8140" w:type="dxa"/>
            <w:vAlign w:val="bottom"/>
          </w:tcPr>
          <w:p>
            <w:pPr>
              <w:ind w:left="60"/>
              <w:spacing w:after="0" w:line="216" w:lineRule="exact"/>
              <w:rPr>
                <w:sz w:val="20"/>
                <w:szCs w:val="20"/>
                <w:color w:val="auto"/>
              </w:rPr>
            </w:pPr>
            <w:r>
              <w:rPr>
                <w:rFonts w:ascii="Arial" w:cs="Arial" w:eastAsia="Arial" w:hAnsi="Arial"/>
                <w:sz w:val="15"/>
                <w:szCs w:val="15"/>
                <w:color w:val="auto"/>
              </w:rPr>
              <w:t>All Other Fees</w:t>
            </w:r>
            <w:r>
              <w:rPr>
                <w:rFonts w:ascii="Arial" w:cs="Arial" w:eastAsia="Arial" w:hAnsi="Arial"/>
                <w:sz w:val="25"/>
                <w:szCs w:val="25"/>
                <w:color w:val="auto"/>
                <w:vertAlign w:val="superscript"/>
              </w:rPr>
              <w:t>(4)</w:t>
            </w:r>
          </w:p>
        </w:tc>
        <w:tc>
          <w:tcPr>
            <w:tcW w:w="15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rPr>
                <w:sz w:val="20"/>
                <w:szCs w:val="20"/>
                <w:color w:val="auto"/>
              </w:rPr>
            </w:pPr>
            <w:r>
              <w:rPr>
                <w:rFonts w:ascii="Arial" w:cs="Arial" w:eastAsia="Arial" w:hAnsi="Arial"/>
                <w:sz w:val="16"/>
                <w:szCs w:val="16"/>
                <w:color w:val="auto"/>
              </w:rPr>
              <w:t>$50,000</w:t>
            </w:r>
          </w:p>
        </w:tc>
      </w:tr>
      <w:tr>
        <w:trPr>
          <w:trHeight w:val="216"/>
        </w:trPr>
        <w:tc>
          <w:tcPr>
            <w:tcW w:w="8140" w:type="dxa"/>
            <w:vAlign w:val="bottom"/>
            <w:tcBorders>
              <w:bottom w:val="single" w:sz="8" w:color="E52823"/>
            </w:tcBorders>
            <w:shd w:val="clear" w:color="auto" w:fill="E5E5E5"/>
          </w:tcPr>
          <w:p>
            <w:pPr>
              <w:ind w:left="380"/>
              <w:spacing w:after="0"/>
              <w:rPr>
                <w:sz w:val="20"/>
                <w:szCs w:val="20"/>
                <w:color w:val="auto"/>
              </w:rPr>
            </w:pPr>
            <w:r>
              <w:rPr>
                <w:rFonts w:ascii="Arial" w:cs="Arial" w:eastAsia="Arial" w:hAnsi="Arial"/>
                <w:sz w:val="16"/>
                <w:szCs w:val="16"/>
                <w:color w:val="auto"/>
              </w:rPr>
              <w:t>Total Fees</w:t>
            </w:r>
          </w:p>
        </w:tc>
        <w:tc>
          <w:tcPr>
            <w:tcW w:w="1520" w:type="dxa"/>
            <w:vAlign w:val="bottom"/>
            <w:tcBorders>
              <w:bottom w:val="single" w:sz="8" w:color="E52823"/>
            </w:tcBorders>
            <w:shd w:val="clear" w:color="auto" w:fill="E5E5E5"/>
          </w:tcPr>
          <w:p>
            <w:pPr>
              <w:jc w:val="right"/>
              <w:ind w:right="221"/>
              <w:spacing w:after="0"/>
              <w:rPr>
                <w:sz w:val="20"/>
                <w:szCs w:val="20"/>
                <w:color w:val="auto"/>
              </w:rPr>
            </w:pPr>
            <w:r>
              <w:rPr>
                <w:rFonts w:ascii="Arial" w:cs="Arial" w:eastAsia="Arial" w:hAnsi="Arial"/>
                <w:sz w:val="16"/>
                <w:szCs w:val="16"/>
                <w:color w:val="auto"/>
              </w:rPr>
              <w:t>$3,789,000</w:t>
            </w:r>
          </w:p>
        </w:tc>
        <w:tc>
          <w:tcPr>
            <w:tcW w:w="1360" w:type="dxa"/>
            <w:vAlign w:val="bottom"/>
            <w:tcBorders>
              <w:bottom w:val="single" w:sz="8" w:color="E52823"/>
            </w:tcBorders>
            <w:shd w:val="clear" w:color="auto" w:fill="E5E5E5"/>
          </w:tcPr>
          <w:p>
            <w:pPr>
              <w:jc w:val="right"/>
              <w:ind w:right="141"/>
              <w:spacing w:after="0"/>
              <w:rPr>
                <w:sz w:val="20"/>
                <w:szCs w:val="20"/>
                <w:color w:val="auto"/>
              </w:rPr>
            </w:pPr>
            <w:r>
              <w:rPr>
                <w:rFonts w:ascii="Arial" w:cs="Arial" w:eastAsia="Arial" w:hAnsi="Arial"/>
                <w:sz w:val="16"/>
                <w:szCs w:val="16"/>
                <w:color w:val="auto"/>
              </w:rPr>
              <w:t>$3,142,100</w:t>
            </w:r>
          </w:p>
        </w:tc>
      </w:tr>
    </w:tbl>
    <w:p>
      <w:pPr>
        <w:spacing w:after="0" w:line="75" w:lineRule="exact"/>
        <w:rPr>
          <w:sz w:val="20"/>
          <w:szCs w:val="20"/>
          <w:color w:val="auto"/>
        </w:rPr>
      </w:pPr>
    </w:p>
    <w:p>
      <w:pPr>
        <w:ind w:left="440" w:right="100" w:hanging="324"/>
        <w:spacing w:after="0" w:line="230" w:lineRule="auto"/>
        <w:tabs>
          <w:tab w:leader="none" w:pos="4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Audit fees consist of fees for the audit of our financial statements, the review of the interim financial statements included in our quarterly reports on Form 10-Q, and other professional services provided in connection with statutory and regulatory filings or engagements.</w:t>
      </w:r>
    </w:p>
    <w:p>
      <w:pPr>
        <w:spacing w:after="0" w:line="64" w:lineRule="exact"/>
        <w:rPr>
          <w:rFonts w:ascii="Arial" w:cs="Arial" w:eastAsia="Arial" w:hAnsi="Arial"/>
          <w:sz w:val="13"/>
          <w:szCs w:val="13"/>
          <w:color w:val="auto"/>
        </w:rPr>
      </w:pPr>
    </w:p>
    <w:p>
      <w:pPr>
        <w:ind w:left="440" w:hanging="324"/>
        <w:spacing w:after="0"/>
        <w:tabs>
          <w:tab w:leader="none" w:pos="4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Audit-related fees consist of fees that are reasonably related to the performance of the audit and the review of our financial statements and which are not reported under “Audit Fees.”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Tax fees consist of fees for tax-related services, including tax compliance and tax advice.</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All other fees consist of fees for the delivery of a workshop to facilitate our identification of digital transformation opportunities.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Pre-Approval Policies and Procedures</w:t>
      </w:r>
    </w:p>
    <w:p>
      <w:pPr>
        <w:spacing w:after="0" w:line="200"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The Audit Committee has adopted policies and procedures relating to the approval of all audit and non-audit services that are to be performed by the Company’s independent registered public accounting firm. This policy provides that the Company will not engage its independent registered public accounting firm to render audit or non-audit services unless the Audit Committee specifically approves the service in advance. Between regularly scheduled meetings of the Audit Committee, the chairperson of the Audit Committee may pre-approve the terms and fees of non-audit engagements with the independent auditor. Any such pre-approvals by the chairperson of the Audit Committee will be presented to the full Audit Committee at its next regularly scheduled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Report of the Audit Committee</w:t>
      </w:r>
    </w:p>
    <w:p>
      <w:pPr>
        <w:spacing w:after="0" w:line="200"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auto"/>
        </w:rPr>
        <w:t>The Audit Committee has reviewed our audited consolidated financial statements for the fiscal year ended December 31, 2019 and has discussed these consolidated financial statements with our management and our independent registered public accounting firm. Management is responsible for the preparation of our consolidated financial statements and for maintaining an adequate system of disclosure controls and procedures and internal control over financial reporting for that purpose. Our independent registered public accounting firm is responsible for conducting an independent audit of our annual consolidated financial statements in accordance with generally accepted auditing standards and issuing a report on the results of their audit. The Audit Committee is responsible for providing independent, objective oversight of these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6254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64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6"/>
          <w:szCs w:val="16"/>
          <w:color w:val="auto"/>
        </w:rPr>
        <w:t>The Audit Committee has also received from, and discussed with, our independent registered public accounting firm various communications that they are required to provide to the Audit Committee, including the matters required to be discussed by the Public Company Accounting Oversight Board and the SEC.</w:t>
      </w:r>
    </w:p>
    <w:p>
      <w:pPr>
        <w:spacing w:after="0" w:line="174" w:lineRule="exact"/>
        <w:rPr>
          <w:sz w:val="20"/>
          <w:szCs w:val="20"/>
          <w:color w:val="auto"/>
        </w:rPr>
      </w:pPr>
    </w:p>
    <w:p>
      <w:pPr>
        <w:ind w:left="120" w:right="400"/>
        <w:spacing w:after="0" w:line="253" w:lineRule="auto"/>
        <w:rPr>
          <w:sz w:val="20"/>
          <w:szCs w:val="20"/>
          <w:color w:val="auto"/>
        </w:rPr>
      </w:pPr>
      <w:r>
        <w:rPr>
          <w:rFonts w:ascii="Arial" w:cs="Arial" w:eastAsia="Arial" w:hAnsi="Arial"/>
          <w:sz w:val="16"/>
          <w:szCs w:val="16"/>
          <w:color w:val="auto"/>
        </w:rPr>
        <w:t>Our independent registered public accounting firm also provided the Audit Committee with the written disclosures and letter required by applicable requirements of the Public Company Accounting Oversight Board regarding the independent accountant’s communications with the Audit Committee concerning independence, and our Audit Committee has discussed with our independent registered public accounting firm its independence.</w:t>
      </w:r>
    </w:p>
    <w:p>
      <w:pPr>
        <w:spacing w:after="0" w:line="161" w:lineRule="exact"/>
        <w:rPr>
          <w:sz w:val="20"/>
          <w:szCs w:val="20"/>
          <w:color w:val="auto"/>
        </w:rPr>
      </w:pPr>
    </w:p>
    <w:p>
      <w:pPr>
        <w:ind w:left="120" w:right="740"/>
        <w:spacing w:after="0" w:line="260" w:lineRule="auto"/>
        <w:rPr>
          <w:sz w:val="20"/>
          <w:szCs w:val="20"/>
          <w:color w:val="auto"/>
        </w:rPr>
      </w:pPr>
      <w:r>
        <w:rPr>
          <w:rFonts w:ascii="Arial" w:cs="Arial" w:eastAsia="Arial" w:hAnsi="Arial"/>
          <w:sz w:val="16"/>
          <w:szCs w:val="16"/>
          <w:color w:val="auto"/>
        </w:rPr>
        <w:t>Based on the review and discussions referred to above, the Audit Committee recommended to our Board that the audited consolidated financial statements be included in our Annual Report on Form 10-K for the year ended December 31, 2019 for filing with the SEC.</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the Audit Committee of the Board of Directors of Garrett Motion Inc.:</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Scott A. Tozier (Chair)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Carlos M. Cardoso</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Courtney M. Enghauser</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Susan L.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6254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65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1580"/>
        <w:spacing w:after="0" w:line="298" w:lineRule="auto"/>
        <w:rPr>
          <w:sz w:val="20"/>
          <w:szCs w:val="20"/>
          <w:color w:val="auto"/>
        </w:rPr>
      </w:pPr>
      <w:r>
        <w:rPr>
          <w:rFonts w:ascii="Arial" w:cs="Arial" w:eastAsia="Arial" w:hAnsi="Arial"/>
          <w:sz w:val="23"/>
          <w:szCs w:val="23"/>
          <w:b w:val="1"/>
          <w:bCs w:val="1"/>
          <w:color w:val="E52823"/>
        </w:rPr>
        <w:t>PROPOSAL THREE—APPROVAL, ON AN ADVISORY (NON-BINDING) BASIS, OF THE COMPENSATION OF OUR NAMED EXECUTIVE OFFICERS</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Background</w:t>
      </w:r>
    </w:p>
    <w:p>
      <w:pPr>
        <w:spacing w:after="0" w:line="200"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As required by Section 14A(a)(1) of the Exchange Act, the below resolution enables our stockholders to vote to approve, on an advisory (non-binding) basis, the compensation of our Named Executive Officers as disclosed in this proxy statement. This proposal, commonly known as a “say-on-pay” proposal, gives our stockholders the opportunity to express their views on our Named Executive Officers’ compensation. The Say-on-Pay Vote is not intended to address any specific item of compensation, but rather the overall compensation of our Named Executive Officers and the philosophy, policies and practices described in this Proxy Statement.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encourage our stockholders to review the “Executive Compensation” section of this Proxy Statement for more information.</w:t>
      </w:r>
    </w:p>
    <w:p>
      <w:pPr>
        <w:spacing w:after="0" w:line="194"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As an advisory approval, this proposal is not binding upon us or our Board of Directors. However, the Compensation Committee, which is responsible for the design and administration of our executive compensation program, values the opinions of our stockholders expressed through your vote on this proposal. The Board and Compensation Committee will consider the outcome of this vote in making future compensation decisions for our Named Executive Officers. Accordingly, we ask our stockholders to vote “FOR” the following resolution at the Annual Meeting:</w:t>
      </w:r>
    </w:p>
    <w:p>
      <w:pPr>
        <w:spacing w:after="0" w:line="162" w:lineRule="exact"/>
        <w:rPr>
          <w:sz w:val="20"/>
          <w:szCs w:val="20"/>
          <w:color w:val="auto"/>
        </w:rPr>
      </w:pPr>
    </w:p>
    <w:p>
      <w:pPr>
        <w:ind w:left="1000" w:right="80"/>
        <w:spacing w:after="0" w:line="251" w:lineRule="auto"/>
        <w:rPr>
          <w:sz w:val="20"/>
          <w:szCs w:val="20"/>
          <w:color w:val="auto"/>
        </w:rPr>
      </w:pPr>
      <w:r>
        <w:rPr>
          <w:rFonts w:ascii="Arial" w:cs="Arial" w:eastAsia="Arial" w:hAnsi="Arial"/>
          <w:sz w:val="16"/>
          <w:szCs w:val="16"/>
          <w:color w:val="auto"/>
        </w:rPr>
        <w:t>“RESOLVED, that the stockholders of Garrett Motion Inc. approve, on an advisory basis, the 2019 compensation of Garrett Motion Inc.’s Named Executive Officers as described in the Compensation Discussion &amp; Analysis and disclosed in the Summary Compensation Table and related compensation tables and narrative disclosure set forth in Garrett Motion Inc.’s Proxy Statement for the 2020 Annual Meeting of Stockholders.”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Frequency of Say-on-Pay Vote and 2019 Say-on-Pay Vote</w:t>
      </w:r>
    </w:p>
    <w:p>
      <w:pPr>
        <w:spacing w:after="0" w:line="20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At our 2019 Annual Meeting of Stockholders held on June 4, 2019, the Company’s stockholders recommended, on an advisory basis, that the stockholder vote on the compensation of our named executive officers occur every year. In light of the foregoing recommendation, the Company has determined to hold a “say-on-pay” advisory vote every year. Accordingly, our next advisory say-on-pay vote (following the non-binding advisory vote at this Annual Meeting) is expected to occur at our 2021 Annual Meeting of Stockholders.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Recommendation</w:t>
      </w:r>
    </w:p>
    <w:p>
      <w:pPr>
        <w:spacing w:after="0" w:line="229" w:lineRule="exact"/>
        <w:rPr>
          <w:sz w:val="20"/>
          <w:szCs w:val="20"/>
          <w:color w:val="auto"/>
        </w:rPr>
      </w:pPr>
    </w:p>
    <w:p>
      <w:pPr>
        <w:ind w:left="1000" w:right="200"/>
        <w:spacing w:after="0" w:line="253" w:lineRule="auto"/>
        <w:rPr>
          <w:sz w:val="20"/>
          <w:szCs w:val="20"/>
          <w:color w:val="auto"/>
        </w:rPr>
      </w:pPr>
      <w:r>
        <w:rPr>
          <w:rFonts w:ascii="Arial" w:cs="Arial" w:eastAsia="Arial" w:hAnsi="Arial"/>
          <w:sz w:val="18"/>
          <w:szCs w:val="18"/>
          <w:color w:val="auto"/>
        </w:rPr>
        <w:t xml:space="preserve">Our Board unanimously recommends a vote </w:t>
      </w:r>
      <w:r>
        <w:rPr>
          <w:rFonts w:ascii="Arial" w:cs="Arial" w:eastAsia="Arial" w:hAnsi="Arial"/>
          <w:sz w:val="18"/>
          <w:szCs w:val="18"/>
          <w:b w:val="1"/>
          <w:bCs w:val="1"/>
          <w:color w:val="E52823"/>
        </w:rPr>
        <w:t>“FOR”</w:t>
      </w:r>
      <w:r>
        <w:rPr>
          <w:rFonts w:ascii="Arial" w:cs="Arial" w:eastAsia="Arial" w:hAnsi="Arial"/>
          <w:sz w:val="18"/>
          <w:szCs w:val="18"/>
          <w:color w:val="auto"/>
        </w:rPr>
        <w:t xml:space="preserve"> the resolution to approve, on an advisory (non-binding) basis, the compensation of our named executive officers, as disclosed in the compensation discussion and analysis, the accompanying compensation tables and related narrative disclosure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-408940</wp:posOffset>
            </wp:positionV>
            <wp:extent cx="7003415" cy="514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03415" cy="5143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353060</wp:posOffset>
            </wp:positionV>
            <wp:extent cx="6995160" cy="6254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66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ADDITIONAL INFORMATION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 Proposals and Director Nominations</w:t>
      </w:r>
    </w:p>
    <w:p>
      <w:pPr>
        <w:spacing w:after="0" w:line="200" w:lineRule="exact"/>
        <w:rPr>
          <w:sz w:val="20"/>
          <w:szCs w:val="20"/>
          <w:color w:val="auto"/>
        </w:rPr>
      </w:pPr>
    </w:p>
    <w:p>
      <w:pPr>
        <w:jc w:val="both"/>
        <w:ind w:left="120" w:right="120"/>
        <w:spacing w:after="0" w:line="251" w:lineRule="auto"/>
        <w:rPr>
          <w:sz w:val="20"/>
          <w:szCs w:val="20"/>
          <w:color w:val="auto"/>
        </w:rPr>
      </w:pPr>
      <w:r>
        <w:rPr>
          <w:rFonts w:ascii="Arial" w:cs="Arial" w:eastAsia="Arial" w:hAnsi="Arial"/>
          <w:sz w:val="16"/>
          <w:szCs w:val="16"/>
          <w:color w:val="auto"/>
        </w:rPr>
        <w:t>Stockholders who intend to have a proposal considered for inclusion in our proxy materials for presentation at our 2021 annual meeting of stockholders pursuant to Rule 14a-8 under the Exchange Act must submit the proposal to us at our principal executive offices, La Pièce 16, Rolle, Switzerland 1180. Any proposal submitted pursuant to Rule 14a-8 must be received by us no later than December 16, 2020. We suggest that proponents submit their Rule 14a-8 proposals by certified mail, return receipt requested, addressed to our Secretary, Jérôme Maironi.</w:t>
      </w:r>
    </w:p>
    <w:p>
      <w:pPr>
        <w:spacing w:after="0" w:line="16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2021 annual meeting of stockholders, a notice of the nomination or the matter the stockholder wishes to present at the meeting must be in writing and delivered to or mailed and received by our Secretary at our principal executive offices not later than February 27, 2021 and not before January 28, 2021. However, if the 2021 annual meeting of stockholders is more than 30 days earlier, or more than 60 days later, than the first anniversary of the Annual Meeting, notice must be so delivered or received not earlier than the 120th day prior to such annual meeting and not later than the close of business on the later of the 90th day prior to such annual meeting and the 10th day following the date on which public disclosure of the date of such annual meeting was made. Our Bylaws also specify requirements relating to the content of the notice that stockholders must provide in order for a director nomination or other proposal to be properly presented at the 2021 annual meeting of stockholders.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Householding of Annual Meeting Materials</w:t>
      </w:r>
    </w:p>
    <w:p>
      <w:pPr>
        <w:spacing w:after="0" w:line="213" w:lineRule="exact"/>
        <w:rPr>
          <w:sz w:val="20"/>
          <w:szCs w:val="20"/>
          <w:color w:val="auto"/>
        </w:rPr>
      </w:pPr>
    </w:p>
    <w:p>
      <w:pPr>
        <w:ind w:left="120" w:right="220"/>
        <w:spacing w:after="0" w:line="249" w:lineRule="auto"/>
        <w:rPr>
          <w:sz w:val="20"/>
          <w:szCs w:val="20"/>
          <w:color w:val="auto"/>
        </w:rPr>
      </w:pPr>
      <w:r>
        <w:rPr>
          <w:rFonts w:ascii="Arial" w:cs="Arial" w:eastAsia="Arial" w:hAnsi="Arial"/>
          <w:sz w:val="16"/>
          <w:szCs w:val="16"/>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164"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Matters</w:t>
      </w:r>
    </w:p>
    <w:p>
      <w:pPr>
        <w:spacing w:after="0" w:line="20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Our Board is not aware of any matter to be presented for action at the Annual Meeting other than the matters referred to above and does not intend to bring any other matters before the Annual Meeting. However, if other matters should properly come before the Annual Meeting, it is intended that holders of the proxies will vote thereon in their discretion.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Solicitation of Proxies</w:t>
      </w:r>
    </w:p>
    <w:p>
      <w:pPr>
        <w:spacing w:after="0" w:line="213"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auto"/>
        </w:rPr>
        <w:t>The accompanying proxy is solicited by and on behalf of our Board, whose notice of meeting is attached to this proxy statement, and the entire cost of such solicitation will be borne by us.</w:t>
      </w:r>
    </w:p>
    <w:p>
      <w:pPr>
        <w:spacing w:after="0" w:line="155"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In addition to the use of the mails, proxies may be solicited by personal interview, telephone and email by directors, officers and other employees of Garrett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for their reasonable expenses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238760</wp:posOffset>
            </wp:positionV>
            <wp:extent cx="6995160" cy="6254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67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We have also engaged MacKenzie Partners, Inc. to assist in the solicitation of proxies and provide related advice and informational support for a services fee and the reimbursement of customary disbursements that are not expected to exceed $15,000 in the aggregate.</w:t>
      </w:r>
    </w:p>
    <w:p>
      <w:pPr>
        <w:spacing w:after="0" w:line="168" w:lineRule="exact"/>
        <w:rPr>
          <w:sz w:val="20"/>
          <w:szCs w:val="20"/>
          <w:color w:val="auto"/>
        </w:rPr>
      </w:pPr>
    </w:p>
    <w:p>
      <w:pPr>
        <w:ind w:left="120" w:right="620"/>
        <w:spacing w:after="0" w:line="260" w:lineRule="auto"/>
        <w:rPr>
          <w:sz w:val="20"/>
          <w:szCs w:val="20"/>
          <w:color w:val="auto"/>
        </w:rPr>
      </w:pPr>
      <w:r>
        <w:rPr>
          <w:rFonts w:ascii="Arial" w:cs="Arial" w:eastAsia="Arial" w:hAnsi="Arial"/>
          <w:sz w:val="16"/>
          <w:szCs w:val="16"/>
          <w:color w:val="auto"/>
        </w:rPr>
        <w:t>Certain information contained in this proxy statement relating to the occupations and security holdings of our directors and officers is based upon information received from the individual directors and officers.</w:t>
      </w:r>
    </w:p>
    <w:p>
      <w:pPr>
        <w:spacing w:after="0" w:line="13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b w:val="1"/>
          <w:bCs w:val="1"/>
          <w:color w:val="auto"/>
        </w:rPr>
        <w:t>WE WILL FURNISH, WITHOUT CHARGE, A COPY OF OUR ANNUAL REPORT ON FORM 10-K FOR THE YEAR ENDED DECEMBER 31, 2019, INCLUDING CONSOLIDATED FINANCIAL STATEMENTS BUT NOT INCLUDING EXHIBITS, TO EACH OF OUR STOCKHOLDERS OF RECORD ON APRIL 3, 2020, AND TO EACH BENEFICIAL STOCKHOLDER ON THAT DATE UPON WRITTEN REQUEST MADE TO JÉRÔME MAIRONI, SECRETARY, GARRETT MOTION INC., LA PIÈCE 16, ROLLE, SWITZERLAND 1180. A REASONABLE FEE WILL BE CHARGED FOR COPIES OF REQUESTED EXHIBITS.</w:t>
      </w:r>
    </w:p>
    <w:p>
      <w:pPr>
        <w:spacing w:after="0" w:line="139" w:lineRule="exact"/>
        <w:rPr>
          <w:sz w:val="20"/>
          <w:szCs w:val="20"/>
          <w:color w:val="auto"/>
        </w:rPr>
      </w:pPr>
    </w:p>
    <w:p>
      <w:pPr>
        <w:ind w:left="120" w:right="280"/>
        <w:spacing w:after="0" w:line="256" w:lineRule="auto"/>
        <w:rPr>
          <w:sz w:val="20"/>
          <w:szCs w:val="20"/>
          <w:color w:val="auto"/>
        </w:rPr>
      </w:pPr>
      <w:r>
        <w:rPr>
          <w:rFonts w:ascii="Arial" w:cs="Arial" w:eastAsia="Arial" w:hAnsi="Arial"/>
          <w:sz w:val="16"/>
          <w:szCs w:val="16"/>
          <w:b w:val="1"/>
          <w:bCs w:val="1"/>
          <w:color w:val="auto"/>
        </w:rPr>
        <w:t>WHETHER OR NOT YOU PLAN TO ATTEND THE ANNUAL MEETING ELECTRONICALLY,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865505" cy="6000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6550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Olivier Rabiller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Rolle, Switzerland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250825</wp:posOffset>
            </wp:positionV>
            <wp:extent cx="6995160" cy="6254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68</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608330</wp:posOffset>
            </wp:positionV>
            <wp:extent cx="6995160" cy="2743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E52823"/>
        </w:rPr>
        <w:t>ANNEX</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Non-GAAP Financial Measures</w:t>
      </w:r>
    </w:p>
    <w:p>
      <w:pPr>
        <w:spacing w:after="0" w:line="200"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This Proxy Statement includes Adjusted EBITDA, Adjusted EBITDA Margin, and Adjusted Free Cash Flow, which are financial measures not compliant with generally accepted accounting principles in the United States (“GAAP”). The Non-GAAP financial measures provided herein are adjusted for certain items as presented below and may not be directly comparable to similar measures used by other companies in our industry, as other companies may define such measures differently. Management believes that, when considered together with reported amounts, these measures are useful to investors and management in understanding our ongoing operations and in analysis of ongoing operating trends. Garrett believes that Adjusted EBITDA, Adjusted EBITDA Margin, and Adjusted Free Cash Flow are important indicators of operating performance because they exclude the effects of income taxes and certain other items, as well as the effects of financing and investing activities by eliminating the effects of interest and depreciation expenses and therefore more closely measures our operational performance. These metrics should be considered in addition to, and not as replacements for, the most comparable GAAP measure. For additional information with respect to our Consolidated and Combined Financial Statements, see our Annual Report on Form 10-K for the year ended December 31, 2019.</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Reconciliation of Net Income to Adjusted EBITDA, Adjusted EBITDA Margin and Adjusted Free Cash Flow</w:t>
      </w: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jc w:val="center"/>
              <w:ind w:right="188"/>
              <w:spacing w:after="0"/>
              <w:rPr>
                <w:sz w:val="20"/>
                <w:szCs w:val="20"/>
                <w:color w:val="auto"/>
              </w:rPr>
            </w:pPr>
            <w:r>
              <w:rPr>
                <w:rFonts w:ascii="Arial" w:cs="Arial" w:eastAsia="Arial" w:hAnsi="Arial"/>
                <w:sz w:val="14"/>
                <w:szCs w:val="14"/>
                <w:color w:val="auto"/>
              </w:rPr>
              <w:t>For the</w:t>
            </w:r>
          </w:p>
        </w:tc>
      </w:tr>
      <w:tr>
        <w:trPr>
          <w:trHeight w:val="162"/>
        </w:trPr>
        <w:tc>
          <w:tcPr>
            <w:tcW w:w="8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jc w:val="center"/>
              <w:ind w:right="188"/>
              <w:spacing w:after="0"/>
              <w:rPr>
                <w:sz w:val="20"/>
                <w:szCs w:val="20"/>
                <w:color w:val="auto"/>
              </w:rPr>
            </w:pPr>
            <w:r>
              <w:rPr>
                <w:rFonts w:ascii="Arial" w:cs="Arial" w:eastAsia="Arial" w:hAnsi="Arial"/>
                <w:sz w:val="14"/>
                <w:szCs w:val="14"/>
                <w:color w:val="auto"/>
              </w:rPr>
              <w:t>Year Ended</w:t>
            </w:r>
          </w:p>
        </w:tc>
      </w:tr>
      <w:tr>
        <w:trPr>
          <w:trHeight w:val="162"/>
        </w:trPr>
        <w:tc>
          <w:tcPr>
            <w:tcW w:w="8360" w:type="dxa"/>
            <w:vAlign w:val="bottom"/>
          </w:tcPr>
          <w:p>
            <w:pPr>
              <w:spacing w:after="0"/>
              <w:rPr>
                <w:sz w:val="14"/>
                <w:szCs w:val="14"/>
                <w:color w:val="auto"/>
              </w:rPr>
            </w:pPr>
          </w:p>
        </w:tc>
        <w:tc>
          <w:tcPr>
            <w:tcW w:w="2660" w:type="dxa"/>
            <w:vAlign w:val="bottom"/>
            <w:gridSpan w:val="2"/>
          </w:tcPr>
          <w:p>
            <w:pPr>
              <w:ind w:left="1580"/>
              <w:spacing w:after="0"/>
              <w:rPr>
                <w:sz w:val="20"/>
                <w:szCs w:val="20"/>
                <w:color w:val="auto"/>
              </w:rPr>
            </w:pPr>
            <w:r>
              <w:rPr>
                <w:rFonts w:ascii="Arial" w:cs="Arial" w:eastAsia="Arial" w:hAnsi="Arial"/>
                <w:sz w:val="14"/>
                <w:szCs w:val="14"/>
                <w:color w:val="auto"/>
              </w:rPr>
              <w:t>December 31,</w:t>
            </w:r>
          </w:p>
        </w:tc>
      </w:tr>
      <w:tr>
        <w:trPr>
          <w:trHeight w:val="178"/>
        </w:trPr>
        <w:tc>
          <w:tcPr>
            <w:tcW w:w="8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in millions)</w:t>
            </w:r>
          </w:p>
        </w:tc>
        <w:tc>
          <w:tcPr>
            <w:tcW w:w="1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rPr>
              <w:t>2019</w:t>
            </w:r>
          </w:p>
        </w:tc>
      </w:tr>
      <w:tr>
        <w:trPr>
          <w:trHeight w:val="162"/>
        </w:trPr>
        <w:tc>
          <w:tcPr>
            <w:tcW w:w="8360" w:type="dxa"/>
            <w:vAlign w:val="bottom"/>
            <w:shd w:val="clear" w:color="auto" w:fill="EDEDED"/>
          </w:tcPr>
          <w:p>
            <w:pPr>
              <w:ind w:left="60"/>
              <w:spacing w:after="0"/>
              <w:rPr>
                <w:sz w:val="20"/>
                <w:szCs w:val="20"/>
                <w:color w:val="auto"/>
              </w:rPr>
            </w:pPr>
            <w:r>
              <w:rPr>
                <w:rFonts w:ascii="Arial" w:cs="Arial" w:eastAsia="Arial" w:hAnsi="Arial"/>
                <w:sz w:val="14"/>
                <w:szCs w:val="14"/>
                <w:color w:val="auto"/>
              </w:rPr>
              <w:t>Net income—GAAP</w:t>
            </w:r>
          </w:p>
        </w:tc>
        <w:tc>
          <w:tcPr>
            <w:tcW w:w="1660" w:type="dxa"/>
            <w:vAlign w:val="bottom"/>
            <w:shd w:val="clear" w:color="auto" w:fill="EDEDED"/>
          </w:tcPr>
          <w:p>
            <w:pPr>
              <w:ind w:left="15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313</w:t>
            </w: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Tax expense</w:t>
            </w:r>
          </w:p>
        </w:tc>
        <w:tc>
          <w:tcPr>
            <w:tcW w:w="1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33</w:t>
            </w:r>
          </w:p>
        </w:tc>
      </w:tr>
      <w:tr>
        <w:trPr>
          <w:trHeight w:val="162"/>
        </w:trPr>
        <w:tc>
          <w:tcPr>
            <w:tcW w:w="8360" w:type="dxa"/>
            <w:vAlign w:val="bottom"/>
            <w:shd w:val="clear" w:color="auto" w:fill="EDEDED"/>
          </w:tcPr>
          <w:p>
            <w:pPr>
              <w:ind w:left="60"/>
              <w:spacing w:after="0"/>
              <w:rPr>
                <w:sz w:val="20"/>
                <w:szCs w:val="20"/>
                <w:color w:val="auto"/>
              </w:rPr>
            </w:pPr>
            <w:r>
              <w:rPr>
                <w:rFonts w:ascii="Arial" w:cs="Arial" w:eastAsia="Arial" w:hAnsi="Arial"/>
                <w:sz w:val="14"/>
                <w:szCs w:val="14"/>
                <w:color w:val="auto"/>
              </w:rPr>
              <w:t>Profit before taxes</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346</w:t>
            </w: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Net interest expense (income)</w:t>
            </w:r>
          </w:p>
        </w:tc>
        <w:tc>
          <w:tcPr>
            <w:tcW w:w="1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61</w:t>
            </w:r>
          </w:p>
        </w:tc>
      </w:tr>
      <w:tr>
        <w:trPr>
          <w:trHeight w:val="162"/>
        </w:trPr>
        <w:tc>
          <w:tcPr>
            <w:tcW w:w="8360" w:type="dxa"/>
            <w:vAlign w:val="bottom"/>
            <w:shd w:val="clear" w:color="auto" w:fill="EDEDED"/>
          </w:tcPr>
          <w:p>
            <w:pPr>
              <w:ind w:left="60"/>
              <w:spacing w:after="0"/>
              <w:rPr>
                <w:sz w:val="20"/>
                <w:szCs w:val="20"/>
                <w:color w:val="auto"/>
              </w:rPr>
            </w:pPr>
            <w:r>
              <w:rPr>
                <w:rFonts w:ascii="Arial" w:cs="Arial" w:eastAsia="Arial" w:hAnsi="Arial"/>
                <w:sz w:val="14"/>
                <w:szCs w:val="14"/>
                <w:color w:val="auto"/>
              </w:rPr>
              <w:t>Depreciation</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73</w:t>
            </w: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EBITDA (Non-GAAP)</w:t>
            </w:r>
          </w:p>
        </w:tc>
        <w:tc>
          <w:tcPr>
            <w:tcW w:w="1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480</w:t>
            </w:r>
          </w:p>
        </w:tc>
      </w:tr>
      <w:tr>
        <w:trPr>
          <w:trHeight w:val="162"/>
        </w:trPr>
        <w:tc>
          <w:tcPr>
            <w:tcW w:w="8360" w:type="dxa"/>
            <w:vAlign w:val="bottom"/>
            <w:shd w:val="clear" w:color="auto" w:fill="EDEDED"/>
          </w:tcPr>
          <w:p>
            <w:pPr>
              <w:ind w:left="60"/>
              <w:spacing w:after="0" w:line="162" w:lineRule="exact"/>
              <w:rPr>
                <w:sz w:val="20"/>
                <w:szCs w:val="20"/>
                <w:color w:val="auto"/>
              </w:rPr>
            </w:pPr>
            <w:r>
              <w:rPr>
                <w:rFonts w:ascii="Arial" w:cs="Arial" w:eastAsia="Arial" w:hAnsi="Arial"/>
                <w:sz w:val="11"/>
                <w:szCs w:val="11"/>
                <w:color w:val="auto"/>
              </w:rPr>
              <w:t>Other expense, net (which primarily consists of indemnification, asbestos and environmental expenses)</w:t>
            </w:r>
            <w:r>
              <w:rPr>
                <w:rFonts w:ascii="Arial" w:cs="Arial" w:eastAsia="Arial" w:hAnsi="Arial"/>
                <w:sz w:val="18"/>
                <w:szCs w:val="18"/>
                <w:color w:val="auto"/>
                <w:vertAlign w:val="superscript"/>
              </w:rPr>
              <w:t>(1)</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40</w:t>
            </w:r>
          </w:p>
        </w:tc>
      </w:tr>
      <w:tr>
        <w:trPr>
          <w:trHeight w:val="162"/>
        </w:trPr>
        <w:tc>
          <w:tcPr>
            <w:tcW w:w="8360" w:type="dxa"/>
            <w:vAlign w:val="bottom"/>
          </w:tcPr>
          <w:p>
            <w:pPr>
              <w:ind w:left="60"/>
              <w:spacing w:after="0" w:line="162" w:lineRule="exact"/>
              <w:rPr>
                <w:sz w:val="20"/>
                <w:szCs w:val="20"/>
                <w:color w:val="auto"/>
              </w:rPr>
            </w:pPr>
            <w:r>
              <w:rPr>
                <w:rFonts w:ascii="Arial" w:cs="Arial" w:eastAsia="Arial" w:hAnsi="Arial"/>
                <w:sz w:val="11"/>
                <w:szCs w:val="11"/>
                <w:color w:val="auto"/>
              </w:rPr>
              <w:t>Non-operating (income) expense</w:t>
            </w:r>
            <w:r>
              <w:rPr>
                <w:rFonts w:ascii="Arial" w:cs="Arial" w:eastAsia="Arial" w:hAnsi="Arial"/>
                <w:sz w:val="18"/>
                <w:szCs w:val="18"/>
                <w:color w:val="auto"/>
                <w:vertAlign w:val="superscript"/>
              </w:rPr>
              <w:t>(2)</w:t>
            </w:r>
          </w:p>
        </w:tc>
        <w:tc>
          <w:tcPr>
            <w:tcW w:w="1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8</w:t>
            </w:r>
          </w:p>
        </w:tc>
      </w:tr>
      <w:tr>
        <w:trPr>
          <w:trHeight w:val="162"/>
        </w:trPr>
        <w:tc>
          <w:tcPr>
            <w:tcW w:w="8360" w:type="dxa"/>
            <w:vAlign w:val="bottom"/>
            <w:shd w:val="clear" w:color="auto" w:fill="EDEDED"/>
          </w:tcPr>
          <w:p>
            <w:pPr>
              <w:ind w:left="60"/>
              <w:spacing w:after="0" w:line="162" w:lineRule="exact"/>
              <w:rPr>
                <w:sz w:val="20"/>
                <w:szCs w:val="20"/>
                <w:color w:val="auto"/>
              </w:rPr>
            </w:pPr>
            <w:r>
              <w:rPr>
                <w:rFonts w:ascii="Arial" w:cs="Arial" w:eastAsia="Arial" w:hAnsi="Arial"/>
                <w:sz w:val="11"/>
                <w:szCs w:val="11"/>
                <w:color w:val="auto"/>
              </w:rPr>
              <w:t>Stock compensation expense</w:t>
            </w:r>
            <w:r>
              <w:rPr>
                <w:rFonts w:ascii="Arial" w:cs="Arial" w:eastAsia="Arial" w:hAnsi="Arial"/>
                <w:sz w:val="18"/>
                <w:szCs w:val="18"/>
                <w:color w:val="auto"/>
                <w:vertAlign w:val="superscript"/>
              </w:rPr>
              <w:t>(3)</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18</w:t>
            </w:r>
          </w:p>
        </w:tc>
      </w:tr>
      <w:tr>
        <w:trPr>
          <w:trHeight w:val="162"/>
        </w:trPr>
        <w:tc>
          <w:tcPr>
            <w:tcW w:w="8360" w:type="dxa"/>
            <w:vAlign w:val="bottom"/>
          </w:tcPr>
          <w:p>
            <w:pPr>
              <w:ind w:left="60"/>
              <w:spacing w:after="0" w:line="162" w:lineRule="exact"/>
              <w:rPr>
                <w:sz w:val="20"/>
                <w:szCs w:val="20"/>
                <w:color w:val="auto"/>
              </w:rPr>
            </w:pPr>
            <w:r>
              <w:rPr>
                <w:rFonts w:ascii="Arial" w:cs="Arial" w:eastAsia="Arial" w:hAnsi="Arial"/>
                <w:sz w:val="11"/>
                <w:szCs w:val="11"/>
                <w:color w:val="auto"/>
              </w:rPr>
              <w:t>Repositioning charges</w:t>
            </w:r>
            <w:r>
              <w:rPr>
                <w:rFonts w:ascii="Arial" w:cs="Arial" w:eastAsia="Arial" w:hAnsi="Arial"/>
                <w:sz w:val="18"/>
                <w:szCs w:val="18"/>
                <w:color w:val="auto"/>
                <w:vertAlign w:val="superscript"/>
              </w:rPr>
              <w:t>(4)</w:t>
            </w:r>
          </w:p>
        </w:tc>
        <w:tc>
          <w:tcPr>
            <w:tcW w:w="1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162"/>
        </w:trPr>
        <w:tc>
          <w:tcPr>
            <w:tcW w:w="8360" w:type="dxa"/>
            <w:vAlign w:val="bottom"/>
            <w:shd w:val="clear" w:color="auto" w:fill="EDEDED"/>
          </w:tcPr>
          <w:p>
            <w:pPr>
              <w:ind w:left="60"/>
              <w:spacing w:after="0" w:line="162" w:lineRule="exact"/>
              <w:rPr>
                <w:sz w:val="20"/>
                <w:szCs w:val="20"/>
                <w:color w:val="auto"/>
              </w:rPr>
            </w:pPr>
            <w:r>
              <w:rPr>
                <w:rFonts w:ascii="Arial" w:cs="Arial" w:eastAsia="Arial" w:hAnsi="Arial"/>
                <w:sz w:val="11"/>
                <w:szCs w:val="11"/>
                <w:color w:val="auto"/>
              </w:rPr>
              <w:t>Spin-Off costs</w:t>
            </w:r>
            <w:r>
              <w:rPr>
                <w:rFonts w:ascii="Arial" w:cs="Arial" w:eastAsia="Arial" w:hAnsi="Arial"/>
                <w:sz w:val="18"/>
                <w:szCs w:val="18"/>
                <w:color w:val="auto"/>
                <w:vertAlign w:val="superscript"/>
              </w:rPr>
              <w:t>(5)</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28</w:t>
            </w: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Foreign exchange (gain) loss on debt, net of related hedging (gain) loss</w:t>
            </w:r>
          </w:p>
        </w:tc>
        <w:tc>
          <w:tcPr>
            <w:tcW w:w="1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w:t>
            </w:r>
          </w:p>
        </w:tc>
      </w:tr>
      <w:tr>
        <w:trPr>
          <w:trHeight w:val="162"/>
        </w:trPr>
        <w:tc>
          <w:tcPr>
            <w:tcW w:w="8360" w:type="dxa"/>
            <w:vAlign w:val="bottom"/>
            <w:shd w:val="clear" w:color="auto" w:fill="EDEDED"/>
          </w:tcPr>
          <w:p>
            <w:pPr>
              <w:ind w:left="60"/>
              <w:spacing w:after="0"/>
              <w:rPr>
                <w:sz w:val="20"/>
                <w:szCs w:val="20"/>
                <w:color w:val="auto"/>
              </w:rPr>
            </w:pPr>
            <w:r>
              <w:rPr>
                <w:rFonts w:ascii="Arial" w:cs="Arial" w:eastAsia="Arial" w:hAnsi="Arial"/>
                <w:sz w:val="14"/>
                <w:szCs w:val="14"/>
                <w:color w:val="auto"/>
              </w:rPr>
              <w:t>Adjusted EBITDA (Non-GAAP)</w:t>
            </w:r>
          </w:p>
        </w:tc>
        <w:tc>
          <w:tcPr>
            <w:tcW w:w="1660" w:type="dxa"/>
            <w:vAlign w:val="bottom"/>
            <w:shd w:val="clear" w:color="auto" w:fill="EDEDED"/>
          </w:tcPr>
          <w:p>
            <w:pPr>
              <w:ind w:left="15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583</w:t>
            </w:r>
          </w:p>
        </w:tc>
      </w:tr>
      <w:tr>
        <w:trPr>
          <w:trHeight w:val="162"/>
        </w:trPr>
        <w:tc>
          <w:tcPr>
            <w:tcW w:w="8360" w:type="dxa"/>
            <w:vAlign w:val="bottom"/>
          </w:tcPr>
          <w:p>
            <w:pPr>
              <w:ind w:left="60"/>
              <w:spacing w:after="0" w:line="162" w:lineRule="exact"/>
              <w:rPr>
                <w:sz w:val="20"/>
                <w:szCs w:val="20"/>
                <w:color w:val="auto"/>
              </w:rPr>
            </w:pPr>
            <w:r>
              <w:rPr>
                <w:rFonts w:ascii="Arial" w:cs="Arial" w:eastAsia="Arial" w:hAnsi="Arial"/>
                <w:sz w:val="11"/>
                <w:szCs w:val="11"/>
                <w:i w:val="1"/>
                <w:iCs w:val="1"/>
                <w:color w:val="auto"/>
              </w:rPr>
              <w:t>Adjusted EBITDA Margin (Non-GAAP) %</w:t>
            </w:r>
            <w:r>
              <w:rPr>
                <w:rFonts w:ascii="Arial" w:cs="Arial" w:eastAsia="Arial" w:hAnsi="Arial"/>
                <w:sz w:val="18"/>
                <w:szCs w:val="18"/>
                <w:i w:val="1"/>
                <w:iCs w:val="1"/>
                <w:color w:val="auto"/>
                <w:vertAlign w:val="superscript"/>
              </w:rPr>
              <w:t>(6)</w:t>
            </w:r>
          </w:p>
        </w:tc>
        <w:tc>
          <w:tcPr>
            <w:tcW w:w="1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17.9%</w:t>
            </w:r>
          </w:p>
        </w:tc>
      </w:tr>
      <w:tr>
        <w:trPr>
          <w:trHeight w:val="162"/>
        </w:trPr>
        <w:tc>
          <w:tcPr>
            <w:tcW w:w="8360" w:type="dxa"/>
            <w:vAlign w:val="bottom"/>
            <w:shd w:val="clear" w:color="auto" w:fill="EDEDED"/>
          </w:tcPr>
          <w:p>
            <w:pPr>
              <w:ind w:left="60"/>
              <w:spacing w:after="0"/>
              <w:rPr>
                <w:sz w:val="20"/>
                <w:szCs w:val="20"/>
                <w:color w:val="auto"/>
              </w:rPr>
            </w:pPr>
            <w:r>
              <w:rPr>
                <w:rFonts w:ascii="Arial" w:cs="Arial" w:eastAsia="Arial" w:hAnsi="Arial"/>
                <w:sz w:val="14"/>
                <w:szCs w:val="14"/>
                <w:color w:val="auto"/>
              </w:rPr>
              <w:t>Change in working capital</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108"/>
              <w:spacing w:after="0"/>
              <w:rPr>
                <w:sz w:val="20"/>
                <w:szCs w:val="20"/>
                <w:color w:val="auto"/>
              </w:rPr>
            </w:pPr>
            <w:r>
              <w:rPr>
                <w:rFonts w:ascii="Arial" w:cs="Arial" w:eastAsia="Arial" w:hAnsi="Arial"/>
                <w:sz w:val="14"/>
                <w:szCs w:val="14"/>
                <w:color w:val="auto"/>
              </w:rPr>
              <w:t>59</w:t>
            </w: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Taxes (without Mandatory Transition Tax)</w:t>
            </w:r>
          </w:p>
        </w:tc>
        <w:tc>
          <w:tcPr>
            <w:tcW w:w="16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(93)</w:t>
            </w:r>
          </w:p>
        </w:tc>
      </w:tr>
      <w:tr>
        <w:trPr>
          <w:trHeight w:val="162"/>
        </w:trPr>
        <w:tc>
          <w:tcPr>
            <w:tcW w:w="8360" w:type="dxa"/>
            <w:vAlign w:val="bottom"/>
            <w:shd w:val="clear" w:color="auto" w:fill="EDEDED"/>
          </w:tcPr>
          <w:p>
            <w:pPr>
              <w:ind w:left="60"/>
              <w:spacing w:after="0"/>
              <w:rPr>
                <w:sz w:val="20"/>
                <w:szCs w:val="20"/>
                <w:color w:val="auto"/>
              </w:rPr>
            </w:pPr>
            <w:r>
              <w:rPr>
                <w:rFonts w:ascii="Arial" w:cs="Arial" w:eastAsia="Arial" w:hAnsi="Arial"/>
                <w:sz w:val="14"/>
                <w:szCs w:val="14"/>
                <w:color w:val="auto"/>
              </w:rPr>
              <w:t>Capital expenditures</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(102)</w:t>
            </w:r>
          </w:p>
        </w:tc>
      </w:tr>
      <w:tr>
        <w:trPr>
          <w:trHeight w:val="162"/>
        </w:trPr>
        <w:tc>
          <w:tcPr>
            <w:tcW w:w="8360" w:type="dxa"/>
            <w:vAlign w:val="bottom"/>
          </w:tcPr>
          <w:p>
            <w:pPr>
              <w:ind w:left="60"/>
              <w:spacing w:after="0"/>
              <w:rPr>
                <w:sz w:val="20"/>
                <w:szCs w:val="20"/>
                <w:color w:val="auto"/>
              </w:rPr>
            </w:pPr>
            <w:r>
              <w:rPr>
                <w:rFonts w:ascii="Arial" w:cs="Arial" w:eastAsia="Arial" w:hAnsi="Arial"/>
                <w:sz w:val="14"/>
                <w:szCs w:val="14"/>
                <w:color w:val="auto"/>
              </w:rPr>
              <w:t>Other</w:t>
            </w:r>
          </w:p>
        </w:tc>
        <w:tc>
          <w:tcPr>
            <w:tcW w:w="16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(75)</w:t>
            </w:r>
          </w:p>
        </w:tc>
      </w:tr>
      <w:tr>
        <w:trPr>
          <w:trHeight w:val="162"/>
        </w:trPr>
        <w:tc>
          <w:tcPr>
            <w:tcW w:w="8360" w:type="dxa"/>
            <w:vAlign w:val="bottom"/>
            <w:shd w:val="clear" w:color="auto" w:fill="EDEDED"/>
          </w:tcPr>
          <w:p>
            <w:pPr>
              <w:ind w:left="60"/>
              <w:spacing w:after="0"/>
              <w:rPr>
                <w:sz w:val="20"/>
                <w:szCs w:val="20"/>
                <w:color w:val="auto"/>
              </w:rPr>
            </w:pPr>
            <w:r>
              <w:rPr>
                <w:rFonts w:ascii="Arial" w:cs="Arial" w:eastAsia="Arial" w:hAnsi="Arial"/>
                <w:sz w:val="14"/>
                <w:szCs w:val="14"/>
                <w:color w:val="auto"/>
              </w:rPr>
              <w:t>Interest</w:t>
            </w:r>
          </w:p>
        </w:tc>
        <w:tc>
          <w:tcPr>
            <w:tcW w:w="1660" w:type="dxa"/>
            <w:vAlign w:val="bottom"/>
            <w:shd w:val="clear" w:color="auto" w:fill="EDEDED"/>
          </w:tcPr>
          <w:p>
            <w:pPr>
              <w:spacing w:after="0"/>
              <w:rPr>
                <w:sz w:val="14"/>
                <w:szCs w:val="14"/>
                <w:color w:val="auto"/>
              </w:rPr>
            </w:pPr>
          </w:p>
        </w:tc>
        <w:tc>
          <w:tcPr>
            <w:tcW w:w="1000" w:type="dxa"/>
            <w:vAlign w:val="bottom"/>
            <w:shd w:val="clear" w:color="auto" w:fill="EDEDED"/>
          </w:tcPr>
          <w:p>
            <w:pPr>
              <w:jc w:val="right"/>
              <w:ind w:right="68"/>
              <w:spacing w:after="0"/>
              <w:rPr>
                <w:sz w:val="20"/>
                <w:szCs w:val="20"/>
                <w:color w:val="auto"/>
              </w:rPr>
            </w:pPr>
            <w:r>
              <w:rPr>
                <w:rFonts w:ascii="Arial" w:cs="Arial" w:eastAsia="Arial" w:hAnsi="Arial"/>
                <w:sz w:val="14"/>
                <w:szCs w:val="14"/>
                <w:color w:val="auto"/>
              </w:rPr>
              <w:t>(54)</w:t>
            </w:r>
          </w:p>
        </w:tc>
      </w:tr>
      <w:tr>
        <w:trPr>
          <w:trHeight w:val="162"/>
        </w:trPr>
        <w:tc>
          <w:tcPr>
            <w:tcW w:w="8360" w:type="dxa"/>
            <w:vAlign w:val="bottom"/>
            <w:tcBorders>
              <w:bottom w:val="single" w:sz="8" w:color="E52823"/>
            </w:tcBorders>
          </w:tcPr>
          <w:p>
            <w:pPr>
              <w:ind w:left="60"/>
              <w:spacing w:after="0"/>
              <w:rPr>
                <w:sz w:val="20"/>
                <w:szCs w:val="20"/>
                <w:color w:val="auto"/>
              </w:rPr>
            </w:pPr>
            <w:r>
              <w:rPr>
                <w:rFonts w:ascii="Arial" w:cs="Arial" w:eastAsia="Arial" w:hAnsi="Arial"/>
                <w:sz w:val="14"/>
                <w:szCs w:val="14"/>
                <w:color w:val="auto"/>
              </w:rPr>
              <w:t>Adjusted Free Cash Flow</w:t>
            </w:r>
          </w:p>
        </w:tc>
        <w:tc>
          <w:tcPr>
            <w:tcW w:w="1660" w:type="dxa"/>
            <w:vAlign w:val="bottom"/>
            <w:tcBorders>
              <w:bottom w:val="single" w:sz="8" w:color="E52823"/>
            </w:tcBorders>
          </w:tcPr>
          <w:p>
            <w:pPr>
              <w:ind w:left="158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E52823"/>
            </w:tcBorders>
          </w:tcPr>
          <w:p>
            <w:pPr>
              <w:jc w:val="right"/>
              <w:ind w:right="108"/>
              <w:spacing w:after="0"/>
              <w:rPr>
                <w:sz w:val="20"/>
                <w:szCs w:val="20"/>
                <w:color w:val="auto"/>
              </w:rPr>
            </w:pPr>
            <w:r>
              <w:rPr>
                <w:rFonts w:ascii="Arial" w:cs="Arial" w:eastAsia="Arial" w:hAnsi="Arial"/>
                <w:sz w:val="14"/>
                <w:szCs w:val="14"/>
                <w:color w:val="auto"/>
              </w:rPr>
              <w:t>318</w:t>
            </w:r>
          </w:p>
        </w:tc>
      </w:tr>
    </w:tbl>
    <w:p>
      <w:pPr>
        <w:spacing w:after="0" w:line="75" w:lineRule="exact"/>
        <w:rPr>
          <w:sz w:val="20"/>
          <w:szCs w:val="20"/>
          <w:color w:val="auto"/>
        </w:rPr>
      </w:pPr>
    </w:p>
    <w:p>
      <w:pPr>
        <w:ind w:left="440" w:right="60" w:hanging="324"/>
        <w:spacing w:after="0" w:line="222" w:lineRule="auto"/>
        <w:tabs>
          <w:tab w:leader="none" w:pos="4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accounting for the majority of our asbestos-related liability payments and accounts payable reflect the terms of the Indemnification and Reimbursement Agreement with Honeywell entered into on September 12, 2018, under which we are required to make payments to Honeywell in amounts equal to 90% of Honeywell’s asbestos-related liability payments and accounts payable, primarily related to the Bendix business in the United States, as well as certain environmental-related liability payments and accounts payable and non-United States asbestos-related liability payments and accounts payable, in each case related to legacy elements of the Business, including the legal costs of defending and resolving such liabilities, less 90% of Honeywell’s net insurance receipts and, as may be applicable, certain other recoveries associated with such liabilities.</w:t>
      </w:r>
    </w:p>
    <w:p>
      <w:pPr>
        <w:spacing w:after="0" w:line="64" w:lineRule="exact"/>
        <w:rPr>
          <w:rFonts w:ascii="Arial" w:cs="Arial" w:eastAsia="Arial" w:hAnsi="Arial"/>
          <w:sz w:val="13"/>
          <w:szCs w:val="13"/>
          <w:color w:val="auto"/>
        </w:rPr>
      </w:pPr>
    </w:p>
    <w:p>
      <w:pPr>
        <w:ind w:left="440" w:right="80" w:hanging="324"/>
        <w:spacing w:after="0" w:line="230" w:lineRule="auto"/>
        <w:tabs>
          <w:tab w:leader="none" w:pos="4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Non-operating (income) expense adjustment includes the non-service component of pension expense and other expense, net and excludes interest income, equity income of affiliates, and the impact of foreign exchange.</w:t>
      </w:r>
    </w:p>
    <w:p>
      <w:pPr>
        <w:spacing w:after="0" w:line="64" w:lineRule="exact"/>
        <w:rPr>
          <w:rFonts w:ascii="Arial" w:cs="Arial" w:eastAsia="Arial" w:hAnsi="Arial"/>
          <w:sz w:val="13"/>
          <w:szCs w:val="13"/>
          <w:color w:val="auto"/>
        </w:rPr>
      </w:pPr>
    </w:p>
    <w:p>
      <w:pPr>
        <w:ind w:left="440" w:hanging="324"/>
        <w:spacing w:after="0"/>
        <w:tabs>
          <w:tab w:leader="none" w:pos="4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Stock compensation expense adjustment includes only non-cash expenses.</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Repositioning charges adjustment primarily includes severance costs related to restructuring projects to improve future productivity.</w:t>
      </w:r>
    </w:p>
    <w:p>
      <w:pPr>
        <w:spacing w:after="0" w:line="66" w:lineRule="exact"/>
        <w:rPr>
          <w:rFonts w:ascii="Arial" w:cs="Arial" w:eastAsia="Arial" w:hAnsi="Arial"/>
          <w:sz w:val="13"/>
          <w:szCs w:val="13"/>
          <w:color w:val="auto"/>
        </w:rPr>
      </w:pPr>
    </w:p>
    <w:p>
      <w:pPr>
        <w:ind w:left="440" w:hanging="324"/>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Spin-Off costs primarily include costs incurred for the set-up of the IT, Legal, Finance, Communications and Human Resources functions after the Spin-Off from Honeywell on October 1, 2018.</w:t>
      </w:r>
    </w:p>
    <w:p>
      <w:pPr>
        <w:spacing w:after="0" w:line="78" w:lineRule="exact"/>
        <w:rPr>
          <w:rFonts w:ascii="Arial" w:cs="Arial" w:eastAsia="Arial" w:hAnsi="Arial"/>
          <w:sz w:val="12"/>
          <w:szCs w:val="12"/>
          <w:color w:val="auto"/>
        </w:rPr>
      </w:pPr>
    </w:p>
    <w:p>
      <w:pPr>
        <w:ind w:left="440" w:hanging="324"/>
        <w:spacing w:after="0"/>
        <w:tabs>
          <w:tab w:leader="none" w:pos="4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Adjusted EBITDA Margin represents Adjusted EBITDA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6995160" cy="6254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780"/>
        <w:spacing w:after="0"/>
        <w:rPr>
          <w:sz w:val="20"/>
          <w:szCs w:val="20"/>
          <w:color w:val="auto"/>
        </w:rPr>
      </w:pPr>
      <w:r>
        <w:rPr>
          <w:rFonts w:ascii="Arial" w:cs="Arial" w:eastAsia="Arial" w:hAnsi="Arial"/>
          <w:sz w:val="16"/>
          <w:szCs w:val="16"/>
          <w:b w:val="1"/>
          <w:bCs w:val="1"/>
          <w:color w:val="auto"/>
        </w:rPr>
        <w:t>69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3392170</wp:posOffset>
            </wp:positionV>
            <wp:extent cx="2571750" cy="11569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71750" cy="115697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lvl w:ilvl="1">
      <w:lvlJc w:val="left"/>
      <w:lvlText w:val="(%2)"/>
      <w:numFmt w:val="decimal"/>
      <w:start w:val="1"/>
    </w:lvl>
  </w:abstractNum>
  <w:abstractNum w:abstractNumId="3">
    <w:nsid w:val="4516DDE9"/>
    <w:multiLevelType w:val="hybridMultilevel"/>
    <w:lvl w:ilvl="0">
      <w:lvlJc w:val="left"/>
      <w:lvlText w:val="1"/>
      <w:numFmt w:val="bullet"/>
      <w:start w:val="1"/>
    </w:lvl>
  </w:abstractNum>
  <w:abstractNum w:abstractNumId="4">
    <w:nsid w:val="3006C83E"/>
    <w:multiLevelType w:val="hybridMultilevel"/>
    <w:lvl w:ilvl="0">
      <w:lvlJc w:val="left"/>
      <w:lvlText w:val="2"/>
      <w:numFmt w:val="bullet"/>
      <w:start w:val="1"/>
    </w:lvl>
  </w:abstractNum>
  <w:abstractNum w:abstractNumId="5">
    <w:nsid w:val="614FD4A1"/>
    <w:multiLevelType w:val="hybridMultilevel"/>
    <w:lvl w:ilvl="0">
      <w:lvlJc w:val="left"/>
      <w:lvlText w:val="3"/>
      <w:numFmt w:val="bullet"/>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
      <w:numFmt w:val="bullet"/>
      <w:start w:val="1"/>
    </w:lvl>
  </w:abstractNum>
  <w:abstractNum w:abstractNumId="22">
    <w:nsid w:val="6A2342EC"/>
    <w:multiLevelType w:val="hybridMultilevel"/>
    <w:lvl w:ilvl="0">
      <w:lvlJc w:val="left"/>
      <w:lvlText w:val="•"/>
      <w:numFmt w:val="bullet"/>
      <w:start w:val="1"/>
    </w:lvl>
    <w:lvl w:ilvl="1">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X"/>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4"/>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3"/>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0"/>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Roman"/>
      <w:start w:val="4"/>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2020-04-15T15:23:20Z</dcterms:created>
  <dcterms:modified xsi:type="dcterms:W3CDTF">2020-04-15T15:23:20Z</dcterms:modified>
</cp:coreProperties>
</file>