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29,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GARRETT MOTION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before="0" w:after="0"/>
        <w:jc w:val="left"/>
        <w:rPr/>
      </w:pPr>
      <w:r>
        <w:rPr/>
      </w:r>
    </w:p>
    <w:tbl>
      <w:tblPr>
        <w:tblW w:w="827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1240"/>
        <w:gridCol w:w="1240"/>
        <w:gridCol w:w="1254"/>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7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1-38636</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82-4873189</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7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Number)</w:t>
            </w:r>
          </w:p>
        </w:tc>
      </w:tr>
      <w:tr>
        <w:trPr/>
        <w:tc>
          <w:tcPr>
            <w:tcW w:w="613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2"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47548 Halyard Drive, Plymouth, MI 48170</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2"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La Pièce 16, 1180 Rolle, Switzerland</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xml:space="preserve">+1 734 392 5500 </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and</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+41 21 695 30 00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p>
      <w:pPr>
        <w:pStyle w:val="TextBody"/>
        <w:bidi w:val="0"/>
        <w:spacing w:before="0" w:after="0"/>
        <w:jc w:val="left"/>
        <w:rPr/>
      </w:pPr>
      <w:r>
        <w:rPr/>
      </w:r>
    </w:p>
    <w:tbl>
      <w:tblPr>
        <w:tblW w:w="8367" w:type="dxa"/>
        <w:jc w:val="left"/>
        <w:tblInd w:w="0" w:type="dxa"/>
        <w:tblLayout w:type="fixed"/>
        <w:tblCellMar>
          <w:top w:w="28" w:type="dxa"/>
          <w:left w:w="28" w:type="dxa"/>
          <w:bottom w:w="28" w:type="dxa"/>
          <w:right w:w="28" w:type="dxa"/>
        </w:tblCellMar>
      </w:tblPr>
      <w:tblGrid>
        <w:gridCol w:w="1301"/>
        <w:gridCol w:w="1141"/>
        <w:gridCol w:w="1157"/>
        <w:gridCol w:w="484"/>
        <w:gridCol w:w="484"/>
        <w:gridCol w:w="486"/>
        <w:gridCol w:w="970"/>
        <w:gridCol w:w="970"/>
        <w:gridCol w:w="1374"/>
      </w:tblGrid>
      <w:tr>
        <w:trPr/>
        <w:tc>
          <w:tcPr>
            <w:tcW w:w="130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59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454"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GTX</w:t>
            </w:r>
          </w:p>
        </w:tc>
        <w:tc>
          <w:tcPr>
            <w:tcW w:w="3314"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28650"/>
                <wp:effectExtent l="0" t="0" r="0" b="0"/>
                <wp:wrapNone/>
                <wp:docPr id="1" name="Frame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54" w:type="dxa"/>
        <w:jc w:val="left"/>
        <w:tblInd w:w="0" w:type="dxa"/>
        <w:tblLayout w:type="fixed"/>
        <w:tblCellMar>
          <w:top w:w="28" w:type="dxa"/>
          <w:left w:w="28" w:type="dxa"/>
          <w:bottom w:w="28" w:type="dxa"/>
          <w:right w:w="28" w:type="dxa"/>
        </w:tblCellMar>
      </w:tblPr>
      <w:tblGrid>
        <w:gridCol w:w="348"/>
        <w:gridCol w:w="305"/>
        <w:gridCol w:w="307"/>
        <w:gridCol w:w="1199"/>
        <w:gridCol w:w="1199"/>
        <w:gridCol w:w="1696"/>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29, 2026, Garrett Motion Inc. (the “Company”), issued a press release to report the Company’s financial results for the three months ended June 30, 2026. The full text of the press release is attached to this Current Report on Form 8-K as Exhibit 99.1.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Item 2.02 and Exhibit 99.1 of this Current Report on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left"/>
        <w:rPr/>
      </w:pPr>
      <w:r>
        <w:rPr/>
      </w:r>
    </w:p>
    <w:p>
      <w:pPr>
        <w:pStyle w:val="TextBody"/>
        <w:bidi w:val="0"/>
        <w:spacing w:before="0" w:after="2"/>
        <w:jc w:val="left"/>
        <w:rPr/>
      </w:pPr>
      <w:r>
        <w:rPr/>
      </w:r>
    </w:p>
    <w:tbl>
      <w:tblPr>
        <w:tblW w:w="4035" w:type="dxa"/>
        <w:jc w:val="left"/>
        <w:tblInd w:w="0" w:type="dxa"/>
        <w:tblLayout w:type="fixed"/>
        <w:tblCellMar>
          <w:top w:w="28" w:type="dxa"/>
          <w:left w:w="28" w:type="dxa"/>
          <w:bottom w:w="28" w:type="dxa"/>
          <w:right w:w="28" w:type="dxa"/>
        </w:tblCellMar>
      </w:tblPr>
      <w:tblGrid>
        <w:gridCol w:w="348"/>
        <w:gridCol w:w="305"/>
        <w:gridCol w:w="307"/>
        <w:gridCol w:w="900"/>
        <w:gridCol w:w="900"/>
        <w:gridCol w:w="1275"/>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rFonts w:ascii="Times New Roman;serif" w:hAnsi="Times New Roman;serif"/>
          <w:b w:val="false"/>
          <w:color w:val="000000"/>
          <w:sz w:val="20"/>
        </w:rPr>
        <w:t>.</w:t>
      </w:r>
    </w:p>
    <w:p>
      <w:pPr>
        <w:pStyle w:val="TextBody"/>
        <w:bidi w:val="0"/>
        <w:spacing w:before="0" w:after="0"/>
        <w:jc w:val="left"/>
        <w:rPr/>
      </w:pPr>
      <w:r>
        <w:rPr/>
      </w:r>
    </w:p>
    <w:tbl>
      <w:tblPr>
        <w:tblW w:w="10001" w:type="dxa"/>
        <w:jc w:val="left"/>
        <w:tblInd w:w="0" w:type="dxa"/>
        <w:tblLayout w:type="fixed"/>
        <w:tblCellMar>
          <w:top w:w="28" w:type="dxa"/>
          <w:left w:w="28" w:type="dxa"/>
          <w:bottom w:w="28" w:type="dxa"/>
          <w:right w:w="28" w:type="dxa"/>
        </w:tblCellMar>
      </w:tblPr>
      <w:tblGrid>
        <w:gridCol w:w="211"/>
        <w:gridCol w:w="186"/>
        <w:gridCol w:w="187"/>
        <w:gridCol w:w="109"/>
        <w:gridCol w:w="109"/>
        <w:gridCol w:w="109"/>
        <w:gridCol w:w="2654"/>
        <w:gridCol w:w="2654"/>
        <w:gridCol w:w="3782"/>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82" w:type="dxa"/>
            <w:tcBorders/>
            <w:vAlign w:val="center"/>
          </w:tcPr>
          <w:p>
            <w:pPr>
              <w:pStyle w:val="TableContents"/>
              <w:bidi w:val="0"/>
              <w:spacing w:before="0" w:after="283"/>
              <w:jc w:val="left"/>
              <w:rPr>
                <w:sz w:val="4"/>
                <w:szCs w:val="4"/>
              </w:rPr>
            </w:pPr>
            <w:r>
              <w:rPr>
                <w:sz w:val="4"/>
                <w:szCs w:val="4"/>
              </w:rPr>
            </w:r>
          </w:p>
        </w:tc>
      </w:tr>
      <w:tr>
        <w:trPr/>
        <w:tc>
          <w:tcPr>
            <w:tcW w:w="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0" w:type="dxa"/>
            <w:gridSpan w:val="3"/>
            <w:tcBorders/>
            <w:vAlign w:val="center"/>
          </w:tcPr>
          <w:p>
            <w:pPr>
              <w:pStyle w:val="TableContents"/>
              <w:bidi w:val="0"/>
              <w:spacing w:before="0" w:after="283"/>
              <w:jc w:val="left"/>
              <w:rPr>
                <w:sz w:val="4"/>
                <w:szCs w:val="4"/>
              </w:rPr>
            </w:pPr>
            <w:r>
              <w:rPr>
                <w:sz w:val="4"/>
                <w:szCs w:val="4"/>
              </w:rPr>
            </w:r>
          </w:p>
        </w:tc>
      </w:tr>
      <w:tr>
        <w:trPr/>
        <w:tc>
          <w:tcPr>
            <w:tcW w:w="5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90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9_1-2026q2.htm">
              <w:r>
                <w:rPr>
                  <w:rStyle w:val="InternetLink"/>
                  <w:rFonts w:ascii="Times New Roman;serif" w:hAnsi="Times New Roman;serif"/>
                  <w:b w:val="false"/>
                  <w:color w:val="000080"/>
                  <w:sz w:val="20"/>
                  <w:u w:val="single"/>
                </w:rPr>
                <w:t xml:space="preserve">Press Release of Garrett Motion Inc., dated </w:t>
              </w:r>
            </w:hyperlink>
            <w:hyperlink w:anchor="exhibit99_1-2026q2.htm">
              <w:r>
                <w:rPr>
                  <w:rStyle w:val="InternetLink"/>
                  <w:rFonts w:ascii="Times New Roman;serif" w:hAnsi="Times New Roman;serif"/>
                  <w:b w:val="false"/>
                  <w:color w:val="000080"/>
                  <w:sz w:val="20"/>
                  <w:u w:val="single"/>
                </w:rPr>
                <w:t>July</w:t>
              </w:r>
            </w:hyperlink>
            <w:hyperlink w:anchor="exhibit99_1-2026q2.htm">
              <w:r>
                <w:rPr>
                  <w:rStyle w:val="InternetLink"/>
                  <w:rFonts w:ascii="Times New Roman;serif" w:hAnsi="Times New Roman;serif"/>
                  <w:b w:val="false"/>
                  <w:color w:val="000080"/>
                  <w:sz w:val="20"/>
                  <w:u w:val="single"/>
                </w:rPr>
                <w:t xml:space="preserve"> </w:t>
              </w:r>
            </w:hyperlink>
            <w:hyperlink w:anchor="exhibit99_1-2026q2.htm">
              <w:r>
                <w:rPr>
                  <w:rStyle w:val="InternetLink"/>
                  <w:rFonts w:ascii="Times New Roman;serif" w:hAnsi="Times New Roman;serif"/>
                  <w:b w:val="false"/>
                  <w:color w:val="000080"/>
                  <w:sz w:val="20"/>
                  <w:u w:val="single"/>
                </w:rPr>
                <w:t>29</w:t>
              </w:r>
            </w:hyperlink>
            <w:hyperlink w:anchor="exhibit99_1-2026q2.htm">
              <w:r>
                <w:rPr>
                  <w:rStyle w:val="InternetLink"/>
                  <w:rFonts w:ascii="Times New Roman;serif" w:hAnsi="Times New Roman;serif"/>
                  <w:b w:val="false"/>
                  <w:color w:val="000080"/>
                  <w:sz w:val="20"/>
                  <w:u w:val="single"/>
                </w:rPr>
                <w:t>, 2026</w:t>
              </w:r>
            </w:hyperlink>
            <w:r>
              <w:rPr>
                <w:rFonts w:ascii="Times New Roman;serif" w:hAnsi="Times New Roman;serif"/>
                <w:b w:val="false"/>
                <w:color w:val="000000"/>
                <w:sz w:val="20"/>
              </w:rPr>
              <w:t>.</w:t>
            </w:r>
          </w:p>
        </w:tc>
      </w:tr>
      <w:tr>
        <w:trPr/>
        <w:tc>
          <w:tcPr>
            <w:tcW w:w="5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tbl>
      <w:tblPr>
        <w:tblW w:w="2097" w:type="dxa"/>
        <w:jc w:val="left"/>
        <w:tblInd w:w="0" w:type="dxa"/>
        <w:tblLayout w:type="fixed"/>
        <w:tblCellMar>
          <w:top w:w="28" w:type="dxa"/>
          <w:left w:w="28" w:type="dxa"/>
          <w:bottom w:w="28" w:type="dxa"/>
          <w:right w:w="28" w:type="dxa"/>
        </w:tblCellMar>
      </w:tblPr>
      <w:tblGrid>
        <w:gridCol w:w="124"/>
        <w:gridCol w:w="109"/>
        <w:gridCol w:w="109"/>
        <w:gridCol w:w="513"/>
        <w:gridCol w:w="513"/>
        <w:gridCol w:w="7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28650"/>
                <wp:effectExtent l="0" t="0" r="0" b="0"/>
                <wp:wrapNone/>
                <wp:docPr id="2" name="Frame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261" w:type="dxa"/>
        <w:jc w:val="left"/>
        <w:tblInd w:w="0" w:type="dxa"/>
        <w:tblLayout w:type="fixed"/>
        <w:tblCellMar>
          <w:top w:w="28" w:type="dxa"/>
          <w:left w:w="28" w:type="dxa"/>
          <w:bottom w:w="28" w:type="dxa"/>
          <w:right w:w="28" w:type="dxa"/>
        </w:tblCellMar>
      </w:tblPr>
      <w:tblGrid>
        <w:gridCol w:w="213"/>
        <w:gridCol w:w="187"/>
        <w:gridCol w:w="187"/>
        <w:gridCol w:w="187"/>
        <w:gridCol w:w="187"/>
        <w:gridCol w:w="187"/>
        <w:gridCol w:w="187"/>
        <w:gridCol w:w="187"/>
        <w:gridCol w:w="187"/>
        <w:gridCol w:w="109"/>
        <w:gridCol w:w="109"/>
        <w:gridCol w:w="109"/>
        <w:gridCol w:w="181"/>
        <w:gridCol w:w="181"/>
        <w:gridCol w:w="181"/>
        <w:gridCol w:w="181"/>
        <w:gridCol w:w="181"/>
        <w:gridCol w:w="181"/>
        <w:gridCol w:w="1212"/>
        <w:gridCol w:w="1212"/>
        <w:gridCol w:w="1715"/>
      </w:tblGrid>
      <w:tr>
        <w:trPr/>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1709" w:type="dxa"/>
            <w:gridSpan w:val="9"/>
            <w:tcBorders/>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225"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Garrett Motion Inc.</w:t>
            </w:r>
          </w:p>
        </w:tc>
      </w:tr>
      <w:tr>
        <w:trPr/>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2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Sean Deason</w:t>
            </w:r>
          </w:p>
        </w:tc>
      </w:tr>
      <w:tr>
        <w:trPr/>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413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Sean Deason</w:t>
            </w:r>
          </w:p>
        </w:tc>
      </w:tr>
      <w:tr>
        <w:trPr/>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28650"/>
                <wp:effectExtent l="0" t="0" r="0" b="0"/>
                <wp:wrapNone/>
                <wp:docPr id="3" name="Frame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251" w:type="dxa"/>
        <w:jc w:val="left"/>
        <w:tblInd w:w="0" w:type="dxa"/>
        <w:tblLayout w:type="fixed"/>
        <w:tblCellMar>
          <w:top w:w="28" w:type="dxa"/>
          <w:left w:w="28" w:type="dxa"/>
          <w:bottom w:w="28" w:type="dxa"/>
          <w:right w:w="28" w:type="dxa"/>
        </w:tblCellMar>
      </w:tblPr>
      <w:tblGrid>
        <w:gridCol w:w="727"/>
        <w:gridCol w:w="639"/>
        <w:gridCol w:w="640"/>
        <w:gridCol w:w="364"/>
        <w:gridCol w:w="364"/>
        <w:gridCol w:w="517"/>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209675" cy="4667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209675" cy="466725"/>
                          </a:xfrm>
                          <a:prstGeom prst="rect">
                            <a:avLst/>
                          </a:prstGeom>
                        </pic:spPr>
                      </pic:pic>
                    </a:graphicData>
                  </a:graphic>
                </wp:inline>
              </w:drawing>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Exhibit 99.1</w:t>
            </w:r>
          </w:p>
        </w:tc>
      </w:tr>
    </w:tbl>
    <w:p>
      <w:pPr>
        <w:pStyle w:val="TextBody"/>
        <w:bidi w:val="0"/>
        <w:spacing w:before="200" w:after="283"/>
        <w:jc w:val="both"/>
        <w:rPr/>
      </w:pPr>
      <w:r>
        <w:rPr/>
      </w:r>
    </w:p>
    <w:p>
      <w:pPr>
        <w:pStyle w:val="TextBody"/>
        <w:bidi w:val="0"/>
        <w:spacing w:lineRule="auto" w:line="288" w:before="0" w:after="0"/>
        <w:jc w:val="both"/>
        <w:rPr>
          <w:rFonts w:ascii="Times New Roman;serif" w:hAnsi="Times New Roman;serif"/>
          <w:b/>
          <w:color w:val="000000"/>
          <w:sz w:val="36"/>
          <w:shd w:fill="FFFFFF" w:val="clear"/>
        </w:rPr>
      </w:pPr>
      <w:r>
        <w:rPr>
          <w:rFonts w:ascii="Times New Roman;serif" w:hAnsi="Times New Roman;serif"/>
          <w:b/>
          <w:color w:val="000000"/>
          <w:sz w:val="36"/>
          <w:shd w:fill="FFFFFF" w:val="clear"/>
        </w:rPr>
        <w:t>Garrett Motion Reports Strong Second Quarter 2026 Results, Increases 2026 Outlook</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Second Quarter 2026 Financial Highlights</w:t>
      </w:r>
    </w:p>
    <w:p>
      <w:pPr>
        <w:pStyle w:val="TextBody"/>
        <w:bidi w:val="0"/>
        <w:spacing w:lineRule="auto" w:line="288" w:before="0" w:after="0"/>
        <w:ind w:left="0" w:right="0" w:hanging="270"/>
        <w:jc w:val="both"/>
        <w:rPr/>
      </w:pPr>
      <w:r>
        <w:rPr>
          <w:color w:val="000000"/>
        </w:rPr>
        <w:t>•</w:t>
      </w:r>
      <w:r>
        <w:rPr>
          <w:rFonts w:ascii="Times New Roman;serif" w:hAnsi="Times New Roman;serif"/>
          <w:b w:val="false"/>
          <w:i/>
          <w:color w:val="000000"/>
          <w:sz w:val="20"/>
        </w:rPr>
        <w:t>Net sales totaled $976 million, up 5% on a constant currency* basis vs prior year, driven by share of demand gains in passenger vehicles and strong performance in commercial vehicle and industrial</w:t>
      </w:r>
    </w:p>
    <w:p>
      <w:pPr>
        <w:pStyle w:val="TextBody"/>
        <w:bidi w:val="0"/>
        <w:spacing w:lineRule="auto" w:line="288" w:before="20" w:after="283"/>
        <w:ind w:left="0" w:right="0" w:hanging="270"/>
        <w:jc w:val="both"/>
        <w:rPr/>
      </w:pPr>
      <w:r>
        <w:rPr>
          <w:color w:val="000000"/>
        </w:rPr>
        <w:t>•</w:t>
      </w:r>
      <w:r>
        <w:rPr>
          <w:rFonts w:ascii="Times New Roman;serif" w:hAnsi="Times New Roman;serif"/>
          <w:b w:val="false"/>
          <w:i/>
          <w:color w:val="000000"/>
          <w:sz w:val="20"/>
        </w:rPr>
        <w:t>Net income totaled $101 million; net income margin of 10.3%</w:t>
      </w:r>
    </w:p>
    <w:p>
      <w:pPr>
        <w:pStyle w:val="TextBody"/>
        <w:bidi w:val="0"/>
        <w:spacing w:lineRule="auto" w:line="288" w:before="20" w:after="283"/>
        <w:ind w:left="0" w:right="0" w:hanging="270"/>
        <w:jc w:val="both"/>
        <w:rPr/>
      </w:pPr>
      <w:r>
        <w:rPr>
          <w:color w:val="000000"/>
        </w:rPr>
        <w:t>•</w:t>
      </w:r>
      <w:r>
        <w:rPr>
          <w:rFonts w:ascii="Times New Roman;serif" w:hAnsi="Times New Roman;serif"/>
          <w:b w:val="false"/>
          <w:i/>
          <w:color w:val="000000"/>
          <w:sz w:val="20"/>
        </w:rPr>
        <w:t>Adjusted EBIT* totaled $152 million; adjusted EBIT margin* of 15.6%</w:t>
      </w:r>
    </w:p>
    <w:p>
      <w:pPr>
        <w:pStyle w:val="TextBody"/>
        <w:bidi w:val="0"/>
        <w:spacing w:lineRule="auto" w:line="288" w:before="20" w:after="283"/>
        <w:ind w:left="0" w:right="0" w:hanging="270"/>
        <w:jc w:val="both"/>
        <w:rPr/>
      </w:pPr>
      <w:r>
        <w:rPr>
          <w:color w:val="000000"/>
        </w:rPr>
        <w:t>•</w:t>
      </w:r>
      <w:r>
        <w:rPr>
          <w:rFonts w:ascii="Times New Roman;serif" w:hAnsi="Times New Roman;serif"/>
          <w:b w:val="false"/>
          <w:i/>
          <w:color w:val="000000"/>
          <w:sz w:val="20"/>
        </w:rPr>
        <w:t>Net cash provided by operating activities totaled $145 million</w:t>
      </w:r>
    </w:p>
    <w:p>
      <w:pPr>
        <w:pStyle w:val="TextBody"/>
        <w:bidi w:val="0"/>
        <w:spacing w:lineRule="auto" w:line="288" w:before="20" w:after="283"/>
        <w:ind w:left="0" w:right="0" w:hanging="270"/>
        <w:jc w:val="both"/>
        <w:rPr/>
      </w:pPr>
      <w:r>
        <w:rPr>
          <w:color w:val="000000"/>
        </w:rPr>
        <w:t>•</w:t>
      </w:r>
      <w:r>
        <w:rPr>
          <w:rFonts w:ascii="Times New Roman;serif" w:hAnsi="Times New Roman;serif"/>
          <w:b w:val="false"/>
          <w:i/>
          <w:color w:val="000000"/>
          <w:sz w:val="20"/>
        </w:rPr>
        <w:t>Adjusted free cash flow* totaled $122 million</w:t>
      </w:r>
    </w:p>
    <w:p>
      <w:pPr>
        <w:pStyle w:val="TextBody"/>
        <w:bidi w:val="0"/>
        <w:spacing w:lineRule="auto" w:line="288" w:before="20" w:after="283"/>
        <w:ind w:left="0" w:right="0" w:hanging="270"/>
        <w:jc w:val="both"/>
        <w:rPr/>
      </w:pPr>
      <w:r>
        <w:rPr>
          <w:color w:val="000000"/>
        </w:rPr>
        <w:t>•</w:t>
      </w:r>
      <w:r>
        <w:rPr>
          <w:rFonts w:ascii="Times New Roman;serif" w:hAnsi="Times New Roman;serif"/>
          <w:b w:val="false"/>
          <w:i/>
          <w:color w:val="000000"/>
          <w:sz w:val="20"/>
        </w:rPr>
        <w:t>Increased 2026 full-year outlook</w:t>
      </w:r>
    </w:p>
    <w:p>
      <w:pPr>
        <w:pStyle w:val="TextBody"/>
        <w:bidi w:val="0"/>
        <w:spacing w:before="0" w:after="0"/>
        <w:ind w:left="0" w:right="0" w:hanging="13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Second Quarter 2026 Business Highlights</w:t>
      </w:r>
    </w:p>
    <w:p>
      <w:pPr>
        <w:pStyle w:val="TextBody"/>
        <w:bidi w:val="0"/>
        <w:spacing w:lineRule="auto" w:line="288" w:before="0" w:after="0"/>
        <w:ind w:left="0" w:right="0" w:hanging="270"/>
        <w:jc w:val="both"/>
        <w:rPr/>
      </w:pPr>
      <w:r>
        <w:rPr>
          <w:color w:val="000000"/>
          <w:shd w:fill="FFFFFF" w:val="clear"/>
        </w:rPr>
        <w:t>•</w:t>
      </w:r>
      <w:r>
        <w:rPr>
          <w:rFonts w:ascii="Times New Roman;serif" w:hAnsi="Times New Roman;serif"/>
          <w:b w:val="false"/>
          <w:i/>
          <w:color w:val="000000"/>
          <w:sz w:val="20"/>
          <w:shd w:fill="FFFFFF" w:val="clear"/>
        </w:rPr>
        <w:t>Secured multiple turbo wins, including a large light vehicle program in North America and several on- and off-highway commercial vehicle applications in China and India</w:t>
      </w:r>
    </w:p>
    <w:p>
      <w:pPr>
        <w:pStyle w:val="TextBody"/>
        <w:bidi w:val="0"/>
        <w:spacing w:lineRule="auto" w:line="288" w:before="0" w:after="0"/>
        <w:ind w:left="0" w:right="0" w:hanging="270"/>
        <w:jc w:val="both"/>
        <w:rPr/>
      </w:pPr>
      <w:r>
        <w:rPr>
          <w:color w:val="000000"/>
          <w:shd w:fill="FFFFFF" w:val="clear"/>
        </w:rPr>
        <w:t>•</w:t>
      </w:r>
      <w:r>
        <w:rPr>
          <w:rFonts w:ascii="Times New Roman;serif" w:hAnsi="Times New Roman;serif"/>
          <w:b w:val="false"/>
          <w:i/>
          <w:color w:val="000000"/>
          <w:sz w:val="20"/>
          <w:shd w:fill="FFFFFF" w:val="clear"/>
        </w:rPr>
        <w:t>Won a major award for Garrett MEG used in gensets for data centers, along with several additional genset awards in different regions</w:t>
      </w:r>
    </w:p>
    <w:p>
      <w:pPr>
        <w:pStyle w:val="TextBody"/>
        <w:bidi w:val="0"/>
        <w:spacing w:lineRule="auto" w:line="288" w:before="0" w:after="0"/>
        <w:ind w:left="0" w:right="0" w:hanging="270"/>
        <w:jc w:val="both"/>
        <w:rPr/>
      </w:pPr>
      <w:r>
        <w:rPr>
          <w:color w:val="000000"/>
          <w:shd w:fill="FFFFFF" w:val="clear"/>
        </w:rPr>
        <w:t>•</w:t>
      </w:r>
      <w:r>
        <w:rPr>
          <w:rFonts w:ascii="Times New Roman;serif" w:hAnsi="Times New Roman;serif"/>
          <w:b w:val="false"/>
          <w:i/>
          <w:color w:val="000000"/>
          <w:sz w:val="20"/>
          <w:shd w:fill="FFFFFF" w:val="clear"/>
        </w:rPr>
        <w:t>Kicked off pre-development of a commercial vehicle e- powertrain with a Japanese truck maker</w:t>
      </w:r>
    </w:p>
    <w:p>
      <w:pPr>
        <w:pStyle w:val="TextBody"/>
        <w:bidi w:val="0"/>
        <w:spacing w:lineRule="auto" w:line="288" w:before="0" w:after="0"/>
        <w:ind w:left="0" w:right="0" w:hanging="270"/>
        <w:jc w:val="both"/>
        <w:rPr/>
      </w:pPr>
      <w:r>
        <w:rPr>
          <w:color w:val="000000"/>
          <w:shd w:fill="FFFFFF" w:val="clear"/>
        </w:rPr>
        <w:t>•</w:t>
      </w:r>
      <w:r>
        <w:rPr>
          <w:rFonts w:ascii="Times New Roman;serif" w:hAnsi="Times New Roman;serif"/>
          <w:b w:val="false"/>
          <w:i/>
          <w:color w:val="000000"/>
          <w:sz w:val="20"/>
          <w:shd w:fill="FFFFFF" w:val="clear"/>
        </w:rPr>
        <w:t>Secured a production award for industrial air compression, using Garrett’s centrifugal compressor technology</w:t>
      </w:r>
    </w:p>
    <w:p>
      <w:pPr>
        <w:pStyle w:val="TextBody"/>
        <w:bidi w:val="0"/>
        <w:spacing w:before="20" w:after="283"/>
        <w:ind w:left="0" w:right="0" w:firstLine="90"/>
        <w:jc w:val="both"/>
        <w:rPr/>
      </w:pPr>
      <w:r>
        <w:rPr/>
      </w:r>
    </w:p>
    <w:p>
      <w:pPr>
        <w:pStyle w:val="TextBody"/>
        <w:bidi w:val="0"/>
        <w:spacing w:lineRule="auto" w:line="288" w:before="0" w:after="0"/>
        <w:jc w:val="both"/>
        <w:rPr/>
      </w:pPr>
      <w:r>
        <w:rPr>
          <w:rFonts w:ascii="Times New Roman;serif" w:hAnsi="Times New Roman;serif"/>
          <w:b/>
          <w:color w:val="000000"/>
          <w:sz w:val="20"/>
        </w:rPr>
        <w:t>PLYMOUTH, Mich. and ROLLE, Switzerland, July 29, 2026 – Garrett Motion Inc. (Nasdaq: GTX)</w:t>
      </w:r>
      <w:r>
        <w:rPr>
          <w:color w:val="000000"/>
        </w:rPr>
        <w:t xml:space="preserve"> </w:t>
      </w:r>
      <w:r>
        <w:rPr>
          <w:rFonts w:ascii="Times New Roman;serif" w:hAnsi="Times New Roman;serif"/>
          <w:b w:val="false"/>
          <w:color w:val="000000"/>
          <w:sz w:val="20"/>
        </w:rPr>
        <w:t xml:space="preserve">("Garrett" or the "Company"), a leading automotive and industrial technology provider, today announced its financial results for the three months ended June 30, 2026. Additionally, the Company's Board of Directors declared a cash dividend of $0.08 per share of common stock, payable on September 15, 2026, to shareholders of record as of September 1, 2026.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Garrett delivered a strong second quarter, highlighting the power of our differentiated technology portfolio and continued share-of-demand gains,” said Olivier Rabiller, President and CEO of Garrett. “Net sales were $976 million, up 5% at constant currency, and adjusted EBIT margin expanded 200 basis points to 15.6%, driven by disciplined execution across the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"We also secured multiple turbo wins in industrial for power generation, as well as in passenger and commercial vehicle, while advancing our e-compressor and e-powertrain offerings. Combined with strong profitability and cash generation, these results reinforce our confidence in Garrett’s long-term growth trajectory.”</w:t>
      </w:r>
    </w:p>
    <w:p>
      <w:pPr>
        <w:pStyle w:val="TextBody"/>
        <w:bidi w:val="0"/>
        <w:spacing w:before="200" w:after="283"/>
        <w:jc w:val="both"/>
        <w:rPr/>
      </w:pPr>
      <w:r>
        <w:rPr/>
      </w:r>
    </w:p>
    <w:p>
      <w:pPr>
        <w:pStyle w:val="TextBody"/>
        <w:bidi w:val="0"/>
        <w:spacing w:before="200" w:after="283"/>
        <w:jc w:val="both"/>
        <w:rPr/>
      </w:pPr>
      <w:r>
        <w:rPr/>
        <w:drawing>
          <wp:inline distT="0" distB="0" distL="0" distR="0">
            <wp:extent cx="1209675" cy="4667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209675" cy="466725"/>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73405"/>
                <wp:effectExtent l="0" t="0" r="0" b="0"/>
                <wp:wrapNone/>
                <wp:docPr id="6" name="Frame4"/>
                <a:graphic xmlns:a="http://schemas.openxmlformats.org/drawingml/2006/main">
                  <a:graphicData uri="http://schemas.microsoft.com/office/word/2010/wordprocessingShape">
                    <wps:wsp>
                      <wps:cNvSpPr txBox="1"/>
                      <wps:spPr>
                        <a:xfrm>
                          <a:off x="0" y="0"/>
                          <a:ext cx="6480175" cy="573405"/>
                        </a:xfrm>
                        <a:prstGeom prst="rect"/>
                        <a:solidFill>
                          <a:srgbClr val="FFFFFF"/>
                        </a:solidFill>
                      </wps:spPr>
                      <wps:txbx>
                        <w:txbxContent>
                          <w:p>
                            <w:pPr>
                              <w:pStyle w:val="TextBody"/>
                              <w:bidi w:val="0"/>
                              <w:spacing w:before="160" w:after="283"/>
                              <w:jc w:val="center"/>
                              <w:rPr/>
                            </w:pPr>
                            <w:r>
                              <w:rPr/>
                            </w:r>
                            <w:r>
                              <w:br w:type="page"/>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283"/>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w:t>
                      </w:r>
                    </w:p>
                  </w:txbxContent>
                </v:textbox>
                <w10:wrap type="none"/>
              </v:rect>
            </w:pict>
          </mc:Fallback>
        </mc:AlternateContent>
      </w:r>
    </w:p>
    <w:p>
      <w:pPr>
        <w:pStyle w:val="TextBody"/>
        <w:bidi w:val="0"/>
        <w:spacing w:before="200" w:after="283"/>
        <w:jc w:val="both"/>
        <w:rPr/>
      </w:pPr>
      <w:r>
        <w:rPr/>
      </w:r>
    </w:p>
    <w:tbl>
      <w:tblPr>
        <w:tblW w:w="8683" w:type="dxa"/>
        <w:jc w:val="left"/>
        <w:tblInd w:w="0" w:type="dxa"/>
        <w:tblLayout w:type="fixed"/>
        <w:tblCellMar>
          <w:top w:w="28" w:type="dxa"/>
          <w:left w:w="28" w:type="dxa"/>
          <w:bottom w:w="28" w:type="dxa"/>
          <w:right w:w="28" w:type="dxa"/>
        </w:tblCellMar>
      </w:tblPr>
      <w:tblGrid>
        <w:gridCol w:w="1352"/>
        <w:gridCol w:w="1189"/>
        <w:gridCol w:w="1193"/>
        <w:gridCol w:w="109"/>
        <w:gridCol w:w="109"/>
        <w:gridCol w:w="109"/>
        <w:gridCol w:w="274"/>
        <w:gridCol w:w="274"/>
        <w:gridCol w:w="276"/>
        <w:gridCol w:w="109"/>
        <w:gridCol w:w="109"/>
        <w:gridCol w:w="109"/>
        <w:gridCol w:w="274"/>
        <w:gridCol w:w="274"/>
        <w:gridCol w:w="276"/>
        <w:gridCol w:w="109"/>
        <w:gridCol w:w="109"/>
        <w:gridCol w:w="109"/>
        <w:gridCol w:w="324"/>
        <w:gridCol w:w="324"/>
        <w:gridCol w:w="326"/>
        <w:gridCol w:w="109"/>
        <w:gridCol w:w="109"/>
        <w:gridCol w:w="109"/>
        <w:gridCol w:w="298"/>
        <w:gridCol w:w="298"/>
        <w:gridCol w:w="423"/>
      </w:tblGrid>
      <w:tr>
        <w:trPr/>
        <w:tc>
          <w:tcPr>
            <w:tcW w:w="13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2" w:space="0" w:color="FF0000"/>
              <w:left w:val="single" w:sz="2" w:space="0" w:color="FF0000"/>
            </w:tcBorders>
            <w:shd w:fill="757171"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 millions (unless otherwise noted)</w:t>
            </w:r>
          </w:p>
        </w:tc>
        <w:tc>
          <w:tcPr>
            <w:tcW w:w="327" w:type="dxa"/>
            <w:gridSpan w:val="3"/>
            <w:tcBorders>
              <w:left w:val="single" w:sz="2" w:space="0" w:color="FF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757171"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Q2 2026</w:t>
            </w:r>
          </w:p>
        </w:tc>
        <w:tc>
          <w:tcPr>
            <w:tcW w:w="327" w:type="dxa"/>
            <w:gridSpan w:val="3"/>
            <w:tcBorders>
              <w:left w:val="single" w:sz="2" w:space="0" w:color="FF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757171"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Q2 2025</w:t>
            </w:r>
          </w:p>
        </w:tc>
        <w:tc>
          <w:tcPr>
            <w:tcW w:w="327" w:type="dxa"/>
            <w:gridSpan w:val="3"/>
            <w:tcBorders>
              <w:left w:val="single" w:sz="2" w:space="0" w:color="FF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2" w:space="0" w:color="FF0000"/>
              <w:left w:val="single" w:sz="2" w:space="0" w:color="FF0000"/>
            </w:tcBorders>
            <w:shd w:fill="757171"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YTD 2026</w:t>
            </w:r>
          </w:p>
        </w:tc>
        <w:tc>
          <w:tcPr>
            <w:tcW w:w="327" w:type="dxa"/>
            <w:gridSpan w:val="3"/>
            <w:tcBorders>
              <w:left w:val="single" w:sz="2" w:space="0" w:color="FF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2" w:space="0" w:color="FF0000"/>
              <w:left w:val="single" w:sz="2" w:space="0" w:color="FF0000"/>
              <w:right w:val="single" w:sz="2" w:space="0" w:color="FF0000"/>
            </w:tcBorders>
            <w:shd w:fill="757171"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YTD 2025</w:t>
            </w:r>
          </w:p>
        </w:tc>
      </w:tr>
      <w:tr>
        <w:trPr/>
        <w:tc>
          <w:tcPr>
            <w:tcW w:w="373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976</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913</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1,961</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2" w:space="0" w:color="FF0000"/>
              <w:left w:val="single" w:sz="2" w:space="0" w:color="FF0000"/>
              <w:right w:val="single" w:sz="2" w:space="0" w:color="FF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1,791</w:t>
            </w:r>
          </w:p>
        </w:tc>
      </w:tr>
      <w:tr>
        <w:trPr/>
        <w:tc>
          <w:tcPr>
            <w:tcW w:w="373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764</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732</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1,553</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2" w:space="0" w:color="FF0000"/>
              <w:left w:val="single" w:sz="2" w:space="0" w:color="FF0000"/>
              <w:right w:val="single" w:sz="2" w:space="0" w:color="FF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1,431</w:t>
            </w:r>
          </w:p>
        </w:tc>
      </w:tr>
      <w:tr>
        <w:trPr/>
        <w:tc>
          <w:tcPr>
            <w:tcW w:w="373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181</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408</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2" w:space="0" w:color="FF0000"/>
              <w:left w:val="single" w:sz="2" w:space="0" w:color="FF0000"/>
              <w:right w:val="single" w:sz="2" w:space="0" w:color="FF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360</w:t>
            </w:r>
          </w:p>
        </w:tc>
      </w:tr>
      <w:tr>
        <w:trPr/>
        <w:tc>
          <w:tcPr>
            <w:tcW w:w="373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profit %</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21.7%</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20.8%</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2" w:space="0" w:color="FF0000"/>
              <w:left w:val="single" w:sz="2" w:space="0" w:color="FF0000"/>
              <w:right w:val="single" w:sz="2" w:space="0" w:color="FF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w:t>
            </w:r>
          </w:p>
        </w:tc>
      </w:tr>
      <w:tr>
        <w:trPr/>
        <w:tc>
          <w:tcPr>
            <w:tcW w:w="373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2" w:space="0" w:color="FF0000"/>
              <w:left w:val="single" w:sz="2" w:space="0" w:color="FF0000"/>
              <w:right w:val="single" w:sz="2" w:space="0" w:color="FF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r>
      <w:tr>
        <w:trPr/>
        <w:tc>
          <w:tcPr>
            <w:tcW w:w="373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244</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2" w:space="0" w:color="FF0000"/>
              <w:left w:val="single" w:sz="2" w:space="0" w:color="FF0000"/>
              <w:right w:val="single" w:sz="2" w:space="0" w:color="FF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187</w:t>
            </w:r>
          </w:p>
        </w:tc>
      </w:tr>
      <w:tr>
        <w:trPr/>
        <w:tc>
          <w:tcPr>
            <w:tcW w:w="373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196</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2" w:space="0" w:color="FF0000"/>
              <w:left w:val="single" w:sz="2" w:space="0" w:color="FF0000"/>
              <w:right w:val="single" w:sz="2" w:space="0" w:color="FF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149</w:t>
            </w:r>
          </w:p>
        </w:tc>
      </w:tr>
      <w:tr>
        <w:trPr/>
        <w:tc>
          <w:tcPr>
            <w:tcW w:w="373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 margin</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2" w:space="0" w:color="FF0000"/>
              <w:left w:val="single" w:sz="2" w:space="0" w:color="FF0000"/>
              <w:right w:val="single" w:sz="2" w:space="0" w:color="FF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Adjusted EBIT*</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303</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2" w:space="0" w:color="FF0000"/>
              <w:left w:val="single" w:sz="2" w:space="0" w:color="FF0000"/>
              <w:right w:val="single" w:sz="2" w:space="0" w:color="FF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255</w:t>
            </w:r>
          </w:p>
        </w:tc>
      </w:tr>
      <w:tr>
        <w:trPr/>
        <w:tc>
          <w:tcPr>
            <w:tcW w:w="373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Adjusted EBIT margin*</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15.6%</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13.6%</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15.5%</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2" w:space="0" w:color="FF0000"/>
              <w:left w:val="single" w:sz="2" w:space="0" w:color="FF0000"/>
              <w:right w:val="single" w:sz="2" w:space="0" w:color="FF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w:t>
            </w:r>
          </w:p>
        </w:tc>
      </w:tr>
      <w:tr>
        <w:trPr/>
        <w:tc>
          <w:tcPr>
            <w:tcW w:w="373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183</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366</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2" w:space="0" w:color="FF0000"/>
              <w:left w:val="single" w:sz="2" w:space="0" w:color="FF0000"/>
              <w:right w:val="single" w:sz="2" w:space="0" w:color="FF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313</w:t>
            </w:r>
          </w:p>
        </w:tc>
      </w:tr>
      <w:tr>
        <w:trPr/>
        <w:tc>
          <w:tcPr>
            <w:tcW w:w="373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18.8%</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18.7%</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2" w:space="0" w:color="FF0000"/>
              <w:left w:val="single" w:sz="2" w:space="0" w:color="FF0000"/>
              <w:right w:val="single" w:sz="2" w:space="0" w:color="FF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r>
      <w:tr>
        <w:trPr/>
        <w:tc>
          <w:tcPr>
            <w:tcW w:w="373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2" w:space="0" w:color="FF0000"/>
              <w:left w:val="single" w:sz="2" w:space="0" w:color="FF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2" w:space="0" w:color="FF0000"/>
              <w:left w:val="single" w:sz="2" w:space="0" w:color="FF0000"/>
              <w:right w:val="single" w:sz="2" w:space="0" w:color="FF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w:t>
            </w:r>
          </w:p>
        </w:tc>
      </w:tr>
      <w:tr>
        <w:trPr/>
        <w:tc>
          <w:tcPr>
            <w:tcW w:w="3734" w:type="dxa"/>
            <w:gridSpan w:val="3"/>
            <w:tcBorders>
              <w:top w:val="single" w:sz="2" w:space="0" w:color="FF0000"/>
              <w:left w:val="single" w:sz="2" w:space="0" w:color="FF0000"/>
              <w:bottom w:val="single" w:sz="2" w:space="0" w:color="FF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bottom w:val="single" w:sz="2" w:space="0" w:color="FF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FF0000"/>
              <w:left w:val="single" w:sz="2" w:space="0" w:color="FF0000"/>
              <w:bottom w:val="single" w:sz="2" w:space="0" w:color="FF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2" w:space="0" w:color="FF0000"/>
              <w:left w:val="single" w:sz="2" w:space="0" w:color="FF0000"/>
              <w:bottom w:val="single" w:sz="2" w:space="0" w:color="FF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171</w:t>
            </w:r>
          </w:p>
        </w:tc>
        <w:tc>
          <w:tcPr>
            <w:tcW w:w="327" w:type="dxa"/>
            <w:gridSpan w:val="3"/>
            <w:tcBorders>
              <w:left w:val="single" w:sz="2" w:space="0" w:color="FF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2" w:space="0" w:color="FF0000"/>
              <w:left w:val="single" w:sz="2" w:space="0" w:color="FF0000"/>
              <w:bottom w:val="single" w:sz="2" w:space="0" w:color="FF0000"/>
              <w:right w:val="single" w:sz="2" w:space="0" w:color="FF0000"/>
            </w:tcBorders>
            <w:shd w:fill="FFFF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157</w:t>
            </w:r>
          </w:p>
        </w:tc>
      </w:tr>
    </w:tbl>
    <w:p>
      <w:pPr>
        <w:pStyle w:val="TextBody"/>
        <w:bidi w:val="0"/>
        <w:spacing w:lineRule="auto" w:line="288" w:before="140" w:after="283"/>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 xml:space="preserve">* See reconciliations to the nearest GAAP measures below.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Net sales</w:t>
      </w:r>
      <w:r>
        <w:rPr>
          <w:color w:val="000000"/>
        </w:rPr>
        <w:t xml:space="preserve"> </w:t>
      </w:r>
      <w:r>
        <w:rPr>
          <w:rFonts w:ascii="Times New Roman;serif" w:hAnsi="Times New Roman;serif"/>
          <w:b w:val="false"/>
          <w:color w:val="000000"/>
          <w:sz w:val="20"/>
        </w:rPr>
        <w:t xml:space="preserve">for the second quarter of 2026 were $976 million, representing an increase of 7% (including a favorable impact of $15 million or 2% due to foreign currency translation) compared with $913 million in the second quarter of 2025. This increase was driven by higher growth across all verticals. Gasoline growth was driven by new application launches and program ramp-ups in Europe, India and South America. Diesel growth was due to strong demand for light commercial vehicles and pickup trucks in Europe, Asia and South America and program ramp-ups in India. Commercial vehicle and industrial growth was driven by strong on-highway demand in China following program launches and North America Genset for data centers. Aftermarket volumes increased in Europe, China and Australia resulting in a favorable product mix.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Cost of goods sold</w:t>
      </w:r>
      <w:r>
        <w:rPr>
          <w:color w:val="000000"/>
        </w:rPr>
        <w:t xml:space="preserve"> </w:t>
      </w:r>
      <w:r>
        <w:rPr>
          <w:rFonts w:ascii="Times New Roman;serif" w:hAnsi="Times New Roman;serif"/>
          <w:b w:val="false"/>
          <w:color w:val="000000"/>
          <w:sz w:val="20"/>
        </w:rPr>
        <w:t xml:space="preserve">for the second quarter of 2026 increased to $764 million from $732 million in the second quarter of 2025, primarily driven by $35 million from higher sales volumes, $18 million of unfavorable product mix, $15 million from foreign currency impacts and $8 million from commodity, transportation and energy inflation. These increases were partially offset by $24 million productivity net of labor inflation and repositioning costs, $16 million of lower import tariffs and $4 million of lower RD&amp;E costs.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Gross profit</w:t>
      </w:r>
      <w:r>
        <w:rPr>
          <w:color w:val="000000"/>
        </w:rPr>
        <w:t xml:space="preserve"> </w:t>
      </w:r>
      <w:r>
        <w:rPr>
          <w:rFonts w:ascii="Times New Roman;serif" w:hAnsi="Times New Roman;serif"/>
          <w:b w:val="false"/>
          <w:color w:val="000000"/>
          <w:sz w:val="20"/>
        </w:rPr>
        <w:t>totaled $212 million for the second quarter of 2026 as compared to $181 million in the second quarter of 2025, with a gross profit percentage for the second quarter of 2026 of 21.7% as compared to 19.8% in the second quarter of 2025. This increase in gross profit was driven by $16 million from higher sales volumes, $8 million productivity net of labor inflation and repositioning costs, $8 million of price net of inflation pass-through, $4 million of lower RD&amp;E costs and $3 million of favorable product mix. These increases were partially offset by $8 million of commodity, transportation and energy inflation.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Selling, general and administrative </w:t>
      </w:r>
      <w:r>
        <w:rPr>
          <w:rFonts w:ascii="Times New Roman;serif" w:hAnsi="Times New Roman;serif"/>
          <w:b w:val="false"/>
          <w:color w:val="000000"/>
          <w:sz w:val="20"/>
        </w:rPr>
        <w:t>(“SG&amp;A”) expenses for the second quarter of 2026 increased to $63 million from $59 million in the second quarter of 2025. This increase was driven by $3 million of higher personnel costs and $2 million of unfavorable foreign currency impact, partially offset by $1 million of lower bad debt expense.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Other expense</w:t>
      </w:r>
      <w:r>
        <w:rPr>
          <w:color w:val="000000"/>
        </w:rPr>
        <w:t xml:space="preserve"> </w:t>
      </w:r>
      <w:r>
        <w:rPr>
          <w:rFonts w:ascii="Times New Roman;serif" w:hAnsi="Times New Roman;serif"/>
          <w:b w:val="false"/>
          <w:color w:val="000000"/>
          <w:sz w:val="20"/>
        </w:rPr>
        <w:t xml:space="preserve">in the second quarter of 2026 was consistent with the the second quarter of 2025. </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0"/>
        </w:rPr>
        <w:t xml:space="preserve">Interest expense </w:t>
      </w:r>
      <w:r>
        <w:rPr>
          <w:rFonts w:ascii="Times New Roman;serif" w:hAnsi="Times New Roman;serif"/>
          <w:b w:val="false"/>
          <w:color w:val="000000"/>
          <w:sz w:val="20"/>
        </w:rPr>
        <w:t xml:space="preserve">in the second quarter of 2026 was $24 million as compared to $25 million in the second quarter of 2025. This decrease was primarily due to $3 million in lower interest expense due to a different notional amount of debt </w:t>
      </w:r>
    </w:p>
    <w:p>
      <w:pPr>
        <w:pStyle w:val="TextBody"/>
        <w:bidi w:val="0"/>
        <w:spacing w:before="200" w:after="283"/>
        <w:jc w:val="both"/>
        <w:rPr/>
      </w:pPr>
      <w:r>
        <w:rPr/>
        <w:drawing>
          <wp:inline distT="0" distB="0" distL="0" distR="0">
            <wp:extent cx="1209675" cy="4667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209675" cy="466725"/>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18440"/>
                <wp:effectExtent l="0" t="0" r="0" b="0"/>
                <wp:wrapNone/>
                <wp:docPr id="8" name="Frame5"/>
                <a:graphic xmlns:a="http://schemas.openxmlformats.org/drawingml/2006/main">
                  <a:graphicData uri="http://schemas.microsoft.com/office/word/2010/wordprocessingShape">
                    <wps:wsp>
                      <wps:cNvSpPr txBox="1"/>
                      <wps:spPr>
                        <a:xfrm>
                          <a:off x="0" y="0"/>
                          <a:ext cx="6480175" cy="218440"/>
                        </a:xfrm>
                        <a:prstGeom prst="rect"/>
                        <a:solidFill>
                          <a:srgbClr val="FFFFFF"/>
                        </a:solidFill>
                      </wps:spPr>
                      <wps:txb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2</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outstanding during the period. In addition, we recorded offsetting net gains of $2 million on our interest derivatives in the current year, in comparison to net gains of $4 million in the prior year.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Non-operating income </w:t>
      </w:r>
      <w:r>
        <w:rPr>
          <w:rFonts w:ascii="Times New Roman;serif" w:hAnsi="Times New Roman;serif"/>
          <w:b w:val="false"/>
          <w:color w:val="000000"/>
          <w:sz w:val="20"/>
        </w:rPr>
        <w:t xml:space="preserve">for the second quarter of 2026 was $2 million as compared to $6 million in the second quarter of 2025, with the decrease driven by a decrease in foreign exchange transactional gains.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Tax expense</w:t>
      </w:r>
      <w:r>
        <w:rPr>
          <w:color w:val="000000"/>
        </w:rPr>
        <w:t xml:space="preserve"> </w:t>
      </w:r>
      <w:r>
        <w:rPr>
          <w:rFonts w:ascii="Times New Roman;serif" w:hAnsi="Times New Roman;serif"/>
          <w:b w:val="false"/>
          <w:color w:val="000000"/>
          <w:sz w:val="20"/>
        </w:rPr>
        <w:t>for the second quarter of 2026 was $25 million as compared to $15 million in the second quarter of 2025, primarily because of a decrease in U.S. taxes on international operations during 2026, the global mix of earnings from year-to-year, a one-time benefit related to the revaluation of deferred tax assets in China during 2025, and deductions related to employee share-based compensation during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Net income</w:t>
      </w:r>
      <w:r>
        <w:rPr>
          <w:color w:val="000000"/>
        </w:rPr>
        <w:t xml:space="preserve"> </w:t>
      </w:r>
      <w:r>
        <w:rPr>
          <w:rFonts w:ascii="Times New Roman;serif" w:hAnsi="Times New Roman;serif"/>
          <w:b w:val="false"/>
          <w:color w:val="000000"/>
          <w:sz w:val="20"/>
        </w:rPr>
        <w:t>for the second quarter of 2026 was $101 million as compared to $87 million in the second quarter of 2025 primarily driven by $31 million of increased gross profit and $1 million of lower interest expense, partially offset by $10 million of higher tax expense, $4 million of lower non-operating income and $4 million of higher SG&amp;A expense.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Net cash provided by operating activities</w:t>
      </w:r>
      <w:r>
        <w:rPr>
          <w:color w:val="000000"/>
        </w:rPr>
        <w:t xml:space="preserve"> </w:t>
      </w:r>
      <w:r>
        <w:rPr>
          <w:rFonts w:ascii="Times New Roman;serif" w:hAnsi="Times New Roman;serif"/>
          <w:b w:val="false"/>
          <w:color w:val="000000"/>
          <w:sz w:val="20"/>
        </w:rPr>
        <w:t xml:space="preserve">totaled $145 million in the second quarter of 2026 as compared to $158 million in the second quarter of 2025, representing a decrease of $13 million. The decrease was primarily driven by $84 million of unfavorable impacts from working capital changes, partially offset by $60 million of favorable impacts from changes in other assets and liabilities and $11 million of higher net income net of non-cash charges.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Non-GAAP Financial Measures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Adjusted EBIT</w:t>
      </w:r>
      <w:r>
        <w:rPr>
          <w:color w:val="000000"/>
        </w:rPr>
        <w:t xml:space="preserve"> </w:t>
      </w:r>
      <w:r>
        <w:rPr>
          <w:rFonts w:ascii="Times New Roman;serif" w:hAnsi="Times New Roman;serif"/>
          <w:b w:val="false"/>
          <w:color w:val="000000"/>
          <w:sz w:val="20"/>
        </w:rPr>
        <w:t xml:space="preserve">increased to $152 million in the second quarter of 2026 as compared to $124 million in the second quarter of 2025. The increase of $28 million was driven by </w:t>
      </w:r>
      <w:r>
        <w:rPr>
          <w:rFonts w:ascii="Times New Roman;serif" w:hAnsi="Times New Roman;serif"/>
          <w:b w:val="false"/>
          <w:color w:val="231F20"/>
          <w:sz w:val="20"/>
        </w:rPr>
        <w:t>$16 million from higher sales volumes, $10 million of higher productivity, $8 million of pricing net of inflation pass-through, $4 million of lower RD&amp;E costs and $3 million of favorable product mix impact. This increase was partially offset by $8 million of commodity, transportation and energy inflation and $5 million unfavorable foreign currency impact.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Adjusted free cash flow </w:t>
      </w:r>
      <w:r>
        <w:rPr>
          <w:rFonts w:ascii="Times New Roman;serif" w:hAnsi="Times New Roman;serif"/>
          <w:b w:val="false"/>
          <w:color w:val="000000"/>
          <w:sz w:val="20"/>
        </w:rPr>
        <w:t>was $122 million in the second quarter of 2026 as compared to $121 million in the second quarter of 2025. The increase was driven by $30 million from other assets and liabilities, $28 million from higher Adjusted EBIT, $4 million from lower cash taxes and $1 million from higher depreciation, and were partially offset by $60 million of unfavorable impact from working capital (net of factoring) and $2 million of higher capital expenditures.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Garrett had $788 million in available liquidity, including $158 million in unrestricted cash and cash equivalents and $630 million of undrawn commitments under its revolving credit facility. As of December 31, 2025, Garrett had $807 million in available liquidity, including $177 million in unrestricted cash and cash equivalents and $630 million of undrawn commitments under its revolving credit facility.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total principal amount of debt outstanding was $1,386 million, compared to $1,439 million as of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we repurchased $28 million of our common stock under our authorized share repurchase program and we had remaining repurchase capacity of $135 million as of June 30, 2026. </w:t>
      </w:r>
    </w:p>
    <w:p>
      <w:pPr>
        <w:pStyle w:val="TextBody"/>
        <w:bidi w:val="0"/>
        <w:jc w:val="both"/>
        <w:rPr/>
      </w:pPr>
      <w:r>
        <w:rPr/>
      </w:r>
    </w:p>
    <w:p>
      <w:pPr>
        <w:pStyle w:val="TextBody"/>
        <w:bidi w:val="0"/>
        <w:spacing w:before="200" w:after="283"/>
        <w:jc w:val="both"/>
        <w:rPr/>
      </w:pPr>
      <w:r>
        <w:rPr/>
        <w:drawing>
          <wp:inline distT="0" distB="0" distL="0" distR="0">
            <wp:extent cx="1209675" cy="4667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209675" cy="466725"/>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18440"/>
                <wp:effectExtent l="0" t="0" r="0" b="0"/>
                <wp:wrapNone/>
                <wp:docPr id="10" name="Frame6"/>
                <a:graphic xmlns:a="http://schemas.openxmlformats.org/drawingml/2006/main">
                  <a:graphicData uri="http://schemas.microsoft.com/office/word/2010/wordprocessingShape">
                    <wps:wsp>
                      <wps:cNvSpPr txBox="1"/>
                      <wps:spPr>
                        <a:xfrm>
                          <a:off x="0" y="0"/>
                          <a:ext cx="6480175" cy="218440"/>
                        </a:xfrm>
                        <a:prstGeom prst="rect"/>
                        <a:solidFill>
                          <a:srgbClr val="FFFFFF"/>
                        </a:solidFill>
                      </wps:spPr>
                      <wps:txb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3</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 xml:space="preserve">Full Year 2026 Outlook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Garrett is providing the following outlook for the full year 2026 for certain GAAP and Non-GAAP financial measures.</w:t>
      </w:r>
    </w:p>
    <w:tbl>
      <w:tblPr>
        <w:tblW w:w="9344" w:type="dxa"/>
        <w:jc w:val="left"/>
        <w:tblInd w:w="0" w:type="dxa"/>
        <w:tblLayout w:type="fixed"/>
        <w:tblCellMar>
          <w:top w:w="28" w:type="dxa"/>
          <w:left w:w="28" w:type="dxa"/>
          <w:bottom w:w="28" w:type="dxa"/>
          <w:right w:w="28" w:type="dxa"/>
        </w:tblCellMar>
      </w:tblPr>
      <w:tblGrid>
        <w:gridCol w:w="1564"/>
        <w:gridCol w:w="1375"/>
        <w:gridCol w:w="1381"/>
        <w:gridCol w:w="829"/>
        <w:gridCol w:w="829"/>
        <w:gridCol w:w="832"/>
        <w:gridCol w:w="739"/>
        <w:gridCol w:w="739"/>
        <w:gridCol w:w="1056"/>
      </w:tblGrid>
      <w:tr>
        <w:trPr/>
        <w:tc>
          <w:tcPr>
            <w:tcW w:w="15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Full Year 2026 Outlook</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Prior Outlook</w:t>
            </w:r>
          </w:p>
        </w:tc>
      </w:tr>
      <w:tr>
        <w:trPr/>
        <w:tc>
          <w:tcPr>
            <w:tcW w:w="4320"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 (GAAP)</w:t>
            </w:r>
          </w:p>
        </w:tc>
        <w:tc>
          <w:tcPr>
            <w:tcW w:w="24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$3.7 billion to $3.9 billion</w:t>
            </w:r>
          </w:p>
        </w:tc>
        <w:tc>
          <w:tcPr>
            <w:tcW w:w="253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$3.6 billion to $3.9 billion</w:t>
            </w:r>
          </w:p>
        </w:tc>
      </w:tr>
      <w:tr>
        <w:trPr/>
        <w:tc>
          <w:tcPr>
            <w:tcW w:w="4320"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 growth at constant currency (Non-GAAP)*</w:t>
            </w:r>
          </w:p>
        </w:tc>
        <w:tc>
          <w:tcPr>
            <w:tcW w:w="24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 to +7%</w:t>
            </w:r>
          </w:p>
        </w:tc>
        <w:tc>
          <w:tcPr>
            <w:tcW w:w="253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 to +6%</w:t>
            </w:r>
          </w:p>
        </w:tc>
      </w:tr>
      <w:tr>
        <w:trPr/>
        <w:tc>
          <w:tcPr>
            <w:tcW w:w="4320"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(GAAP)</w:t>
            </w:r>
          </w:p>
        </w:tc>
        <w:tc>
          <w:tcPr>
            <w:tcW w:w="24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$330 million to $360 million</w:t>
            </w:r>
          </w:p>
        </w:tc>
        <w:tc>
          <w:tcPr>
            <w:tcW w:w="253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$300 million to $360 million</w:t>
            </w:r>
          </w:p>
        </w:tc>
      </w:tr>
      <w:tr>
        <w:trPr/>
        <w:tc>
          <w:tcPr>
            <w:tcW w:w="4320"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Adjusted EBIT (Non-GAAP)*</w:t>
            </w:r>
          </w:p>
        </w:tc>
        <w:tc>
          <w:tcPr>
            <w:tcW w:w="24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$560 million to $600 million</w:t>
            </w:r>
          </w:p>
        </w:tc>
        <w:tc>
          <w:tcPr>
            <w:tcW w:w="253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$520 million to $600 million</w:t>
            </w:r>
          </w:p>
        </w:tc>
      </w:tr>
      <w:tr>
        <w:trPr/>
        <w:tc>
          <w:tcPr>
            <w:tcW w:w="4320"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 (GAAP)</w:t>
            </w:r>
          </w:p>
        </w:tc>
        <w:tc>
          <w:tcPr>
            <w:tcW w:w="249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$435 million to $525 million</w:t>
            </w:r>
          </w:p>
        </w:tc>
        <w:tc>
          <w:tcPr>
            <w:tcW w:w="253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$407 million to $522 million</w:t>
            </w:r>
          </w:p>
        </w:tc>
      </w:tr>
      <w:tr>
        <w:trPr/>
        <w:tc>
          <w:tcPr>
            <w:tcW w:w="4320" w:type="dxa"/>
            <w:gridSpan w:val="3"/>
            <w:tcBorders>
              <w:top w:val="single" w:sz="2" w:space="0" w:color="000000"/>
              <w:left w:val="single" w:sz="2" w:space="0" w:color="000000"/>
              <w:bottom w:val="single" w:sz="2"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Adjusted free cash flow (Non-GAAP)*</w:t>
            </w:r>
          </w:p>
        </w:tc>
        <w:tc>
          <w:tcPr>
            <w:tcW w:w="2490"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$385 million to $475 million</w:t>
            </w:r>
          </w:p>
        </w:tc>
        <w:tc>
          <w:tcPr>
            <w:tcW w:w="2534"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$355 million to $475 million</w:t>
            </w:r>
          </w:p>
        </w:tc>
      </w:tr>
    </w:tbl>
    <w:p>
      <w:pPr>
        <w:pStyle w:val="TextBody"/>
        <w:bidi w:val="0"/>
        <w:spacing w:lineRule="auto" w:line="288" w:before="200" w:after="283"/>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 xml:space="preserve">* See reconciliations to the nearest GAAP measures below.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Garrett’s full year 2026 outlook, as of July 29, 2026, includes the following expectations: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2026 light vehicle industry production down 2% to 4% from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2026 commercial vehicle industry, including both on- and off-highway, up 1% to 2% from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2026 average light vehicle battery electric vehicle penetration of ~19%;</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2026 Euro/dollar exchange rate of 1.16 USD (down from 1.17 in prior outlook)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RD&amp;E investment at ~4.1% of sales;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Capital expenditures at ~2.4% of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 xml:space="preserve">Conference Call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Garrett will hold a conference call at 8:30 am EDT / 2:30 pm CET on Thursday, July 29, 2026, to discuss its results. To participate on the conference call, please dial +1-877-883-0383 (US) or +1-412-902-6506 (international) and use the passcode 7065303.</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conference call will also be broadcast over the internet and include a slide presentation. To access the webcast and supporting material, please visit the investor relations section of the Garrett Motion website at </w:t>
      </w:r>
      <w:r>
        <w:rPr>
          <w:rFonts w:ascii="Times New Roman;serif" w:hAnsi="Times New Roman;serif"/>
          <w:b w:val="false"/>
          <w:color w:val="0563C1"/>
          <w:sz w:val="20"/>
          <w:u w:val="single"/>
        </w:rPr>
        <w:t>http://investors.garrettmotion.com</w:t>
      </w:r>
      <w:r>
        <w:rPr>
          <w:rFonts w:ascii="Times New Roman;serif" w:hAnsi="Times New Roman;serif"/>
          <w:b w:val="false"/>
          <w:color w:val="000000"/>
          <w:sz w:val="20"/>
        </w:rPr>
        <w:t>. A replay of the conference call will be available by dialing +1-855-669-9658 (US) or +1-412-317-0088 (international) using the access code 2467399. The webcast will also be archived on Garrett’s website.</w:t>
      </w:r>
    </w:p>
    <w:p>
      <w:pPr>
        <w:pStyle w:val="TextBody"/>
        <w:bidi w:val="0"/>
        <w:spacing w:lineRule="auto" w:line="288" w:before="200" w:after="283"/>
        <w:jc w:val="both"/>
        <w:rPr>
          <w:rFonts w:ascii="Times New Roman;serif" w:hAnsi="Times New Roman;serif"/>
          <w:b/>
          <w:i/>
          <w:color w:val="000000"/>
          <w:sz w:val="20"/>
          <w:u w:val="single"/>
        </w:rPr>
      </w:pPr>
      <w:r>
        <w:rPr>
          <w:rFonts w:ascii="Times New Roman;serif" w:hAnsi="Times New Roman;serif"/>
          <w:b/>
          <w:i/>
          <w:color w:val="000000"/>
          <w:sz w:val="20"/>
          <w:u w:val="single"/>
        </w:rPr>
        <w:t>Forward-Looking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communication and related comments by management may include “forward-looking statements” within the meaning of the U.S. federal securities laws. Forward-looking statements are any statements other than statements of historical fact and can be identified by words such as “anticipate,” “intend,” “plan,” “goal,” “seek,” “believe,” “project,” “estimate,” “expect,” “strategy,” “future,” “likely,” “may,” “should,” “will,” and similar expressions. Forward-looking statements represent our current judgment about possible future activities, events, or developments that we intend, expect, project, believe, or anticipate will or may occur in the future. In making these statement,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performance, events, or results, and actual performance, events, or results may differ materially from those envisaged by our forward-looking statements due to a variety of important factors, many of which are described in our most recent Annual Report on Form 10-K and our other filings with the U.S. Securities and Exchange Commission, including risks related to the automotive industry, the competitive landscape and our ability to compete, and macroeconomic and geopolitical conditions, among others. You are cautioned not to place undue reliance on forward-looking statements, which speak only as of the date they are made, and we undertake no obligation to update publicly or otherwise revise any forward-looking statements, whether as a result of new information, future events, or other factors that affect the subject of these statement, except where we are expressly required to do so by law. </w:t>
      </w:r>
    </w:p>
    <w:p>
      <w:pPr>
        <w:pStyle w:val="TextBody"/>
        <w:bidi w:val="0"/>
        <w:spacing w:before="200" w:after="283"/>
        <w:jc w:val="both"/>
        <w:rPr/>
      </w:pPr>
      <w:r>
        <w:rPr/>
        <w:drawing>
          <wp:inline distT="0" distB="0" distL="0" distR="0">
            <wp:extent cx="1209675" cy="46672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209675" cy="466725"/>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18440"/>
                <wp:effectExtent l="0" t="0" r="0" b="0"/>
                <wp:wrapNone/>
                <wp:docPr id="12" name="Frame7"/>
                <a:graphic xmlns:a="http://schemas.openxmlformats.org/drawingml/2006/main">
                  <a:graphicData uri="http://schemas.microsoft.com/office/word/2010/wordprocessingShape">
                    <wps:wsp>
                      <wps:cNvSpPr txBox="1"/>
                      <wps:spPr>
                        <a:xfrm>
                          <a:off x="0" y="0"/>
                          <a:ext cx="6480175" cy="218440"/>
                        </a:xfrm>
                        <a:prstGeom prst="rect"/>
                        <a:solidFill>
                          <a:srgbClr val="FFFFFF"/>
                        </a:solidFill>
                      </wps:spPr>
                      <wps:txb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4</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i/>
          <w:color w:val="000000"/>
          <w:sz w:val="20"/>
          <w:u w:val="single"/>
        </w:rPr>
      </w:pPr>
      <w:r>
        <w:rPr>
          <w:rFonts w:ascii="Times New Roman;serif" w:hAnsi="Times New Roman;serif"/>
          <w:b/>
          <w:i/>
          <w:color w:val="000000"/>
          <w:sz w:val="20"/>
          <w:u w:val="single"/>
        </w:rPr>
        <w:t xml:space="preserve">Non-GAAP Financial Measures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communication includes the following non-GAAP financial measures, which are not calculated in accordance with generally accepted accounting principles in the United States (“GAAP”): Constant currency sales growth, Adjusted EBIT, Adjusted EBITDA, Adjusted EBIT margin, Adjusted EBITDA margin and Adjusted free cash flow. We believe these measures are useful to investors and management in understanding our ongoing operations and analysis of ongoing operating trends and are important indicators of operating performance because they exclude the effects of certain non-operating items, therefore making them more closely reflect our operational performance. Our calculation of these non-GAAP measures, including a reconciliation of such measures to the most closely related GAAP measure, are set forth in the Appendix to this presentation.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GAAP measures. For additional information regarding our non-GAAP financial measures, see our most recent Annual Report on Form 10-K and our other filings with the U.S. Securities and Exchange Commission.</w:t>
      </w:r>
    </w:p>
    <w:p>
      <w:pPr>
        <w:pStyle w:val="TextBody"/>
        <w:bidi w:val="0"/>
        <w:spacing w:lineRule="auto" w:line="288" w:before="200" w:after="283"/>
        <w:jc w:val="both"/>
        <w:rPr>
          <w:rFonts w:ascii="Times New Roman;serif" w:hAnsi="Times New Roman;serif"/>
          <w:b/>
          <w:i/>
          <w:color w:val="000000"/>
          <w:sz w:val="20"/>
          <w:u w:val="single"/>
        </w:rPr>
      </w:pPr>
      <w:r>
        <w:rPr>
          <w:rFonts w:ascii="Times New Roman;serif" w:hAnsi="Times New Roman;serif"/>
          <w:b/>
          <w:i/>
          <w:color w:val="000000"/>
          <w:sz w:val="20"/>
          <w:u w:val="single"/>
        </w:rPr>
        <w:t>About Garrett Motion Inc.</w:t>
      </w:r>
    </w:p>
    <w:p>
      <w:pPr>
        <w:pStyle w:val="TextBody"/>
        <w:bidi w:val="0"/>
        <w:spacing w:lineRule="auto" w:line="288" w:before="200" w:after="283"/>
        <w:jc w:val="both"/>
        <w:rPr/>
      </w:pPr>
      <w:r>
        <w:rPr>
          <w:rFonts w:ascii="Times New Roman;serif" w:hAnsi="Times New Roman;serif"/>
          <w:b w:val="false"/>
          <w:color w:val="000000"/>
          <w:sz w:val="20"/>
        </w:rPr>
        <w:t xml:space="preserve">A differentiated technology leader, Garrett Motion has a 70-year history of innovation in the automotive sector (cars, trucks) and beyond (off-highway equipment, marine, power generators). Its well-recognized expertise in turbocharging has enabled significant reductions in engine size, fuel consumption, and CO2 emissions. Garrett is committed to advancing turbo applications while leveraging its unique technology solutions, such as fuel cell compressors for hydrogen fuel cell vehicles, as well as electric propulsion and thermal management systems for automotive and industrial applications. Garrett has six R&amp;D centers, 13 manufacturing facilities and a team of more than 8,700 employees in more than 20 countries. For more information, please visit </w:t>
      </w:r>
      <w:r>
        <w:rPr>
          <w:rFonts w:ascii="Times New Roman;serif" w:hAnsi="Times New Roman;serif"/>
          <w:b w:val="false"/>
          <w:i/>
          <w:color w:val="0563C1"/>
          <w:sz w:val="20"/>
          <w:u w:val="single"/>
        </w:rPr>
        <w:t>www.garrettmotion.com</w:t>
      </w:r>
      <w:r>
        <w:rPr>
          <w:rFonts w:ascii="Times New Roman;serif" w:hAnsi="Times New Roman;serif"/>
          <w:b w:val="false"/>
          <w:color w:val="000000"/>
          <w:sz w:val="20"/>
        </w:rPr>
        <w:t>.</w:t>
      </w:r>
    </w:p>
    <w:tbl>
      <w:tblPr>
        <w:tblW w:w="3865" w:type="dxa"/>
        <w:jc w:val="left"/>
        <w:tblInd w:w="0" w:type="dxa"/>
        <w:tblLayout w:type="fixed"/>
        <w:tblCellMar>
          <w:top w:w="28" w:type="dxa"/>
          <w:left w:w="28" w:type="dxa"/>
          <w:bottom w:w="28" w:type="dxa"/>
          <w:right w:w="28" w:type="dxa"/>
        </w:tblCellMar>
      </w:tblPr>
      <w:tblGrid>
        <w:gridCol w:w="1583"/>
        <w:gridCol w:w="787"/>
        <w:gridCol w:w="796"/>
        <w:gridCol w:w="109"/>
        <w:gridCol w:w="109"/>
        <w:gridCol w:w="109"/>
        <w:gridCol w:w="109"/>
        <w:gridCol w:w="109"/>
        <w:gridCol w:w="154"/>
      </w:tblGrid>
      <w:tr>
        <w:trPr/>
        <w:tc>
          <w:tcPr>
            <w:tcW w:w="15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Contacts: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Cyril Grandjean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+1.734.392.5504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88" w:before="200" w:after="283"/>
              <w:jc w:val="both"/>
              <w:rPr>
                <w:rFonts w:ascii="Times New Roman;serif" w:hAnsi="Times New Roman;serif"/>
                <w:b w:val="false"/>
                <w:color w:val="0563C1"/>
                <w:sz w:val="20"/>
                <w:u w:val="single"/>
              </w:rPr>
            </w:pPr>
            <w:r>
              <w:rPr>
                <w:rFonts w:ascii="Times New Roman;serif" w:hAnsi="Times New Roman;serif"/>
                <w:b w:val="false"/>
                <w:color w:val="0563C1"/>
                <w:sz w:val="20"/>
                <w:u w:val="single"/>
              </w:rPr>
              <w:t>investorrelations@garrettmotion.com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pPr>
      <w:r>
        <w:rPr/>
        <w:drawing>
          <wp:inline distT="0" distB="0" distL="0" distR="0">
            <wp:extent cx="1209675" cy="46672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209675" cy="466725"/>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18440"/>
                <wp:effectExtent l="0" t="0" r="0" b="0"/>
                <wp:wrapNone/>
                <wp:docPr id="14" name="Frame8"/>
                <a:graphic xmlns:a="http://schemas.openxmlformats.org/drawingml/2006/main">
                  <a:graphicData uri="http://schemas.microsoft.com/office/word/2010/wordprocessingShape">
                    <wps:wsp>
                      <wps:cNvSpPr txBox="1"/>
                      <wps:spPr>
                        <a:xfrm>
                          <a:off x="0" y="0"/>
                          <a:ext cx="6480175" cy="218440"/>
                        </a:xfrm>
                        <a:prstGeom prst="rect"/>
                        <a:solidFill>
                          <a:srgbClr val="FFFFFF"/>
                        </a:solidFill>
                      </wps:spPr>
                      <wps:txb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5</w:t>
                      </w:r>
                    </w:p>
                  </w:txbxContent>
                </v:textbox>
                <w10:wrap type="none"/>
              </v:rect>
            </w:pict>
          </mc:Fallback>
        </mc:AlternateContent>
      </w:r>
    </w:p>
    <w:p>
      <w:pPr>
        <w:pStyle w:val="TextBody"/>
        <w:bidi w:val="0"/>
        <w:spacing w:before="200" w:after="283"/>
        <w:jc w:val="both"/>
        <w:rPr/>
      </w:pPr>
      <w:r>
        <w:rPr/>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CONSOLIDATED INTERIM STATEMENTS OF OPERATIONS </w:t>
      </w:r>
    </w:p>
    <w:p>
      <w:pPr>
        <w:pStyle w:val="TextBody"/>
        <w:bidi w:val="0"/>
        <w:spacing w:before="200" w:after="120"/>
        <w:jc w:val="both"/>
        <w:rPr/>
      </w:pPr>
      <w:r>
        <w:rPr/>
      </w:r>
    </w:p>
    <w:tbl>
      <w:tblPr>
        <w:tblW w:w="10161" w:type="dxa"/>
        <w:jc w:val="left"/>
        <w:tblInd w:w="0" w:type="dxa"/>
        <w:tblLayout w:type="fixed"/>
        <w:tblCellMar>
          <w:top w:w="28" w:type="dxa"/>
          <w:left w:w="28" w:type="dxa"/>
          <w:bottom w:w="28" w:type="dxa"/>
          <w:right w:w="28" w:type="dxa"/>
        </w:tblCellMar>
      </w:tblPr>
      <w:tblGrid>
        <w:gridCol w:w="1413"/>
        <w:gridCol w:w="1236"/>
        <w:gridCol w:w="1251"/>
        <w:gridCol w:w="346"/>
        <w:gridCol w:w="840"/>
        <w:gridCol w:w="120"/>
        <w:gridCol w:w="120"/>
        <w:gridCol w:w="120"/>
        <w:gridCol w:w="120"/>
        <w:gridCol w:w="346"/>
        <w:gridCol w:w="840"/>
        <w:gridCol w:w="120"/>
        <w:gridCol w:w="109"/>
        <w:gridCol w:w="109"/>
        <w:gridCol w:w="109"/>
        <w:gridCol w:w="302"/>
        <w:gridCol w:w="884"/>
        <w:gridCol w:w="109"/>
        <w:gridCol w:w="109"/>
        <w:gridCol w:w="109"/>
        <w:gridCol w:w="109"/>
        <w:gridCol w:w="302"/>
        <w:gridCol w:w="884"/>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amounts)</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118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118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187,252,451 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202,672,945 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188,244,787 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203,886,530 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190,594,777 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205,255,033 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191,970,322 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206,433,975 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drawing>
          <wp:inline distT="0" distB="0" distL="0" distR="0">
            <wp:extent cx="1209675" cy="46672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209675" cy="466725"/>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18440"/>
                <wp:effectExtent l="0" t="0" r="0" b="0"/>
                <wp:wrapNone/>
                <wp:docPr id="16" name="Frame9"/>
                <a:graphic xmlns:a="http://schemas.openxmlformats.org/drawingml/2006/main">
                  <a:graphicData uri="http://schemas.microsoft.com/office/word/2010/wordprocessingShape">
                    <wps:wsp>
                      <wps:cNvSpPr txBox="1"/>
                      <wps:spPr>
                        <a:xfrm>
                          <a:off x="0" y="0"/>
                          <a:ext cx="6480175" cy="218440"/>
                        </a:xfrm>
                        <a:prstGeom prst="rect"/>
                        <a:solidFill>
                          <a:srgbClr val="FFFFFF"/>
                        </a:solidFill>
                      </wps:spPr>
                      <wps:txb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6</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CONSOLIDATED INTERIM STATEMENTS OF COMPREHENSIVE INCOME</w:t>
      </w:r>
    </w:p>
    <w:p>
      <w:pPr>
        <w:pStyle w:val="TextBody"/>
        <w:bidi w:val="0"/>
        <w:spacing w:before="200" w:after="283"/>
        <w:jc w:val="both"/>
        <w:rPr/>
      </w:pPr>
      <w:r>
        <w:rPr/>
      </w:r>
    </w:p>
    <w:tbl>
      <w:tblPr>
        <w:tblW w:w="9225" w:type="dxa"/>
        <w:jc w:val="left"/>
        <w:tblInd w:w="0" w:type="dxa"/>
        <w:tblLayout w:type="fixed"/>
        <w:tblCellMar>
          <w:top w:w="28" w:type="dxa"/>
          <w:left w:w="28" w:type="dxa"/>
          <w:bottom w:w="28" w:type="dxa"/>
          <w:right w:w="28" w:type="dxa"/>
        </w:tblCellMar>
      </w:tblPr>
      <w:tblGrid>
        <w:gridCol w:w="1842"/>
        <w:gridCol w:w="1614"/>
        <w:gridCol w:w="1629"/>
        <w:gridCol w:w="211"/>
        <w:gridCol w:w="466"/>
        <w:gridCol w:w="109"/>
        <w:gridCol w:w="109"/>
        <w:gridCol w:w="109"/>
        <w:gridCol w:w="109"/>
        <w:gridCol w:w="211"/>
        <w:gridCol w:w="436"/>
        <w:gridCol w:w="109"/>
        <w:gridCol w:w="109"/>
        <w:gridCol w:w="109"/>
        <w:gridCol w:w="109"/>
        <w:gridCol w:w="211"/>
        <w:gridCol w:w="466"/>
        <w:gridCol w:w="109"/>
        <w:gridCol w:w="109"/>
        <w:gridCol w:w="109"/>
        <w:gridCol w:w="109"/>
        <w:gridCol w:w="211"/>
        <w:gridCol w:w="466"/>
        <w:gridCol w:w="154"/>
      </w:tblGrid>
      <w:tr>
        <w:trPr/>
        <w:tc>
          <w:tcPr>
            <w:tcW w:w="1842"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21"/>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508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translation adjustment</w:t>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effective cash flow hedges, net of tax</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net investment hedges, net of tax</w:t>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54"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67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4"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drawing>
          <wp:inline distT="0" distB="0" distL="0" distR="0">
            <wp:extent cx="1209675" cy="46672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209675" cy="466725"/>
                    </a:xfrm>
                    <a:prstGeom prst="rect">
                      <a:avLst/>
                    </a:prstGeom>
                  </pic:spPr>
                </pic:pic>
              </a:graphicData>
            </a:graphic>
          </wp:inline>
        </w:drawing>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18440"/>
                <wp:effectExtent l="0" t="0" r="0" b="0"/>
                <wp:wrapNone/>
                <wp:docPr id="18" name="Frame10"/>
                <a:graphic xmlns:a="http://schemas.openxmlformats.org/drawingml/2006/main">
                  <a:graphicData uri="http://schemas.microsoft.com/office/word/2010/wordprocessingShape">
                    <wps:wsp>
                      <wps:cNvSpPr txBox="1"/>
                      <wps:spPr>
                        <a:xfrm>
                          <a:off x="0" y="0"/>
                          <a:ext cx="6480175" cy="218440"/>
                        </a:xfrm>
                        <a:prstGeom prst="rect"/>
                        <a:solidFill>
                          <a:srgbClr val="FFFFFF"/>
                        </a:solidFill>
                      </wps:spPr>
                      <wps:txb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7</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CONSOLIDATED INTERIM BALANCE SHEETS </w:t>
      </w:r>
    </w:p>
    <w:tbl>
      <w:tblPr>
        <w:tblW w:w="10205" w:type="dxa"/>
        <w:jc w:val="left"/>
        <w:tblInd w:w="0" w:type="dxa"/>
        <w:tblLayout w:type="fixed"/>
        <w:tblCellMar>
          <w:top w:w="28" w:type="dxa"/>
          <w:left w:w="28" w:type="dxa"/>
          <w:bottom w:w="28" w:type="dxa"/>
          <w:right w:w="28" w:type="dxa"/>
        </w:tblCellMar>
      </w:tblPr>
      <w:tblGrid>
        <w:gridCol w:w="3194"/>
        <w:gridCol w:w="2369"/>
        <w:gridCol w:w="2339"/>
        <w:gridCol w:w="211"/>
        <w:gridCol w:w="616"/>
        <w:gridCol w:w="109"/>
        <w:gridCol w:w="109"/>
        <w:gridCol w:w="109"/>
        <w:gridCol w:w="109"/>
        <w:gridCol w:w="223"/>
        <w:gridCol w:w="652"/>
        <w:gridCol w:w="165"/>
      </w:tblGrid>
      <w:tr>
        <w:trPr/>
        <w:tc>
          <w:tcPr>
            <w:tcW w:w="3194"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790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notes and other receivables – net</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 net</w:t>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82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65"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and long-term receivables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 net</w:t>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165"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93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90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82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6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90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9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FF0FC" w:val="clear"/>
            <w:tcMar>
              <w:top w:w="0" w:type="dxa"/>
              <w:left w:w="0" w:type="dxa"/>
              <w:bottom w:w="0" w:type="dxa"/>
              <w:right w:w="0" w:type="dxa"/>
            </w:tcMar>
            <w:vAlign w:val="center"/>
          </w:tcPr>
          <w:p>
            <w:pPr>
              <w:pStyle w:val="TableContents"/>
              <w:bidi w:val="0"/>
              <w:spacing w:lineRule="auto" w:line="276" w:before="15" w:after="283"/>
              <w:jc w:val="left"/>
              <w:rPr>
                <w:rFonts w:ascii="Times New Roman;serif" w:hAnsi="Times New Roman;serif"/>
                <w:b/>
                <w:color w:val="000000"/>
                <w:sz w:val="20"/>
              </w:rPr>
            </w:pPr>
            <w:r>
              <w:rPr>
                <w:rFonts w:ascii="Times New Roman;serif" w:hAnsi="Times New Roman;serif"/>
                <w:b/>
                <w:color w:val="000000"/>
                <w:sz w:val="20"/>
              </w:rPr>
              <w:t xml:space="preserve">COMMITMENTS AND CONTINGENCIES </w:t>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EQUITY (DEFICIT)</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par value $0.001; 1,000,000,000 and 1,000,000,000 shares authorized, 245,457,621 and 242,549,685 issued and 186,800,685 and 190,556,297 outstanding as of June 30, 2026 and December 31, 2025, respectively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 – in capital</w:t>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deficit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Treasury Stock, at cost; 58,666,936 and 51,993,388 shares as of June 30, 2026 and December 31, 2025, respectively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deficit</w:t>
            </w:r>
          </w:p>
        </w:tc>
        <w:tc>
          <w:tcPr>
            <w:tcW w:w="82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65"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deficit</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16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drawing>
          <wp:inline distT="0" distB="0" distL="0" distR="0">
            <wp:extent cx="1209675" cy="466725"/>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1209675" cy="466725"/>
                    </a:xfrm>
                    <a:prstGeom prst="rect">
                      <a:avLst/>
                    </a:prstGeom>
                  </pic:spPr>
                </pic:pic>
              </a:graphicData>
            </a:graphic>
          </wp:inline>
        </w:drawing>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18440"/>
                <wp:effectExtent l="0" t="0" r="0" b="0"/>
                <wp:wrapNone/>
                <wp:docPr id="20" name="Frame11"/>
                <a:graphic xmlns:a="http://schemas.openxmlformats.org/drawingml/2006/main">
                  <a:graphicData uri="http://schemas.microsoft.com/office/word/2010/wordprocessingShape">
                    <wps:wsp>
                      <wps:cNvSpPr txBox="1"/>
                      <wps:spPr>
                        <a:xfrm>
                          <a:off x="0" y="0"/>
                          <a:ext cx="6480175" cy="218440"/>
                        </a:xfrm>
                        <a:prstGeom prst="rect"/>
                        <a:solidFill>
                          <a:srgbClr val="FFFFFF"/>
                        </a:solidFill>
                      </wps:spPr>
                      <wps:txb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8</w:t>
                      </w:r>
                    </w:p>
                  </w:txbxContent>
                </v:textbox>
                <w10:wrap type="none"/>
              </v:rect>
            </w:pict>
          </mc:Fallback>
        </mc:AlternateContent>
      </w:r>
    </w:p>
    <w:p>
      <w:pPr>
        <w:pStyle w:val="TextBody"/>
        <w:bidi w:val="0"/>
        <w:spacing w:before="200" w:after="283"/>
        <w:jc w:val="both"/>
        <w:rPr/>
      </w:pPr>
      <w:r>
        <w:rPr/>
      </w:r>
    </w:p>
    <w:tbl>
      <w:tblPr>
        <w:tblW w:w="9073" w:type="dxa"/>
        <w:jc w:val="left"/>
        <w:tblInd w:w="0" w:type="dxa"/>
        <w:tblLayout w:type="fixed"/>
        <w:tblCellMar>
          <w:top w:w="28" w:type="dxa"/>
          <w:left w:w="28" w:type="dxa"/>
          <w:bottom w:w="28" w:type="dxa"/>
          <w:right w:w="28" w:type="dxa"/>
        </w:tblCellMar>
      </w:tblPr>
      <w:tblGrid>
        <w:gridCol w:w="2522"/>
        <w:gridCol w:w="2214"/>
        <w:gridCol w:w="2224"/>
        <w:gridCol w:w="221"/>
        <w:gridCol w:w="566"/>
        <w:gridCol w:w="114"/>
        <w:gridCol w:w="114"/>
        <w:gridCol w:w="114"/>
        <w:gridCol w:w="114"/>
        <w:gridCol w:w="221"/>
        <w:gridCol w:w="488"/>
        <w:gridCol w:w="161"/>
      </w:tblGrid>
      <w:tr>
        <w:trPr/>
        <w:tc>
          <w:tcPr>
            <w:tcW w:w="2522"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lineRule="auto" w:line="273" w:before="200" w:after="283"/>
              <w:jc w:val="both"/>
              <w:rPr>
                <w:rFonts w:ascii="Times New Roman;serif" w:hAnsi="Times New Roman;serif"/>
                <w:b/>
                <w:color w:val="000000"/>
                <w:sz w:val="20"/>
              </w:rPr>
            </w:pPr>
            <w:r>
              <w:rPr>
                <w:rFonts w:ascii="Times New Roman;serif" w:hAnsi="Times New Roman;serif"/>
                <w:b/>
                <w:color w:val="000000"/>
                <w:sz w:val="20"/>
              </w:rPr>
              <w:t>CONSOLIDATED INTERIM STATEMENTS OF CASH FLOWS</w:t>
            </w:r>
          </w:p>
        </w:tc>
        <w:tc>
          <w:tcPr>
            <w:tcW w:w="211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issuance costs</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 (gain)</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Pension expense</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derivatives</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notes and other receivables</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90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Expenditures for property, plant and equipment</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Proceeds from cross-currency swap contracts</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90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 net of deferred financing costs</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 on Common Stock repurchase</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payments</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Withholdings on shares issued under stock plan</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debt and revolving facility financing costs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cash equivalents and restricted cash</w:t>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the period</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the period</w:t>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w:t>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activities:</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Expenditures for property, plant and equipment in accounts payable</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drawing>
          <wp:inline distT="0" distB="0" distL="0" distR="0">
            <wp:extent cx="1209675" cy="466725"/>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1209675" cy="466725"/>
                    </a:xfrm>
                    <a:prstGeom prst="rect">
                      <a:avLst/>
                    </a:prstGeom>
                  </pic:spPr>
                </pic:pic>
              </a:graphicData>
            </a:graphic>
          </wp:inline>
        </w:drawing>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18440"/>
                <wp:effectExtent l="0" t="0" r="0" b="0"/>
                <wp:wrapNone/>
                <wp:docPr id="22" name="Frame12"/>
                <a:graphic xmlns:a="http://schemas.openxmlformats.org/drawingml/2006/main">
                  <a:graphicData uri="http://schemas.microsoft.com/office/word/2010/wordprocessingShape">
                    <wps:wsp>
                      <wps:cNvSpPr txBox="1"/>
                      <wps:spPr>
                        <a:xfrm>
                          <a:off x="0" y="0"/>
                          <a:ext cx="6480175" cy="218440"/>
                        </a:xfrm>
                        <a:prstGeom prst="rect"/>
                        <a:solidFill>
                          <a:srgbClr val="FFFFFF"/>
                        </a:solidFill>
                      </wps:spPr>
                      <wps:txb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9</w:t>
                      </w:r>
                    </w:p>
                  </w:txbxContent>
                </v:textbox>
                <w10:wrap type="none"/>
              </v:rect>
            </w:pict>
          </mc:Fallback>
        </mc:AlternateContent>
      </w:r>
    </w:p>
    <w:p>
      <w:pPr>
        <w:pStyle w:val="TextBody"/>
        <w:bidi w:val="0"/>
        <w:spacing w:before="200" w:after="283"/>
        <w:jc w:val="both"/>
        <w:rPr/>
      </w:pPr>
      <w:r>
        <w:rPr/>
      </w:r>
    </w:p>
    <w:p>
      <w:pPr>
        <w:pStyle w:val="TextBody"/>
        <w:bidi w:val="0"/>
        <w:spacing w:lineRule="auto" w:line="192" w:before="0" w:after="0"/>
        <w:jc w:val="both"/>
        <w:rPr/>
      </w:pPr>
      <w:r>
        <w:rPr>
          <w:rFonts w:ascii="Times New Roman;serif" w:hAnsi="Times New Roman;serif"/>
          <w:b/>
          <w:color w:val="000000"/>
          <w:sz w:val="20"/>
        </w:rPr>
        <w:t>Reconciliation of Net Income to Adjusted EBIT</w:t>
      </w:r>
      <w:r>
        <w:rPr>
          <w:rFonts w:ascii="Times New Roman;serif" w:hAnsi="Times New Roman;serif"/>
          <w:b/>
          <w:i/>
          <w:color w:val="000000"/>
          <w:sz w:val="13"/>
        </w:rPr>
        <w:t>(1)</w:t>
      </w:r>
      <w:r>
        <w:rPr>
          <w:color w:val="000000"/>
        </w:rPr>
        <w:t xml:space="preserve"> </w:t>
      </w:r>
      <w:r>
        <w:rPr>
          <w:rFonts w:ascii="Times New Roman;serif" w:hAnsi="Times New Roman;serif"/>
          <w:b/>
          <w:color w:val="000000"/>
          <w:sz w:val="20"/>
        </w:rPr>
        <w:t>and Adjusted EBITDA</w:t>
      </w:r>
      <w:r>
        <w:rPr>
          <w:rFonts w:ascii="Times New Roman;serif" w:hAnsi="Times New Roman;serif"/>
          <w:b/>
          <w:i/>
          <w:color w:val="000000"/>
          <w:sz w:val="13"/>
        </w:rPr>
        <w:t>(1)</w:t>
      </w:r>
    </w:p>
    <w:tbl>
      <w:tblPr>
        <w:tblW w:w="9717" w:type="dxa"/>
        <w:jc w:val="left"/>
        <w:tblInd w:w="0" w:type="dxa"/>
        <w:tblLayout w:type="fixed"/>
        <w:tblCellMar>
          <w:top w:w="28" w:type="dxa"/>
          <w:left w:w="28" w:type="dxa"/>
          <w:bottom w:w="28" w:type="dxa"/>
          <w:right w:w="28" w:type="dxa"/>
        </w:tblCellMar>
      </w:tblPr>
      <w:tblGrid>
        <w:gridCol w:w="1765"/>
        <w:gridCol w:w="1548"/>
        <w:gridCol w:w="1561"/>
        <w:gridCol w:w="109"/>
        <w:gridCol w:w="109"/>
        <w:gridCol w:w="109"/>
        <w:gridCol w:w="325"/>
        <w:gridCol w:w="186"/>
        <w:gridCol w:w="301"/>
        <w:gridCol w:w="116"/>
        <w:gridCol w:w="116"/>
        <w:gridCol w:w="116"/>
        <w:gridCol w:w="324"/>
        <w:gridCol w:w="187"/>
        <w:gridCol w:w="301"/>
        <w:gridCol w:w="109"/>
        <w:gridCol w:w="109"/>
        <w:gridCol w:w="109"/>
        <w:gridCol w:w="289"/>
        <w:gridCol w:w="222"/>
        <w:gridCol w:w="409"/>
        <w:gridCol w:w="109"/>
        <w:gridCol w:w="109"/>
        <w:gridCol w:w="109"/>
        <w:gridCol w:w="292"/>
        <w:gridCol w:w="219"/>
        <w:gridCol w:w="459"/>
      </w:tblGrid>
      <w:tr>
        <w:trPr/>
        <w:tc>
          <w:tcPr>
            <w:tcW w:w="1765"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net of interest income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Repositioning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on debt, net of related hedging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Factoring and notes receivables discount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non-operating income</w:t>
            </w:r>
            <w:r>
              <w:rPr>
                <w:color w:val="000000"/>
              </w:rPr>
              <w:t xml:space="preserv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Debt refinancing and redemption costs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divestiture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 compensation expense </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1,791</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 margin </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margin </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 xml:space="preserve">(1)We evaluate performance on the basis of Adjusted EBIT and Adjusted EBITDA. We define “EBIT” as our net income calculated in accordance with U.S. GAAP, plus the sum of (i) interest expense net of interest income and (ii) tax expense. We define Adjusted EBIT as EBIT, plus the sum of (i) repositioning costs, (ii) foreign exchange (gain) loss on debt net of related hedging gain/loss, (iii) discounting costs on factoring, (iv) gain on sale of equity investment, (v) acquisition and divestiture expenses, (vi) other non-operating income, and (vii) debt refinancing and redemption costs, if any. We define Adjusted EBITDA as EBIT, plus the sum of (i) repositioning costs, (ii) foreign exchange (gain) loss on debt net of related hedging gain/loss, (iii) discounting costs on factoring, (iv) gain on sale of equity investment, (v) acquisition and divestiture expenses, (vi) other non-operating income, and (vii) debt refinancing and redemption costs, if any, plus (viii) depreciation and (ix) stock compensation expense. We believe that Adjusted EBIT and Adjusted EBITDA are important indicators of operating performance and provide useful information for investors because: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18"/>
        </w:rPr>
        <w:t>Adjusted EBIT and Adjusted EBITDA exclude the effects of income taxes, as well as the effects of financing activities by eliminating the effects of interest;</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18"/>
        </w:rPr>
        <w:t>certain adjustment items, while periodically affecting our results, may vary significantly from period to period and have disproportionate effect in a given period, which affects the comparability of our results; and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18"/>
        </w:rPr>
        <w:t>Adjusted EBITDA also excludes the effects of investing activities by eliminating the effects of depreciation.</w:t>
      </w:r>
    </w:p>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In addition, our management may use Adjusted EBIT and Adjusted EBITDA in setting performance incentive targets to align performance measurement with operational performance.</w:t>
      </w:r>
    </w:p>
    <w:p>
      <w:pPr>
        <w:pStyle w:val="TextBody"/>
        <w:bidi w:val="0"/>
        <w:spacing w:lineRule="auto" w:line="288" w:before="10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 xml:space="preserve">(2)    Reflects interest income of $0 million and $2 million for the three months ended June 30, 2026 and 2025, respectively, and $0 million and $2 million for the six months ended June 30, 2026 and 2025, respectively. </w:t>
      </w:r>
    </w:p>
    <w:p>
      <w:pPr>
        <w:pStyle w:val="TextBody"/>
        <w:bidi w:val="0"/>
        <w:spacing w:lineRule="auto" w:line="288" w:before="10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 xml:space="preserve">(3)     Reflects the non-service component of net periodic pension income and, for the six months ended June 30, 2026, also includes $5 million related to the resolution of certain environmental liabilities not directly related to the Company's operations. </w:t>
      </w:r>
    </w:p>
    <w:p>
      <w:pPr>
        <w:pStyle w:val="TextBody"/>
        <w:bidi w:val="0"/>
        <w:spacing w:lineRule="auto" w:line="288" w:before="10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(4) Reflects third-party costs directly attributable to the refinancing of our credit facilities and any amendments thereto.</w:t>
      </w:r>
    </w:p>
    <w:p>
      <w:pPr>
        <w:pStyle w:val="TextBody"/>
        <w:bidi w:val="0"/>
        <w:spacing w:lineRule="auto" w:line="288" w:before="10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 xml:space="preserve">(5)    Stock compensation expense includes only non-cash expenses. </w:t>
      </w:r>
    </w:p>
    <w:p>
      <w:pPr>
        <w:pStyle w:val="TextBody"/>
        <w:bidi w:val="0"/>
        <w:spacing w:lineRule="auto" w:line="288" w:before="10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 xml:space="preserve">(6)    Adjusted EBIT margin represents Adjusted EBIT as a percentage of net sales. </w:t>
      </w:r>
    </w:p>
    <w:p>
      <w:pPr>
        <w:pStyle w:val="TextBody"/>
        <w:bidi w:val="0"/>
        <w:spacing w:lineRule="auto" w:line="288" w:before="10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(7)    Adjusted EBITDA margin represents Adjusted EBITDA as a percentage of net sales.</w:t>
      </w:r>
    </w:p>
    <w:p>
      <w:pPr>
        <w:pStyle w:val="TextBody"/>
        <w:bidi w:val="0"/>
        <w:spacing w:before="200" w:after="283"/>
        <w:jc w:val="both"/>
        <w:rPr/>
      </w:pPr>
      <w:r>
        <w:rPr/>
        <w:drawing>
          <wp:inline distT="0" distB="0" distL="0" distR="0">
            <wp:extent cx="1209675" cy="466725"/>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1209675" cy="466725"/>
                    </a:xfrm>
                    <a:prstGeom prst="rect">
                      <a:avLst/>
                    </a:prstGeom>
                  </pic:spPr>
                </pic:pic>
              </a:graphicData>
            </a:graphic>
          </wp:inline>
        </w:drawing>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605" cy="14605"/>
                <wp:effectExtent l="0" t="0" r="0" b="0"/>
                <wp:wrapNone/>
                <wp:docPr id="24" name="Frame13"/>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10</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ind w:left="0" w:right="0" w:hanging="490"/>
        <w:jc w:val="both"/>
        <w:rPr/>
      </w:pPr>
      <w:r>
        <w:rPr>
          <w:rFonts w:ascii="Times New Roman;serif" w:hAnsi="Times New Roman;serif"/>
          <w:b/>
          <w:color w:val="000000"/>
          <w:sz w:val="20"/>
        </w:rPr>
        <w:t>Reconciliation of Constant Currency Sales % Change</w:t>
      </w:r>
      <w:r>
        <w:rPr>
          <w:rFonts w:ascii="Times New Roman;serif" w:hAnsi="Times New Roman;serif"/>
          <w:b/>
          <w:color w:val="000000"/>
          <w:sz w:val="13"/>
        </w:rPr>
        <w:t>(1)</w:t>
      </w:r>
    </w:p>
    <w:tbl>
      <w:tblPr>
        <w:tblW w:w="6894" w:type="dxa"/>
        <w:jc w:val="left"/>
        <w:tblInd w:w="0" w:type="dxa"/>
        <w:tblLayout w:type="fixed"/>
        <w:tblCellMar>
          <w:top w:w="28" w:type="dxa"/>
          <w:left w:w="28" w:type="dxa"/>
          <w:bottom w:w="28" w:type="dxa"/>
          <w:right w:w="28" w:type="dxa"/>
        </w:tblCellMar>
      </w:tblPr>
      <w:tblGrid>
        <w:gridCol w:w="1057"/>
        <w:gridCol w:w="929"/>
        <w:gridCol w:w="938"/>
        <w:gridCol w:w="188"/>
        <w:gridCol w:w="173"/>
        <w:gridCol w:w="333"/>
        <w:gridCol w:w="134"/>
        <w:gridCol w:w="134"/>
        <w:gridCol w:w="134"/>
        <w:gridCol w:w="226"/>
        <w:gridCol w:w="209"/>
        <w:gridCol w:w="333"/>
        <w:gridCol w:w="109"/>
        <w:gridCol w:w="109"/>
        <w:gridCol w:w="109"/>
        <w:gridCol w:w="180"/>
        <w:gridCol w:w="181"/>
        <w:gridCol w:w="292"/>
        <w:gridCol w:w="117"/>
        <w:gridCol w:w="117"/>
        <w:gridCol w:w="117"/>
        <w:gridCol w:w="216"/>
        <w:gridCol w:w="219"/>
        <w:gridCol w:w="340"/>
      </w:tblGrid>
      <w:tr>
        <w:trPr/>
        <w:tc>
          <w:tcPr>
            <w:tcW w:w="105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Garrett</w:t>
            </w:r>
          </w:p>
        </w:tc>
        <w:tc>
          <w:tcPr>
            <w:tcW w:w="69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sales % change</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Foreign currency translation </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Constant currency sales % change</w:t>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Gasoline</w:t>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sales % change</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Foreign currency translation</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Constant currency sales % change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Diesel</w:t>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sales % change</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Foreign currency translation</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Constant currency sales % change</w:t>
            </w:r>
          </w:p>
        </w:tc>
        <w:tc>
          <w:tcPr>
            <w:tcW w:w="3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Commercial vehicle / Industrial</w:t>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sales % change</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Foreign currency translation</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Constant currency sales % change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Aftermarket</w:t>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sales % change</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Foreign currency translation</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Constant currency sales % change</w:t>
            </w:r>
          </w:p>
        </w:tc>
        <w:tc>
          <w:tcPr>
            <w:tcW w:w="3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Other Sales</w:t>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sales % change</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Foreign currency translation</w:t>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Constant currency sales % change</w:t>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6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    We define constant currency sales growth as the year-over-year change in reported sales relative to the comparable period, excluding the impact on sales from foreign currency translation. We believe this measure is useful to investors and management in understanding our ongoing operations and in analysis of ongoing operating trends.</w:t>
      </w:r>
    </w:p>
    <w:p>
      <w:pPr>
        <w:pStyle w:val="TextBody"/>
        <w:bidi w:val="0"/>
        <w:spacing w:before="200" w:after="283"/>
        <w:jc w:val="both"/>
        <w:rPr/>
      </w:pPr>
      <w:r>
        <w:rPr/>
      </w:r>
    </w:p>
    <w:p>
      <w:pPr>
        <w:pStyle w:val="TextBody"/>
        <w:bidi w:val="0"/>
        <w:spacing w:before="200" w:after="283"/>
        <w:jc w:val="both"/>
        <w:rPr/>
      </w:pPr>
      <w:r>
        <w:rPr/>
        <w:drawing>
          <wp:inline distT="0" distB="0" distL="0" distR="0">
            <wp:extent cx="1209675" cy="466725"/>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1209675" cy="466725"/>
                    </a:xfrm>
                    <a:prstGeom prst="rect">
                      <a:avLst/>
                    </a:prstGeom>
                  </pic:spPr>
                </pic:pic>
              </a:graphicData>
            </a:graphic>
          </wp:inline>
        </w:drawing>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18440"/>
                <wp:effectExtent l="0" t="0" r="0" b="0"/>
                <wp:wrapNone/>
                <wp:docPr id="26" name="Frame14"/>
                <a:graphic xmlns:a="http://schemas.openxmlformats.org/drawingml/2006/main">
                  <a:graphicData uri="http://schemas.microsoft.com/office/word/2010/wordprocessingShape">
                    <wps:wsp>
                      <wps:cNvSpPr txBox="1"/>
                      <wps:spPr>
                        <a:xfrm>
                          <a:off x="0" y="0"/>
                          <a:ext cx="6480175" cy="218440"/>
                        </a:xfrm>
                        <a:prstGeom prst="rect"/>
                        <a:solidFill>
                          <a:srgbClr val="FFFFFF"/>
                        </a:solidFill>
                      </wps:spPr>
                      <wps:txb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11</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both"/>
        <w:rPr/>
      </w:pPr>
      <w:r>
        <w:rPr>
          <w:rFonts w:ascii="Times New Roman;serif" w:hAnsi="Times New Roman;serif"/>
          <w:b/>
          <w:color w:val="000000"/>
          <w:sz w:val="20"/>
        </w:rPr>
        <w:t>Reconciliation of Cash Flow from Operations to Adjusted Free Cash Flow</w:t>
      </w:r>
      <w:r>
        <w:rPr>
          <w:rFonts w:ascii="Times New Roman;serif" w:hAnsi="Times New Roman;serif"/>
          <w:b/>
          <w:color w:val="000000"/>
          <w:sz w:val="13"/>
        </w:rPr>
        <w:t>(1)</w:t>
      </w:r>
    </w:p>
    <w:tbl>
      <w:tblPr>
        <w:tblW w:w="10205" w:type="dxa"/>
        <w:jc w:val="left"/>
        <w:tblInd w:w="0" w:type="dxa"/>
        <w:tblLayout w:type="fixed"/>
        <w:tblCellMar>
          <w:top w:w="28" w:type="dxa"/>
          <w:left w:w="28" w:type="dxa"/>
          <w:bottom w:w="28" w:type="dxa"/>
          <w:right w:w="28" w:type="dxa"/>
        </w:tblCellMar>
      </w:tblPr>
      <w:tblGrid>
        <w:gridCol w:w="2235"/>
        <w:gridCol w:w="1896"/>
        <w:gridCol w:w="1903"/>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5"/>
      </w:tblGrid>
      <w:tr>
        <w:trPr/>
        <w:tc>
          <w:tcPr>
            <w:tcW w:w="2235"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Expenditures for property, plant and equipment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less expenditures for property, plant and equipment</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divestiture expenses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for repositioning</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cross currency swap contracts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for debt refinancing costs</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Factoring and P-notes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free cash flow </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Adjusted free cash flow reflects an additional way of viewing liquidity that management believes is useful to investors in analyzing the Company’s ability to service and repay its debt. The Company defines adjusted free cash flow as cash flow provided from operating activities less capital expenditures and additionally adjusted for other discretionary items including cash flow impacts for capital structure transformation expenses, acquisition and divestiture expenses, debt refinancing costs, and factoring and guaranteed bank notes activity. </w:t>
      </w:r>
    </w:p>
    <w:p>
      <w:pPr>
        <w:pStyle w:val="TextBody"/>
        <w:bidi w:val="0"/>
        <w:spacing w:before="160" w:after="240"/>
        <w:ind w:left="0" w:right="0" w:hanging="450"/>
        <w:jc w:val="both"/>
        <w:rPr/>
      </w:pPr>
      <w:r>
        <w:rPr/>
      </w:r>
    </w:p>
    <w:p>
      <w:pPr>
        <w:pStyle w:val="TextBody"/>
        <w:bidi w:val="0"/>
        <w:spacing w:before="200" w:after="283"/>
        <w:jc w:val="both"/>
        <w:rPr/>
      </w:pPr>
      <w:r>
        <w:rPr/>
        <w:drawing>
          <wp:inline distT="0" distB="0" distL="0" distR="0">
            <wp:extent cx="1209675" cy="466725"/>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1209675" cy="466725"/>
                    </a:xfrm>
                    <a:prstGeom prst="rect">
                      <a:avLst/>
                    </a:prstGeom>
                  </pic:spPr>
                </pic:pic>
              </a:graphicData>
            </a:graphic>
          </wp:inline>
        </w:drawing>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18440"/>
                <wp:effectExtent l="0" t="0" r="0" b="0"/>
                <wp:wrapNone/>
                <wp:docPr id="28" name="Frame15"/>
                <a:graphic xmlns:a="http://schemas.openxmlformats.org/drawingml/2006/main">
                  <a:graphicData uri="http://schemas.microsoft.com/office/word/2010/wordprocessingShape">
                    <wps:wsp>
                      <wps:cNvSpPr txBox="1"/>
                      <wps:spPr>
                        <a:xfrm>
                          <a:off x="0" y="0"/>
                          <a:ext cx="6480175" cy="218440"/>
                        </a:xfrm>
                        <a:prstGeom prst="rect"/>
                        <a:solidFill>
                          <a:srgbClr val="FFFFFF"/>
                        </a:solidFill>
                      </wps:spPr>
                      <wps:txb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12</w:t>
                      </w:r>
                    </w:p>
                  </w:txbxContent>
                </v:textbox>
                <w10:wrap type="none"/>
              </v:rect>
            </w:pict>
          </mc:Fallback>
        </mc:AlternateConten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Full Year 2026 Outlook Reconciliation of Reported Net Sales to Net Sales Growth at Constant Currency </w:t>
      </w:r>
    </w:p>
    <w:tbl>
      <w:tblPr>
        <w:tblW w:w="7581" w:type="dxa"/>
        <w:jc w:val="left"/>
        <w:tblInd w:w="0" w:type="dxa"/>
        <w:tblLayout w:type="fixed"/>
        <w:tblCellMar>
          <w:top w:w="28" w:type="dxa"/>
          <w:left w:w="28" w:type="dxa"/>
          <w:bottom w:w="28" w:type="dxa"/>
          <w:right w:w="28" w:type="dxa"/>
        </w:tblCellMar>
      </w:tblPr>
      <w:tblGrid>
        <w:gridCol w:w="1935"/>
        <w:gridCol w:w="1699"/>
        <w:gridCol w:w="1705"/>
        <w:gridCol w:w="109"/>
        <w:gridCol w:w="109"/>
        <w:gridCol w:w="109"/>
        <w:gridCol w:w="157"/>
        <w:gridCol w:w="157"/>
        <w:gridCol w:w="435"/>
        <w:gridCol w:w="109"/>
        <w:gridCol w:w="109"/>
        <w:gridCol w:w="109"/>
        <w:gridCol w:w="162"/>
        <w:gridCol w:w="162"/>
        <w:gridCol w:w="515"/>
      </w:tblGrid>
      <w:tr>
        <w:trPr/>
        <w:tc>
          <w:tcPr>
            <w:tcW w:w="193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Full Year</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 End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 End</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Reported net sales (%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Full year 2026 Outlook Net sales growth at constant currency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Full Year 2026 Outlook Reconciliation of Net Income to Adjusted EBIT and Adjusted EBITDA</w:t>
      </w:r>
    </w:p>
    <w:tbl>
      <w:tblPr>
        <w:tblW w:w="6095" w:type="dxa"/>
        <w:jc w:val="left"/>
        <w:tblInd w:w="0" w:type="dxa"/>
        <w:tblLayout w:type="fixed"/>
        <w:tblCellMar>
          <w:top w:w="28" w:type="dxa"/>
          <w:left w:w="28" w:type="dxa"/>
          <w:bottom w:w="28" w:type="dxa"/>
          <w:right w:w="28" w:type="dxa"/>
        </w:tblCellMar>
      </w:tblPr>
      <w:tblGrid>
        <w:gridCol w:w="1371"/>
        <w:gridCol w:w="1206"/>
        <w:gridCol w:w="1217"/>
        <w:gridCol w:w="109"/>
        <w:gridCol w:w="109"/>
        <w:gridCol w:w="109"/>
        <w:gridCol w:w="211"/>
        <w:gridCol w:w="481"/>
        <w:gridCol w:w="109"/>
        <w:gridCol w:w="109"/>
        <w:gridCol w:w="109"/>
        <w:gridCol w:w="109"/>
        <w:gridCol w:w="211"/>
        <w:gridCol w:w="481"/>
        <w:gridCol w:w="154"/>
      </w:tblGrid>
      <w:tr>
        <w:trPr/>
        <w:tc>
          <w:tcPr>
            <w:tcW w:w="137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Full Year</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 End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 End</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Factoring and notes receivables discount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refinancing and redemption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Repositioning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Full Year 2026 Outlook Adjusted EBIT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Full Year 2026 Outlook 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 xml:space="preserve">*    Excludes the effects of marked-to-market fluctuations from our interest rate swap contracts </w: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Full Year 2026 Outlook Reconciliation of Net Cash Provided by Operating Activities to Adjusted Free Cash Flow</w:t>
      </w:r>
    </w:p>
    <w:tbl>
      <w:tblPr>
        <w:tblW w:w="10026" w:type="dxa"/>
        <w:jc w:val="left"/>
        <w:tblInd w:w="0" w:type="dxa"/>
        <w:tblLayout w:type="fixed"/>
        <w:tblCellMar>
          <w:top w:w="28" w:type="dxa"/>
          <w:left w:w="28" w:type="dxa"/>
          <w:bottom w:w="28" w:type="dxa"/>
          <w:right w:w="28" w:type="dxa"/>
        </w:tblCellMar>
      </w:tblPr>
      <w:tblGrid>
        <w:gridCol w:w="2793"/>
        <w:gridCol w:w="2458"/>
        <w:gridCol w:w="2474"/>
        <w:gridCol w:w="109"/>
        <w:gridCol w:w="109"/>
        <w:gridCol w:w="109"/>
        <w:gridCol w:w="211"/>
        <w:gridCol w:w="481"/>
        <w:gridCol w:w="109"/>
        <w:gridCol w:w="109"/>
        <w:gridCol w:w="109"/>
        <w:gridCol w:w="109"/>
        <w:gridCol w:w="211"/>
        <w:gridCol w:w="481"/>
        <w:gridCol w:w="154"/>
      </w:tblGrid>
      <w:tr>
        <w:trPr/>
        <w:tc>
          <w:tcPr>
            <w:tcW w:w="279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Full Year</w:t>
            </w:r>
          </w:p>
        </w:tc>
      </w:tr>
      <w:tr>
        <w:trPr/>
        <w:tc>
          <w:tcPr>
            <w:tcW w:w="7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 End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 End</w:t>
            </w:r>
          </w:p>
        </w:tc>
      </w:tr>
      <w:tr>
        <w:trPr/>
        <w:tc>
          <w:tcPr>
            <w:tcW w:w="7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Expenditures for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less expenditures for property, plant and equipment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for repositioning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cross 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for debt refinancing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Full Year 2026 Outlook Adjusted free cash flow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18440"/>
                <wp:effectExtent l="0" t="0" r="0" b="0"/>
                <wp:wrapNone/>
                <wp:docPr id="29" name="Frame16"/>
                <a:graphic xmlns:a="http://schemas.openxmlformats.org/drawingml/2006/main">
                  <a:graphicData uri="http://schemas.microsoft.com/office/word/2010/wordprocessingShape">
                    <wps:wsp>
                      <wps:cNvSpPr txBox="1"/>
                      <wps:spPr>
                        <a:xfrm>
                          <a:off x="0" y="0"/>
                          <a:ext cx="6480175" cy="218440"/>
                        </a:xfrm>
                        <a:prstGeom prst="rect"/>
                        <a:solidFill>
                          <a:srgbClr val="FFFFFF"/>
                        </a:solidFill>
                      </wps:spPr>
                      <wps:txb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erif" w:hAnsi="Times New Roman;serif"/>
                          <w:b/>
                          <w:color w:val="000000"/>
                          <w:sz w:val="16"/>
                        </w:rPr>
                      </w:pPr>
                      <w:r>
                        <w:rPr>
                          <w:rFonts w:ascii="Times New Roman;serif" w:hAnsi="Times New Roman;serif"/>
                          <w:b/>
                          <w:color w:val="000000"/>
                          <w:sz w:val="16"/>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image" Target="media/image1.png"/><Relationship Id="rId14" Type="http://schemas.openxmlformats.org/officeDocument/2006/relationships/image" Target="media/image1.pn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4977</Words>
  <Characters>25969</Characters>
  <CharactersWithSpaces>30271</CharactersWithSpaces>
  <Paragraphs>1110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