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518160</wp:posOffset>
            </wp:positionH>
            <wp:positionV relativeFrom="page">
              <wp:posOffset>690880</wp:posOffset>
            </wp:positionV>
            <wp:extent cx="68859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5940" cy="6985"/>
                    </a:xfrm>
                    <a:prstGeom prst="rect">
                      <a:avLst/>
                    </a:prstGeom>
                    <a:noFill/>
                  </pic:spPr>
                </pic:pic>
              </a:graphicData>
            </a:graphic>
          </wp:anchor>
        </w:drawing>
        <w:drawing>
          <wp:anchor simplePos="0" relativeHeight="251657728" behindDoc="1" locked="0" layoutInCell="0" allowOverlap="1">
            <wp:simplePos x="0" y="0"/>
            <wp:positionH relativeFrom="page">
              <wp:posOffset>518160</wp:posOffset>
            </wp:positionH>
            <wp:positionV relativeFrom="page">
              <wp:posOffset>711200</wp:posOffset>
            </wp:positionV>
            <wp:extent cx="68859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5940" cy="6985"/>
                    </a:xfrm>
                    <a:prstGeom prst="rect">
                      <a:avLst/>
                    </a:prstGeom>
                    <a:noFill/>
                  </pic:spPr>
                </pic:pic>
              </a:graphicData>
            </a:graphic>
          </wp:anchor>
        </w:drawing>
        <w:t>UNITED STATES</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3" w:lineRule="exact"/>
        <w:rPr>
          <w:sz w:val="24"/>
          <w:szCs w:val="24"/>
          <w:color w:val="auto"/>
        </w:rPr>
      </w:pPr>
    </w:p>
    <w:p>
      <w:pPr>
        <w:ind w:left="820" w:hanging="494"/>
        <w:spacing w:after="0"/>
        <w:tabs>
          <w:tab w:leader="none" w:pos="8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14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1" w:lineRule="exact"/>
        <w:rPr>
          <w:sz w:val="24"/>
          <w:szCs w:val="24"/>
          <w:color w:val="auto"/>
        </w:rPr>
      </w:pPr>
    </w:p>
    <w:p>
      <w:pPr>
        <w:ind w:left="820" w:hanging="494"/>
        <w:spacing w:after="0"/>
        <w:tabs>
          <w:tab w:leader="none" w:pos="82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9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color w:val="222222"/>
        </w:rPr>
        <w:t>001-38636</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Garrett Motion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ectPr>
          <w:pgSz w:w="11900" w:h="16838" w:orient="portrait"/>
          <w:cols w:equalWidth="0" w:num="1">
            <w:col w:w="11360"/>
          </w:cols>
          <w:pgMar w:left="300" w:top="1188" w:right="239" w:bottom="1440" w:gutter="0" w:footer="0" w:header="0"/>
        </w:sectPr>
      </w:pPr>
    </w:p>
    <w:p>
      <w:pPr>
        <w:spacing w:after="0" w:line="185"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82-4873189</w:t>
      </w:r>
    </w:p>
    <w:p>
      <w:pPr>
        <w:spacing w:after="0" w:line="25" w:lineRule="exact"/>
        <w:rPr>
          <w:sz w:val="24"/>
          <w:szCs w:val="24"/>
          <w:color w:val="auto"/>
        </w:rPr>
      </w:pPr>
    </w:p>
    <w:p>
      <w:pPr>
        <w:sectPr>
          <w:pgSz w:w="11900" w:h="16838" w:orient="portrait"/>
          <w:cols w:equalWidth="0" w:num="2">
            <w:col w:w="7640" w:space="720"/>
            <w:col w:w="3000"/>
          </w:cols>
          <w:pgMar w:left="300" w:top="1188" w:right="239" w:bottom="1440" w:gutter="0" w:footer="0" w:header="0"/>
          <w:type w:val="continuous"/>
        </w:sectPr>
      </w:pPr>
    </w:p>
    <w:p>
      <w:pPr>
        <w:spacing w:after="0" w:line="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9"/>
          <w:szCs w:val="9"/>
          <w:color w:val="auto"/>
        </w:rPr>
        <w:t>(State or other jurisdiction of</w:t>
      </w:r>
    </w:p>
    <w:p>
      <w:pPr>
        <w:spacing w:after="0" w:line="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9"/>
          <w:szCs w:val="9"/>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color w:val="auto"/>
        </w:rPr>
        <w:t>(I.R.S. Employer</w:t>
      </w:r>
    </w:p>
    <w:p>
      <w:pPr>
        <w:spacing w:after="0"/>
        <w:rPr>
          <w:sz w:val="20"/>
          <w:szCs w:val="20"/>
          <w:color w:val="auto"/>
        </w:rPr>
      </w:pPr>
      <w:r>
        <w:rPr>
          <w:rFonts w:ascii="Times New Roman" w:cs="Times New Roman" w:eastAsia="Times New Roman" w:hAnsi="Times New Roman"/>
          <w:sz w:val="9"/>
          <w:szCs w:val="9"/>
          <w:color w:val="auto"/>
        </w:rPr>
        <w:t>Identification No.)</w:t>
      </w:r>
    </w:p>
    <w:p>
      <w:pPr>
        <w:spacing w:after="0" w:line="160" w:lineRule="exact"/>
        <w:rPr>
          <w:sz w:val="24"/>
          <w:szCs w:val="24"/>
          <w:color w:val="auto"/>
        </w:rPr>
      </w:pPr>
    </w:p>
    <w:p>
      <w:pPr>
        <w:sectPr>
          <w:pgSz w:w="11900" w:h="16838" w:orient="portrait"/>
          <w:cols w:equalWidth="0" w:num="2">
            <w:col w:w="7600" w:space="720"/>
            <w:col w:w="3040"/>
          </w:cols>
          <w:pgMar w:left="300" w:top="1188" w:right="2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47548 Halyard Drive, Plymouth, MI 48170</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and</w:t>
      </w:r>
    </w:p>
    <w:p>
      <w:pPr>
        <w:spacing w:after="0" w:line="3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La Pièce 16, 1180 Rolle, Switzerland</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200" w:lineRule="exact"/>
        <w:rPr>
          <w:sz w:val="24"/>
          <w:szCs w:val="24"/>
          <w:color w:val="auto"/>
        </w:rPr>
      </w:pPr>
    </w:p>
    <w:p>
      <w:pPr>
        <w:spacing w:after="0" w:line="2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+1 734 392 5500</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and</w:t>
      </w:r>
    </w:p>
    <w:p>
      <w:pPr>
        <w:spacing w:after="0" w:line="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+41 21 695 30 00</w:t>
      </w:r>
    </w:p>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ectPr>
          <w:pgSz w:w="11900" w:h="16838" w:orient="portrait"/>
          <w:cols w:equalWidth="0" w:num="1">
            <w:col w:w="11360"/>
          </w:cols>
          <w:pgMar w:left="300" w:top="1188" w:right="239" w:bottom="144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3" w:lineRule="exact"/>
        <w:rPr>
          <w:sz w:val="24"/>
          <w:szCs w:val="24"/>
          <w:color w:val="auto"/>
        </w:rPr>
      </w:pPr>
    </w:p>
    <w:tbl>
      <w:tblPr>
        <w:tblLayout w:type="fixed"/>
        <w:tblInd w:w="330" w:type="dxa"/>
        <w:tblCellMar>
          <w:top w:w="0" w:type="dxa"/>
          <w:left w:w="0" w:type="dxa"/>
          <w:bottom w:w="0" w:type="dxa"/>
          <w:right w:w="0" w:type="dxa"/>
        </w:tblCellMar>
      </w:tblPr>
      <w:tr>
        <w:trPr>
          <w:trHeight w:val="179"/>
        </w:trPr>
        <w:tc>
          <w:tcPr>
            <w:tcW w:w="4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200" w:type="dxa"/>
            <w:vAlign w:val="bottom"/>
            <w:tcBorders>
              <w:top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4"/>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87"/>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GTX</w:t>
            </w:r>
          </w:p>
        </w:tc>
        <w:tc>
          <w:tcPr>
            <w:tcW w:w="42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2" w:lineRule="exact"/>
        <w:rPr>
          <w:sz w:val="24"/>
          <w:szCs w:val="24"/>
          <w:color w:val="auto"/>
        </w:rPr>
      </w:pPr>
    </w:p>
    <w:p>
      <w:pPr>
        <w:ind w:right="24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56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380" w:firstLine="319"/>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32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Accelerated filer</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w w:val="96"/>
              </w:rPr>
              <w:t>Smaller reporting company</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spacing w:after="0"/>
              <w:rPr>
                <w:sz w:val="24"/>
                <w:szCs w:val="24"/>
                <w:color w:val="auto"/>
              </w:rPr>
            </w:pPr>
          </w:p>
        </w:tc>
      </w:tr>
    </w:tbl>
    <w:p>
      <w:pPr>
        <w:spacing w:after="0" w:line="208" w:lineRule="exact"/>
        <w:rPr>
          <w:sz w:val="24"/>
          <w:szCs w:val="24"/>
          <w:color w:val="auto"/>
        </w:rPr>
      </w:pPr>
    </w:p>
    <w:p>
      <w:pPr>
        <w:ind w:right="80" w:firstLine="319"/>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3" w:lineRule="exact"/>
        <w:rPr>
          <w:sz w:val="24"/>
          <w:szCs w:val="24"/>
          <w:color w:val="auto"/>
        </w:rPr>
      </w:pPr>
    </w:p>
    <w:p>
      <w:pPr>
        <w:ind w:left="3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right="22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April 25, 2025, the registrant had 202,619,947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656590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135255</wp:posOffset>
            </wp:positionV>
            <wp:extent cx="70142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4210" cy="698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155575</wp:posOffset>
            </wp:positionV>
            <wp:extent cx="70142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4210" cy="6985"/>
                    </a:xfrm>
                    <a:prstGeom prst="rect">
                      <a:avLst/>
                    </a:prstGeom>
                    <a:noFill/>
                  </pic:spPr>
                </pic:pic>
              </a:graphicData>
            </a:graphic>
          </wp:anchor>
        </w:drawing>
      </w:r>
    </w:p>
    <w:p>
      <w:pPr>
        <w:sectPr>
          <w:pgSz w:w="11900" w:h="16838" w:orient="portrait"/>
          <w:cols w:equalWidth="0" w:num="1">
            <w:col w:w="11360"/>
          </w:cols>
          <w:pgMar w:left="300" w:top="11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53"/>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1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PART I.</w:t>
            </w:r>
          </w:p>
        </w:tc>
        <w:tc>
          <w:tcPr>
            <w:tcW w:w="178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4"/>
                <w:szCs w:val="14"/>
                <w:color w:val="0000FF"/>
                <w:w w:val="99"/>
              </w:rPr>
              <w:t>FINANCIAL INFORMATION</w:t>
            </w:r>
          </w:p>
        </w:tc>
        <w:tc>
          <w:tcPr>
            <w:tcW w:w="7740" w:type="dxa"/>
            <w:vAlign w:val="bottom"/>
            <w:gridSpan w:val="14"/>
          </w:tcPr>
          <w:p>
            <w:pPr>
              <w:spacing w:after="0"/>
              <w:rPr>
                <w:sz w:val="13"/>
                <w:szCs w:val="13"/>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Interim Statements of Operations (Unaudited)</w:t>
            </w:r>
          </w:p>
        </w:tc>
        <w:tc>
          <w:tcPr>
            <w:tcW w:w="6120" w:type="dxa"/>
            <w:vAlign w:val="bottom"/>
            <w:gridSpan w:val="9"/>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Consolidated Interim Statements of Comprehensive Income (Unaudited)</w:t>
            </w: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Interim Balance Sheets (Unaudited)</w:t>
            </w:r>
          </w:p>
        </w:tc>
        <w:tc>
          <w:tcPr>
            <w:tcW w:w="5400" w:type="dxa"/>
            <w:vAlign w:val="bottom"/>
            <w:gridSpan w:val="3"/>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Interim Statements of Cash Flows (Unaudited)</w:t>
            </w:r>
          </w:p>
        </w:tc>
        <w:tc>
          <w:tcPr>
            <w:tcW w:w="6060" w:type="dxa"/>
            <w:vAlign w:val="bottom"/>
            <w:gridSpan w:val="6"/>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Consolidated Interim Statements of Equity (Deficit) (Unaudited)</w:t>
            </w:r>
          </w:p>
        </w:tc>
        <w:tc>
          <w:tcPr>
            <w:tcW w:w="5840" w:type="dxa"/>
            <w:vAlign w:val="bottom"/>
            <w:gridSpan w:val="4"/>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 xml:space="preserve">Notes to Consolidated Interim Financial Statements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420" w:type="dxa"/>
            <w:vAlign w:val="bottom"/>
            <w:gridSpan w:val="2"/>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080" w:type="dxa"/>
            <w:vAlign w:val="bottom"/>
            <w:gridSpan w:val="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100" w:type="dxa"/>
            <w:vAlign w:val="bottom"/>
            <w:gridSpan w:val="16"/>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OTHER INFORMATION</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20" w:type="dxa"/>
            <w:vAlign w:val="bottom"/>
            <w:tcBorders>
              <w:top w:val="single" w:sz="8" w:color="0000FF"/>
            </w:tcBorders>
            <w:gridSpan w:val="3"/>
          </w:tcPr>
          <w:p>
            <w:pPr>
              <w:spacing w:after="0"/>
              <w:rPr>
                <w:sz w:val="15"/>
                <w:szCs w:val="15"/>
                <w:color w:val="auto"/>
              </w:rPr>
            </w:pPr>
          </w:p>
        </w:tc>
        <w:tc>
          <w:tcPr>
            <w:tcW w:w="8040" w:type="dxa"/>
            <w:vAlign w:val="bottom"/>
            <w:gridSpan w:val="15"/>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800" w:type="dxa"/>
            <w:vAlign w:val="bottom"/>
            <w:gridSpan w:val="20"/>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9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20" w:type="dxa"/>
            <w:vAlign w:val="bottom"/>
            <w:tcBorders>
              <w:top w:val="single" w:sz="8" w:color="0000FF"/>
            </w:tcBorders>
            <w:gridSpan w:val="5"/>
          </w:tcPr>
          <w:p>
            <w:pPr>
              <w:spacing w:after="0"/>
              <w:rPr>
                <w:sz w:val="15"/>
                <w:szCs w:val="15"/>
                <w:color w:val="auto"/>
              </w:rPr>
            </w:pPr>
          </w:p>
        </w:tc>
        <w:tc>
          <w:tcPr>
            <w:tcW w:w="6100" w:type="dxa"/>
            <w:vAlign w:val="bottom"/>
            <w:gridSpan w:val="8"/>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120" w:type="dxa"/>
            <w:vAlign w:val="bottom"/>
            <w:gridSpan w:val="1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80" w:type="dxa"/>
            <w:vAlign w:val="bottom"/>
            <w:gridSpan w:val="19"/>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Exhibits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52070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2" w:name="page3"/>
    <w:bookmarkEnd w:id="2"/>
    <w:p>
      <w:pPr>
        <w:ind w:left="4560"/>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OPERATIONS</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7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4"/>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 amounts)</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3)</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r>
      <w:tr>
        <w:trPr>
          <w:trHeight w:val="19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8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net</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 (Note 5)</w:t>
            </w: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4"/>
        </w:trPr>
        <w:tc>
          <w:tcPr>
            <w:tcW w:w="7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7"/>
        </w:trPr>
        <w:tc>
          <w:tcPr>
            <w:tcW w:w="7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Earnings per common share</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219"/>
        </w:trPr>
        <w:tc>
          <w:tcPr>
            <w:tcW w:w="7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205,113,600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236,664,129</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207,571,011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238,991,886</w:t>
            </w:r>
          </w:p>
        </w:tc>
      </w:tr>
    </w:tbl>
    <w:p>
      <w:pPr>
        <w:spacing w:after="0" w:line="2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00" w:lineRule="exact"/>
        <w:rPr>
          <w:sz w:val="20"/>
          <w:szCs w:val="20"/>
          <w:color w:val="auto"/>
        </w:rPr>
      </w:pPr>
    </w:p>
    <w:p>
      <w:pPr>
        <w:spacing w:after="0" w:line="28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762" w:right="499" w:bottom="1440" w:gutter="0" w:footer="0" w:header="0"/>
        </w:sectPr>
      </w:pPr>
    </w:p>
    <w:bookmarkStart w:id="3" w:name="page4"/>
    <w:bookmarkEnd w:id="3"/>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COMPREHENSIVE INCOME</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7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80" w:type="dxa"/>
            <w:vAlign w:val="bottom"/>
          </w:tcPr>
          <w:p>
            <w:pPr>
              <w:spacing w:after="0"/>
              <w:rPr>
                <w:sz w:val="13"/>
                <w:szCs w:val="13"/>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7"/>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7"/>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16)</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16)</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7"/>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1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762" w:right="5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1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 net (Note 6)</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 net (Note 8)</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9)</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10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14)</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11)</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14)</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(Note 12)</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10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19)</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242,028,536 and 240,987,329 issued and</w:t>
            </w:r>
          </w:p>
        </w:tc>
        <w:tc>
          <w:tcPr>
            <w:tcW w:w="11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203,929,236 and 206,387,938 outstanding as of March 31, 2025 and December 31, 2024, respectively</w:t>
            </w:r>
          </w:p>
        </w:tc>
        <w:tc>
          <w:tcPr>
            <w:tcW w:w="1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(Note 17)</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38,099,300 and 34,599,391 shares as of March 31, 2025 and December 31, 2024, respectively (Note 15)</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110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40" w:type="dxa"/>
            <w:vAlign w:val="bottom"/>
          </w:tcPr>
          <w:p>
            <w:pPr>
              <w:spacing w:after="0"/>
              <w:rPr>
                <w:sz w:val="14"/>
                <w:szCs w:val="14"/>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20" w:type="dxa"/>
            <w:vAlign w:val="bottom"/>
            <w:gridSpan w:val="3"/>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deferred issuance costs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Foreign exchange (gain) loss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loss (gain) on derivatives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notes and other receivables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Expenditures for property, plant and equipment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cross-currency swap contracts</w:t>
            </w:r>
          </w:p>
        </w:tc>
        <w:tc>
          <w:tcPr>
            <w:tcW w:w="9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used for investing activities</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long-term debt, net of debt financing costs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Bank overdrafts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long-term debt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Dividend payments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for debt and revolving facility financing costs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for financing activities</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cash equivalents and restricted cash</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period</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the period</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2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paid</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178435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6" w:name="page7"/>
    <w:bookmarkEnd w:id="6"/>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EQUITY (DEFICIT)</w:t>
      </w:r>
    </w:p>
    <w:p>
      <w:pPr>
        <w:spacing w:after="0" w:line="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40" w:type="dxa"/>
            <w:vAlign w:val="bottom"/>
          </w:tcPr>
          <w:p>
            <w:pPr>
              <w:spacing w:after="0"/>
              <w:rPr>
                <w:sz w:val="11"/>
                <w:szCs w:val="11"/>
                <w:color w:val="auto"/>
              </w:rPr>
            </w:pPr>
          </w:p>
        </w:tc>
        <w:tc>
          <w:tcPr>
            <w:tcW w:w="16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11"/>
                <w:szCs w:val="11"/>
                <w:color w:val="auto"/>
              </w:rPr>
            </w:pPr>
          </w:p>
        </w:tc>
        <w:tc>
          <w:tcPr>
            <w:tcW w:w="160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380" w:type="dxa"/>
            <w:vAlign w:val="bottom"/>
            <w:gridSpan w:val="3"/>
          </w:tcPr>
          <w:p>
            <w:pPr>
              <w:jc w:val="center"/>
              <w:ind w:right="6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 Income /</w:t>
            </w:r>
          </w:p>
        </w:tc>
        <w:tc>
          <w:tcPr>
            <w:tcW w:w="220" w:type="dxa"/>
            <w:vAlign w:val="bottom"/>
          </w:tcPr>
          <w:p>
            <w:pPr>
              <w:spacing w:after="0"/>
              <w:rPr>
                <w:sz w:val="10"/>
                <w:szCs w:val="10"/>
                <w:color w:val="auto"/>
              </w:rPr>
            </w:pPr>
          </w:p>
        </w:tc>
        <w:tc>
          <w:tcPr>
            <w:tcW w:w="780" w:type="dxa"/>
            <w:vAlign w:val="bottom"/>
          </w:tcPr>
          <w:p>
            <w:pPr>
              <w:jc w:val="center"/>
              <w:ind w:right="178"/>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8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7"/>
                <w:szCs w:val="7"/>
                <w:b w:val="1"/>
                <w:bCs w:val="1"/>
                <w:color w:val="auto"/>
              </w:rPr>
              <w:t>(1)</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FF0FC"/>
            </w:tcBorders>
            <w:shd w:val="clear" w:color="auto" w:fill="CFF0FC"/>
          </w:tcPr>
          <w:p>
            <w:pPr>
              <w:ind w:left="1040"/>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ind w:left="10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20" w:type="dxa"/>
            <w:vAlign w:val="bottom"/>
          </w:tcPr>
          <w:p>
            <w:pPr>
              <w:ind w:left="1000"/>
              <w:spacing w:after="0"/>
              <w:rPr>
                <w:sz w:val="20"/>
                <w:szCs w:val="20"/>
                <w:color w:val="auto"/>
              </w:rPr>
            </w:pPr>
            <w:r>
              <w:rPr>
                <w:rFonts w:ascii="Times New Roman" w:cs="Times New Roman" w:eastAsia="Times New Roman" w:hAnsi="Times New Roman"/>
                <w:sz w:val="13"/>
                <w:szCs w:val="13"/>
                <w:color w:val="auto"/>
                <w:w w:val="92"/>
              </w:rPr>
              <w:t>(62)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9"/>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2025</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3040" w:type="dxa"/>
            <w:vAlign w:val="bottom"/>
          </w:tcPr>
          <w:p>
            <w:pPr>
              <w:spacing w:after="0"/>
              <w:rPr>
                <w:sz w:val="24"/>
                <w:szCs w:val="24"/>
                <w:color w:val="auto"/>
              </w:rPr>
            </w:pPr>
          </w:p>
        </w:tc>
        <w:tc>
          <w:tcPr>
            <w:tcW w:w="16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24"/>
                <w:szCs w:val="24"/>
                <w:color w:val="auto"/>
              </w:rPr>
            </w:pPr>
          </w:p>
        </w:tc>
        <w:tc>
          <w:tcPr>
            <w:tcW w:w="160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0"/>
                <w:szCs w:val="10"/>
                <w:color w:val="auto"/>
              </w:rPr>
            </w:pPr>
          </w:p>
        </w:tc>
        <w:tc>
          <w:tcPr>
            <w:tcW w:w="130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 (Loss) /</w:t>
            </w:r>
          </w:p>
        </w:tc>
        <w:tc>
          <w:tcPr>
            <w:tcW w:w="220" w:type="dxa"/>
            <w:vAlign w:val="bottom"/>
          </w:tcPr>
          <w:p>
            <w:pPr>
              <w:spacing w:after="0"/>
              <w:rPr>
                <w:sz w:val="10"/>
                <w:szCs w:val="10"/>
                <w:color w:val="auto"/>
              </w:rPr>
            </w:pPr>
          </w:p>
        </w:tc>
        <w:tc>
          <w:tcPr>
            <w:tcW w:w="780" w:type="dxa"/>
            <w:vAlign w:val="bottom"/>
          </w:tcPr>
          <w:p>
            <w:pPr>
              <w:jc w:val="center"/>
              <w:ind w:right="178"/>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8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7"/>
                <w:szCs w:val="7"/>
                <w:b w:val="1"/>
                <w:bCs w:val="1"/>
                <w:color w:val="auto"/>
              </w:rPr>
              <w:t>(1)</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FF0FC"/>
            </w:tcBorders>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w w:val="92"/>
              </w:rPr>
              <w:t>(3)</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ind w:left="10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9"/>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2024</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1) Common shares issued less treasury shares equals common shares outstanding</w:t>
      </w:r>
    </w:p>
    <w:p>
      <w:pPr>
        <w:spacing w:after="0" w:line="15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231F20"/>
        </w:rPr>
        <w:t>The Notes to the Consolidated Interim Financial Statements are an integral part of this statement.</w:t>
      </w:r>
    </w:p>
    <w:p>
      <w:pPr>
        <w:spacing w:after="0" w:line="29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762" w:right="859" w:bottom="1440" w:gutter="0" w:footer="0" w:header="0"/>
        </w:sectPr>
      </w:pPr>
    </w:p>
    <w:bookmarkStart w:id="7" w:name="page8"/>
    <w:bookmarkEnd w:id="7"/>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NOTES TO CONSOLIDATED INTERIM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to original equipment manufacturers (“OEMs”) and distributors within the mobility and industrial space. We have significant expertise in delivering products at scale for internal combustion engines using gasoline, diesel, natural gas, and hydrogen, as well as for zero-emission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accompanying unaudited Consolidated Interim Financial Statements have been prepared in accordance with the rules and regulations of the Securities and Exchange Commission ("SEC")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2024 included in our Annual Report on Form 10-K, as filed with the SEC on February 20, 2025 (our “2024 Form 10-K”). The results of operations for the three months ended March 31, 2025 and cash flows for the three months ended March 31, 2025 should not necessarily be taken as indicative of the entire year. All amounts presented are in millions, except per share amounts.</w:t>
      </w:r>
    </w:p>
    <w:p>
      <w:pPr>
        <w:spacing w:after="0" w:line="10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1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Actual results could differ from the original estimates, requiring adjustments to these balances in future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the Company are set forth in Note 3 to the Consolidated Financial Statements for the year ended December 31, 2024 included in our 2024 Form 10-K.</w:t>
      </w: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60"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December 2023, the FASB issued ASU 2023-09, </w:t>
      </w:r>
      <w:r>
        <w:rPr>
          <w:rFonts w:ascii="Times New Roman" w:cs="Times New Roman" w:eastAsia="Times New Roman" w:hAnsi="Times New Roman"/>
          <w:sz w:val="14"/>
          <w:szCs w:val="14"/>
          <w:i w:val="1"/>
          <w:iCs w:val="1"/>
          <w:color w:val="231F20"/>
        </w:rPr>
        <w:t>Income Taxes (Topic 740): Improvements to Income Tax Disclosures</w:t>
      </w:r>
      <w:r>
        <w:rPr>
          <w:rFonts w:ascii="Times New Roman" w:cs="Times New Roman" w:eastAsia="Times New Roman" w:hAnsi="Times New Roman"/>
          <w:sz w:val="14"/>
          <w:szCs w:val="14"/>
          <w:color w:val="231F20"/>
        </w:rPr>
        <w:t>. The amendments in this update increase the transparency around income tax information through improvements to disclosures primarily related to the rate reconciliation and income taxes paid information. The Company adopted the new guidance prospectively as of January 1,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But Not Yet Adopted</w:t>
      </w:r>
    </w:p>
    <w:p>
      <w:pPr>
        <w:spacing w:after="0" w:line="150"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color w:val="231F20"/>
        </w:rPr>
        <w:t xml:space="preserve">In March 2024, the SEC adopted a final rule under SEC Release No. 33-11275, </w:t>
      </w:r>
      <w:r>
        <w:rPr>
          <w:rFonts w:ascii="Times New Roman" w:cs="Times New Roman" w:eastAsia="Times New Roman" w:hAnsi="Times New Roman"/>
          <w:sz w:val="14"/>
          <w:szCs w:val="14"/>
          <w:i w:val="1"/>
          <w:iCs w:val="1"/>
          <w:color w:val="231F20"/>
        </w:rPr>
        <w:t>The Enhancement and Standardization of Climate-Related Disclosures for Investors</w:t>
      </w:r>
      <w:r>
        <w:rPr>
          <w:rFonts w:ascii="Times New Roman" w:cs="Times New Roman" w:eastAsia="Times New Roman" w:hAnsi="Times New Roman"/>
          <w:sz w:val="14"/>
          <w:szCs w:val="14"/>
          <w:color w:val="231F20"/>
        </w:rPr>
        <w:t>, to enhance and standardize climate-related disclosures. The rule will require companies to disclose material Scope 1 and Scope 2 greenhouse gas emissions; climate-related risks, governance, and oversight; and the financial effects of severe weather events and other natural conditions. These disclosures are required to be phased in starting with annual reporting periods beginning in 2025; however, this rule has been stayed pending the outcome of legal challenges, and on March 27, 2025, the SEC withdrew its legal defense of the rule. The Company is currently evaluating the guidance to determine the impact of adoption on its disclosures in the event that the stay is lifted.</w:t>
      </w:r>
    </w:p>
    <w:p>
      <w:pPr>
        <w:spacing w:after="0" w:line="119"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November 2024, the FASB issued ASU 2024-03, </w:t>
      </w:r>
      <w:r>
        <w:rPr>
          <w:rFonts w:ascii="Times New Roman" w:cs="Times New Roman" w:eastAsia="Times New Roman" w:hAnsi="Times New Roman"/>
          <w:sz w:val="14"/>
          <w:szCs w:val="14"/>
          <w:i w:val="1"/>
          <w:iCs w:val="1"/>
          <w:color w:val="231F20"/>
        </w:rPr>
        <w:t>Income Statement</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Reporting Comprehensive Income</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Expense Disaggregation Disclosures (Subtopic 220-40): Disaggregation of Income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 xml:space="preserve">Statement Expenses. </w:t>
      </w:r>
      <w:r>
        <w:rPr>
          <w:rFonts w:ascii="Times New Roman" w:cs="Times New Roman" w:eastAsia="Times New Roman" w:hAnsi="Times New Roman"/>
          <w:sz w:val="14"/>
          <w:szCs w:val="14"/>
          <w:color w:val="231F20"/>
        </w:rPr>
        <w:t>The amendments in this update require disclosure of specified information about certain costs and expenses. The guidance is effective for fiscal years beginning after December</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15, 2026 on a prospective basis. Early adoption is permitted. The Company is currently evaluating the guidance to determine the impact on its disclosures.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There are no other recently issued, but not yet adopted, accounting pronouncements that are expected to have a material impact on the Company's Consolidated Interim Financial Statements and related disclosures.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Recognition and Contracts with Customers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Net sales by region (determined based on country of shipment) and channel, refer to Note 21, </w:t>
      </w:r>
      <w:r>
        <w:rPr>
          <w:rFonts w:ascii="Times New Roman" w:cs="Times New Roman" w:eastAsia="Times New Roman" w:hAnsi="Times New Roman"/>
          <w:sz w:val="14"/>
          <w:szCs w:val="14"/>
          <w:i w:val="1"/>
          <w:iCs w:val="1"/>
          <w:color w:val="auto"/>
        </w:rPr>
        <w:t>Segments and Concentrations</w:t>
      </w:r>
      <w:r>
        <w:rPr>
          <w:rFonts w:ascii="Times New Roman" w:cs="Times New Roman" w:eastAsia="Times New Roman" w:hAnsi="Times New Roman"/>
          <w:sz w:val="14"/>
          <w:szCs w:val="14"/>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Contract assets—March 31</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00" w:type="dxa"/>
            <w:vAlign w:val="bottom"/>
            <w:vMerge w:val="continue"/>
          </w:tcPr>
          <w:p>
            <w:pPr>
              <w:spacing w:after="0"/>
              <w:rPr>
                <w:sz w:val="14"/>
                <w:szCs w:val="14"/>
                <w:color w:val="auto"/>
              </w:rPr>
            </w:pP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8"/>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liabilities—March 31</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liabilities—Decrease/(Increase)</w:t>
            </w:r>
          </w:p>
        </w:tc>
        <w:tc>
          <w:tcPr>
            <w:tcW w:w="10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Research, Development and Engineering</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 considered a recovery of cost. Such costs are included in Cost of goods sold as follows:</w:t>
      </w: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9" w:name="page10"/>
    <w:bookmarkEnd w:id="9"/>
    <w:p>
      <w:pPr>
        <w:jc w:val="center"/>
        <w:ind w:left="77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7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40" w:type="dxa"/>
            <w:vAlign w:val="bottom"/>
          </w:tcPr>
          <w:p>
            <w:pPr>
              <w:spacing w:after="0"/>
              <w:rPr>
                <w:sz w:val="13"/>
                <w:szCs w:val="13"/>
                <w:color w:val="auto"/>
              </w:rPr>
            </w:pPr>
          </w:p>
        </w:tc>
      </w:tr>
      <w:tr>
        <w:trPr>
          <w:trHeight w:val="212"/>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2"/>
        </w:trPr>
        <w:tc>
          <w:tcPr>
            <w:tcW w:w="7900" w:type="dxa"/>
            <w:vAlign w:val="bottom"/>
            <w:tcBorders>
              <w:bottom w:val="single" w:sz="8" w:color="CFF0FC"/>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Engineering-related expenses, net of customer (reimbursements) </w:t>
            </w:r>
            <w:r>
              <w:rPr>
                <w:rFonts w:ascii="Times New Roman" w:cs="Times New Roman" w:eastAsia="Times New Roman" w:hAnsi="Times New Roman"/>
                <w:sz w:val="18"/>
                <w:szCs w:val="18"/>
                <w:color w:val="auto"/>
                <w:vertAlign w:val="superscript"/>
              </w:rPr>
              <w:t>(1)</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2"/>
        </w:trPr>
        <w:tc>
          <w:tcPr>
            <w:tcW w:w="79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Engineering-related expenses include customer reimbursements of $12 million and $8 million for the three months ended March 31, 2025 and 2024, respectively.</w:t>
      </w:r>
    </w:p>
    <w:p>
      <w:pPr>
        <w:spacing w:after="0" w:line="15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Certain engineering expenses related to long-term supply arrangements are capitalized when defined criteria, such as the existence of a contractual guarantee for reimbursement, are met. As of </w:t>
      </w:r>
      <w:r>
        <w:rPr>
          <w:rFonts w:ascii="Times New Roman" w:cs="Times New Roman" w:eastAsia="Times New Roman" w:hAnsi="Times New Roman"/>
          <w:sz w:val="14"/>
          <w:szCs w:val="14"/>
          <w:color w:val="000000"/>
        </w:rPr>
        <w:t xml:space="preserve">March 31, 2025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December 31, 2024</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$33 million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$29 million</w:t>
      </w:r>
      <w:r>
        <w:rPr>
          <w:rFonts w:ascii="Times New Roman" w:cs="Times New Roman" w:eastAsia="Times New Roman" w:hAnsi="Times New Roman"/>
          <w:sz w:val="14"/>
          <w:szCs w:val="14"/>
          <w:color w:val="231F20"/>
        </w:rPr>
        <w:t>, respectively, of such contractually reimbursable costs were capitalized. These amounts are recorded within Other current assets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the Consolidated Interim Balance Sheet.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Income Taxes</w:t>
      </w:r>
    </w:p>
    <w:p>
      <w:pPr>
        <w:spacing w:after="0" w:line="188"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7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00" w:type="dxa"/>
            <w:vAlign w:val="bottom"/>
          </w:tcPr>
          <w:p>
            <w:pPr>
              <w:spacing w:after="0"/>
              <w:rPr>
                <w:sz w:val="13"/>
                <w:szCs w:val="13"/>
                <w:color w:val="auto"/>
              </w:rPr>
            </w:pPr>
          </w:p>
        </w:tc>
      </w:tr>
      <w:tr>
        <w:trPr>
          <w:trHeight w:val="212"/>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10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23</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15</w:t>
            </w:r>
          </w:p>
        </w:tc>
      </w:tr>
      <w:tr>
        <w:trPr>
          <w:trHeight w:val="19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18.5 %</w:t>
            </w:r>
          </w:p>
        </w:tc>
      </w:tr>
    </w:tbl>
    <w:p>
      <w:pPr>
        <w:spacing w:after="0" w:line="295"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231F20"/>
        </w:rPr>
        <w:t>The effective tax rates for the three months ended March 31, 2025 and 2024 were 27.1% and 18.5%, respectively. The change in the effective tax rate for the three months ended March 31, 2025 compared to the prior period is primarily related to higher U.S. taxes on international operations and reversal of tax reserves in 2024.</w:t>
      </w:r>
    </w:p>
    <w:p>
      <w:pPr>
        <w:spacing w:after="0" w:line="145"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231F20"/>
        </w:rPr>
        <w:t>The effective tax rate for the three months ended March 31, 2025 was higher than the U.S. federal statutory rate of 21% primarily related to higher U.S. taxes on international operations and withholding taxes, partially offset by taxes on non-U.S. earnings and global research and development benefits.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Accounts, Notes and Other Receivables—Net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Pr>
          <w:p>
            <w:pPr>
              <w:spacing w:after="0"/>
              <w:rPr>
                <w:sz w:val="12"/>
                <w:szCs w:val="12"/>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3"/>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Less—Allowance for expected credit losses</w:t>
            </w: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3"/>
        </w:trPr>
        <w:tc>
          <w:tcPr>
            <w:tcW w:w="80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336" w:lineRule="auto"/>
        <w:rPr>
          <w:sz w:val="20"/>
          <w:szCs w:val="20"/>
          <w:color w:val="auto"/>
        </w:rPr>
      </w:pPr>
      <w:r>
        <w:rPr>
          <w:rFonts w:ascii="Times New Roman" w:cs="Times New Roman" w:eastAsia="Times New Roman" w:hAnsi="Times New Roman"/>
          <w:sz w:val="14"/>
          <w:szCs w:val="14"/>
          <w:color w:val="auto"/>
        </w:rPr>
        <w:t xml:space="preserve">Trade receivables include $52 million and $40 million of unbilled customer contract asset balances as of </w:t>
      </w:r>
      <w:r>
        <w:rPr>
          <w:rFonts w:ascii="Times New Roman" w:cs="Times New Roman" w:eastAsia="Times New Roman" w:hAnsi="Times New Roman"/>
          <w:sz w:val="14"/>
          <w:szCs w:val="14"/>
          <w:color w:val="231F20"/>
        </w:rPr>
        <w:t>March 31, 2025</w:t>
      </w:r>
      <w:r>
        <w:rPr>
          <w:rFonts w:ascii="Times New Roman" w:cs="Times New Roman" w:eastAsia="Times New Roman" w:hAnsi="Times New Roman"/>
          <w:sz w:val="14"/>
          <w:szCs w:val="14"/>
          <w:color w:val="auto"/>
        </w:rPr>
        <w:t xml:space="preserve"> and December 31, 2024, respectively. These amounts are billed in accordance with the terms of customer contracts to which they relate. See Note 3</w:t>
      </w:r>
      <w:r>
        <w:rPr>
          <w:rFonts w:ascii="Times New Roman" w:cs="Times New Roman" w:eastAsia="Times New Roman" w:hAnsi="Times New Roman"/>
          <w:sz w:val="14"/>
          <w:szCs w:val="14"/>
          <w:i w:val="1"/>
          <w:iCs w:val="1"/>
          <w:color w:val="auto"/>
        </w:rPr>
        <w:t>, Revenue Recognition and Contracts with Customers</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Notes receivable is related to guaranteed bank notes without recourse that the Company receives in settlement of accounts receivables, primarily in the Asia Pacific region. See Note 7,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4"/>
          <w:szCs w:val="14"/>
          <w:color w:val="auto"/>
        </w:rPr>
        <w:t xml:space="preserve">Other receivables includes VAT receivables of $44 million and $50 million as of </w:t>
      </w:r>
      <w:r>
        <w:rPr>
          <w:rFonts w:ascii="Times New Roman" w:cs="Times New Roman" w:eastAsia="Times New Roman" w:hAnsi="Times New Roman"/>
          <w:sz w:val="14"/>
          <w:szCs w:val="14"/>
          <w:color w:val="231F20"/>
        </w:rPr>
        <w:t>March 31, 2025</w:t>
      </w:r>
      <w:r>
        <w:rPr>
          <w:rFonts w:ascii="Times New Roman" w:cs="Times New Roman" w:eastAsia="Times New Roman" w:hAnsi="Times New Roman"/>
          <w:sz w:val="14"/>
          <w:szCs w:val="14"/>
          <w:color w:val="auto"/>
        </w:rPr>
        <w:t xml:space="preserve"> and December 31, 2024, respectively.</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Factoring and Notes Receivable</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80" w:type="dxa"/>
            <w:vAlign w:val="bottom"/>
          </w:tcPr>
          <w:p>
            <w:pPr>
              <w:spacing w:after="0"/>
              <w:rPr>
                <w:sz w:val="13"/>
                <w:szCs w:val="13"/>
                <w:color w:val="auto"/>
              </w:rPr>
            </w:pPr>
          </w:p>
        </w:tc>
        <w:tc>
          <w:tcPr>
            <w:tcW w:w="272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80" w:type="dxa"/>
            <w:vAlign w:val="bottom"/>
            <w:tcBorders>
              <w:bottom w:val="single" w:sz="8" w:color="auto"/>
            </w:tcBorders>
          </w:tcPr>
          <w:p>
            <w:pPr>
              <w:spacing w:after="0"/>
              <w:rPr>
                <w:sz w:val="13"/>
                <w:szCs w:val="13"/>
                <w:color w:val="auto"/>
              </w:rPr>
            </w:pPr>
          </w:p>
        </w:tc>
      </w:tr>
      <w:tr>
        <w:trPr>
          <w:trHeight w:val="161"/>
        </w:trPr>
        <w:tc>
          <w:tcPr>
            <w:tcW w:w="8080" w:type="dxa"/>
            <w:vAlign w:val="bottom"/>
          </w:tcPr>
          <w:p>
            <w:pPr>
              <w:spacing w:after="0"/>
              <w:rPr>
                <w:sz w:val="14"/>
                <w:szCs w:val="14"/>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r>
      <w:tr>
        <w:trPr>
          <w:trHeight w:val="161"/>
        </w:trPr>
        <w:tc>
          <w:tcPr>
            <w:tcW w:w="8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gridSpan w:val="2"/>
          </w:tcPr>
          <w:p>
            <w:pPr>
              <w:jc w:val="center"/>
              <w:ind w:right="47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80" w:type="dxa"/>
            <w:vAlign w:val="bottom"/>
          </w:tcPr>
          <w:p>
            <w:pPr>
              <w:spacing w:after="0"/>
              <w:rPr>
                <w:sz w:val="13"/>
                <w:szCs w:val="13"/>
                <w:color w:val="auto"/>
              </w:rPr>
            </w:pPr>
          </w:p>
        </w:tc>
      </w:tr>
      <w:tr>
        <w:trPr>
          <w:trHeight w:val="212"/>
        </w:trPr>
        <w:tc>
          <w:tcPr>
            <w:tcW w:w="8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152</w:t>
            </w:r>
          </w:p>
        </w:tc>
        <w:tc>
          <w:tcPr>
            <w:tcW w:w="11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163</w:t>
            </w:r>
          </w:p>
        </w:tc>
      </w:tr>
      <w:tr>
        <w:trPr>
          <w:trHeight w:val="191"/>
        </w:trPr>
        <w:tc>
          <w:tcPr>
            <w:tcW w:w="8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20" w:type="dxa"/>
            <w:vAlign w:val="bottom"/>
          </w:tcPr>
          <w:p>
            <w:pPr>
              <w:spacing w:after="0"/>
              <w:rPr>
                <w:sz w:val="16"/>
                <w:szCs w:val="16"/>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16</w:t>
            </w:r>
          </w:p>
        </w:tc>
        <w:tc>
          <w:tcPr>
            <w:tcW w:w="11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 xml:space="preserve">The expenses related to the sale of trade receivables and guaranteed bank notes are recognized within Other expense, net in the Consolidated Interim Statements of Operations, and were $1 million and immaterial for the three months ended </w:t>
      </w:r>
      <w:r>
        <w:rPr>
          <w:rFonts w:ascii="Times New Roman" w:cs="Times New Roman" w:eastAsia="Times New Roman" w:hAnsi="Times New Roman"/>
          <w:sz w:val="14"/>
          <w:szCs w:val="14"/>
          <w:color w:val="231F20"/>
        </w:rPr>
        <w:t>March 31, 2025 and</w:t>
      </w:r>
      <w:r>
        <w:rPr>
          <w:rFonts w:ascii="Times New Roman" w:cs="Times New Roman" w:eastAsia="Times New Roman" w:hAnsi="Times New Roman"/>
          <w:sz w:val="14"/>
          <w:szCs w:val="14"/>
          <w:color w:val="auto"/>
        </w:rPr>
        <w:t xml:space="preserve"> 2024</w:t>
      </w:r>
      <w:r>
        <w:rPr>
          <w:rFonts w:ascii="Times New Roman" w:cs="Times New Roman" w:eastAsia="Times New Roman" w:hAnsi="Times New Roman"/>
          <w:sz w:val="14"/>
          <w:szCs w:val="14"/>
          <w:color w:val="231F20"/>
        </w:rPr>
        <w:t>, respectively.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80" w:type="dxa"/>
            <w:vAlign w:val="bottom"/>
            <w:gridSpan w:val="6"/>
          </w:tcPr>
          <w:p>
            <w:pPr>
              <w:ind w:left="8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4"/>
        </w:trPr>
        <w:tc>
          <w:tcPr>
            <w:tcW w:w="8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 of March 31, 2025 and December 31, 2024, the Company had no guaranteed bank notes pledged as collateral.</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8. Inventories—Net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3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Less—Reserves</w:t>
            </w:r>
          </w:p>
        </w:tc>
        <w:tc>
          <w:tcPr>
            <w:tcW w:w="3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4"/>
                <w:szCs w:val="14"/>
                <w:color w:val="auto"/>
                <w:w w:val="94"/>
              </w:rPr>
              <w:t>(42)</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00" w:type="dxa"/>
            <w:vAlign w:val="bottom"/>
            <w:vMerge w:val="restart"/>
          </w:tcPr>
          <w:p>
            <w:pPr>
              <w:ind w:left="5720"/>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4"/>
        </w:trPr>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00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Note 9. Other Assets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110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13)</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 (Note 16)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3"/>
        </w:trPr>
        <w:tc>
          <w:tcPr>
            <w:tcW w:w="8000" w:type="dxa"/>
            <w:vAlign w:val="bottom"/>
          </w:tcPr>
          <w:p>
            <w:pPr>
              <w:spacing w:after="0"/>
              <w:rPr>
                <w:sz w:val="16"/>
                <w:szCs w:val="16"/>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Supplier Financing</w:t>
      </w:r>
    </w:p>
    <w:p>
      <w:pPr>
        <w:spacing w:after="0" w:line="160"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The supplier financing obligations and guaranteed bank notes outstanding are recorded within Accounts payable in our Consolidated Interim Balance Sheet.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Supplier financing obligations outstanding with financial institutions</w:t>
            </w:r>
          </w:p>
        </w:tc>
        <w:tc>
          <w:tcPr>
            <w:tcW w:w="3180" w:type="dxa"/>
            <w:vAlign w:val="bottom"/>
            <w:shd w:val="clear" w:color="auto" w:fill="CFF0FC"/>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5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outstanding</w:t>
            </w: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394"/>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Accrued Liabilities</w:t>
            </w:r>
          </w:p>
        </w:tc>
        <w:tc>
          <w:tcPr>
            <w:tcW w:w="3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8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center"/>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pricing reserve</w:t>
            </w:r>
          </w:p>
        </w:tc>
        <w:tc>
          <w:tcPr>
            <w:tcW w:w="3500" w:type="dxa"/>
            <w:vAlign w:val="bottom"/>
            <w:gridSpan w:val="2"/>
            <w:shd w:val="clear" w:color="auto" w:fill="CFF0FC"/>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5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benefit and other employee related</w:t>
            </w: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Repositioning</w:t>
            </w:r>
          </w:p>
        </w:tc>
        <w:tc>
          <w:tcPr>
            <w:tcW w:w="3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 (Note 19)</w:t>
            </w: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and other taxes</w:t>
            </w:r>
          </w:p>
        </w:tc>
        <w:tc>
          <w:tcPr>
            <w:tcW w:w="3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line="213" w:lineRule="exact"/>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22"/>
                <w:szCs w:val="22"/>
                <w:color w:val="auto"/>
                <w:vertAlign w:val="superscript"/>
              </w:rPr>
              <w:t>(1)</w:t>
            </w:r>
          </w:p>
        </w:tc>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3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liability (Note 13)</w:t>
            </w: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freight</w:t>
            </w: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reserve</w:t>
            </w: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Bank overdrafts </w:t>
            </w:r>
            <w:r>
              <w:rPr>
                <w:rFonts w:ascii="Times New Roman" w:cs="Times New Roman" w:eastAsia="Times New Roman" w:hAnsi="Times New Roman"/>
                <w:sz w:val="18"/>
                <w:szCs w:val="18"/>
                <w:color w:val="auto"/>
                <w:vertAlign w:val="superscript"/>
              </w:rPr>
              <w:t>(2)</w:t>
            </w: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(primarily operating expenses)</w:t>
            </w:r>
          </w:p>
        </w:tc>
        <w:tc>
          <w:tcPr>
            <w:tcW w:w="3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129"/>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8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80" w:type="dxa"/>
            <w:vAlign w:val="bottom"/>
            <w:tcBorders>
              <w:bottom w:val="single" w:sz="8" w:color="9A9A9A"/>
            </w:tcBorders>
          </w:tcPr>
          <w:p>
            <w:pPr>
              <w:spacing w:after="0"/>
              <w:rPr>
                <w:sz w:val="23"/>
                <w:szCs w:val="23"/>
                <w:color w:val="auto"/>
              </w:rPr>
            </w:pPr>
          </w:p>
        </w:tc>
        <w:tc>
          <w:tcPr>
            <w:tcW w:w="31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12" w:name="page13"/>
    <w:bookmarkEnd w:id="12"/>
    <w:p>
      <w:pPr>
        <w:ind w:left="580" w:hanging="255"/>
        <w:spacing w:after="0" w:line="307" w:lineRule="auto"/>
        <w:tabs>
          <w:tab w:leader="none" w:pos="57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$12 million and $8 million of contract liabilities as of March 31, 2025 and December 31, 2024, respectively. See Note 3,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Recognition and Contracts with Customers</w:t>
      </w:r>
      <w:r>
        <w:rPr>
          <w:rFonts w:ascii="Times New Roman" w:cs="Times New Roman" w:eastAsia="Times New Roman" w:hAnsi="Times New Roman"/>
          <w:sz w:val="14"/>
          <w:szCs w:val="14"/>
          <w:color w:val="auto"/>
        </w:rPr>
        <w:t>.</w:t>
      </w:r>
    </w:p>
    <w:p>
      <w:pPr>
        <w:spacing w:after="0" w:line="80" w:lineRule="exact"/>
        <w:rPr>
          <w:rFonts w:ascii="Times New Roman" w:cs="Times New Roman" w:eastAsia="Times New Roman" w:hAnsi="Times New Roman"/>
          <w:sz w:val="14"/>
          <w:szCs w:val="14"/>
          <w:color w:val="auto"/>
        </w:rPr>
      </w:pPr>
    </w:p>
    <w:p>
      <w:pPr>
        <w:jc w:val="both"/>
        <w:ind w:left="580" w:hanging="255"/>
        <w:spacing w:after="0" w:line="282" w:lineRule="auto"/>
        <w:tabs>
          <w:tab w:leader="none" w:pos="57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classifies bank overdrafts as accrued liabilities. Bank overdrafts are generally cash pooling and other intercompany financing arrangements where the legal right to offset does not exist. Bank overdrafts are considered short-term financing with changes in the related balance reflected in financing activities in the Interim Consolidated Statements of Cash Flows.</w:t>
      </w:r>
    </w:p>
    <w:p>
      <w:pPr>
        <w:spacing w:after="0" w:line="271"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activity in our repositioning accrual: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2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120" w:type="dxa"/>
            <w:vAlign w:val="bottom"/>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20" w:type="dxa"/>
            <w:vAlign w:val="bottom"/>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Other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68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6"/>
          </w:tcPr>
          <w:p>
            <w:pPr>
              <w:jc w:val="center"/>
              <w:ind w:left="575"/>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13)</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 (Note 19)</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 term</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Leases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As of March 31, 2025, the Company does not have any material finance leases. Our leases have remaining lease terms of up to 13 years, some of which include options to extend the leases for up to two years, and some of which include options to terminate the leases within the year.</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47"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Operating lease cost</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4</w:t>
            </w:r>
          </w:p>
        </w:tc>
        <w:tc>
          <w:tcPr>
            <w:tcW w:w="64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3</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p>
      <w:pPr>
        <w:spacing w:after="0" w:line="47"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6"/>
          </w:tcPr>
          <w:p>
            <w:pPr>
              <w:ind w:left="9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80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7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6"/>
          </w:tcPr>
          <w:p>
            <w:pPr>
              <w:ind w:left="88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left="1012"/>
              <w:spacing w:after="0"/>
              <w:rPr>
                <w:sz w:val="20"/>
                <w:szCs w:val="20"/>
                <w:color w:val="auto"/>
              </w:rPr>
            </w:pPr>
            <w:r>
              <w:rPr>
                <w:rFonts w:ascii="Times New Roman" w:cs="Times New Roman" w:eastAsia="Times New Roman" w:hAnsi="Times New Roman"/>
                <w:sz w:val="14"/>
                <w:szCs w:val="14"/>
                <w:color w:val="auto"/>
                <w:w w:val="9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left="1012"/>
              <w:spacing w:after="0"/>
              <w:rPr>
                <w:sz w:val="20"/>
                <w:szCs w:val="20"/>
                <w:color w:val="auto"/>
              </w:rPr>
            </w:pPr>
            <w:r>
              <w:rPr>
                <w:rFonts w:ascii="Times New Roman" w:cs="Times New Roman" w:eastAsia="Times New Roman" w:hAnsi="Times New Roman"/>
                <w:sz w:val="14"/>
                <w:szCs w:val="14"/>
                <w:color w:val="auto"/>
                <w:w w:val="99"/>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left="1012"/>
              <w:spacing w:after="0"/>
              <w:rPr>
                <w:sz w:val="20"/>
                <w:szCs w:val="20"/>
                <w:color w:val="auto"/>
              </w:rPr>
            </w:pPr>
            <w:r>
              <w:rPr>
                <w:rFonts w:ascii="Times New Roman" w:cs="Times New Roman" w:eastAsia="Times New Roman" w:hAnsi="Times New Roman"/>
                <w:sz w:val="14"/>
                <w:szCs w:val="14"/>
                <w:color w:val="auto"/>
                <w:w w:val="99"/>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78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1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80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as of March 31, 2025 were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02"/>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left="1032"/>
              <w:spacing w:after="0"/>
              <w:rPr>
                <w:sz w:val="20"/>
                <w:szCs w:val="20"/>
                <w:color w:val="auto"/>
              </w:rPr>
            </w:pPr>
            <w:r>
              <w:rPr>
                <w:rFonts w:ascii="Times New Roman" w:cs="Times New Roman" w:eastAsia="Times New Roman" w:hAnsi="Times New Roman"/>
                <w:sz w:val="14"/>
                <w:szCs w:val="14"/>
                <w:color w:val="auto"/>
                <w:w w:val="94"/>
              </w:rPr>
              <w:t>(11)</w:t>
            </w:r>
          </w:p>
        </w:tc>
        <w:tc>
          <w:tcPr>
            <w:tcW w:w="0" w:type="dxa"/>
            <w:vAlign w:val="bottom"/>
          </w:tcPr>
          <w:p>
            <w:pPr>
              <w:spacing w:after="0"/>
              <w:rPr>
                <w:sz w:val="1"/>
                <w:szCs w:val="1"/>
                <w:color w:val="auto"/>
              </w:rPr>
            </w:pPr>
          </w:p>
        </w:tc>
      </w:tr>
      <w:tr>
        <w:trPr>
          <w:trHeight w:val="213"/>
        </w:trPr>
        <w:tc>
          <w:tcPr>
            <w:tcW w:w="7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May 21, 2024, Garrett Motion Holdings Inc. and Garrett LX I S.à.r.l. (the "Issuers"), wholly owned subsidiaries of the Company, completed an offering of $800 million in aggregate principal amount of 7.75% Senior Unsecured Notes due</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4" w:name="page15"/>
    <w:bookmarkEnd w:id="14"/>
    <w:p>
      <w:pPr>
        <w:jc w:val="both"/>
        <w:spacing w:after="0" w:line="289" w:lineRule="auto"/>
        <w:rPr>
          <w:sz w:val="20"/>
          <w:szCs w:val="20"/>
          <w:color w:val="auto"/>
        </w:rPr>
      </w:pPr>
      <w:r>
        <w:rPr>
          <w:rFonts w:ascii="Times New Roman" w:cs="Times New Roman" w:eastAsia="Times New Roman" w:hAnsi="Times New Roman"/>
          <w:sz w:val="14"/>
          <w:szCs w:val="14"/>
          <w:color w:val="auto"/>
        </w:rPr>
        <w:t>2032 (the "2032 Senior Notes"). The 2032 Senior Notes mature on May 31, 2032. The Company incurred $12 million of debt issuance costs, which have been capitalized and will be amortized on a straight-line basis.</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2032 Senior Notes are guaranteed by the Company and each of the Company's wholly owned subsidiaries that guarantee obligations under the Credit Agreement (as defined below), subject to certain exceptions. The proceeds from the sale of the 2032 Senior Notes, together with cash on hand, were used to repay approximately $800 million of term loan indebtedness and to pay related fees and expenses. The 2032 Senior Notes bear interest at a rate of 7.75% per annum. Interest on the 2032 Senior Notes is payable semi-annually in arrears on May 31 and November 30 of each year, commencing on November 30, 2024.</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2032 Senior Notes indenture contains certain covenants that limit the ability of the Company and its restricted subsidiaries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2032 Senior Notes indenture. Additionally, the indenture contains certain change of control provisions that, under certain conditions, would require the Company to make an offer to repurchase all of the outstanding 2032 Senior Notes at a price equal to 101% of the aggregate principal amount, plus accrued and unpaid interest. The indenture also contains customary events of default.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16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On January 30, 2025, the Company entered into that certain Restatement Agreement (the "Restatement Agreement"), which amends and restates that certain Credit Agreement, dated as of April 30, 2021 (as amended from time to time, the "Existing Credit Agreement" and as amended and restated by the Restatement Agreement, the "Credit Agreement"), by and among the Company, Garrett Motion Holdings Inc., Garrett Motion Sàrl and Garrett LX I S.à.r.l., as borrowers (the "Borrowers"), the lenders and issuing banks part thereto from time to time, and JPMorgan Chase Bank, N.A., as administrative agent. Under the Restatement Agreement, the Company refinanced in full its $692 million U.S. Dollar term loan facility (the "2021 Dollar Term Facility") under the Existing Credit Agreement with a new $692 million term loan (the "2025 Dollar Term Facility") in an aggregate principal amount of $692 million. The 2025 Dollar Term Facility will mature on January 30, 2032, and bear interest at a rate equal to, at the Company's option, the Adjusted Term SOFR Rate (as defined in the Restatement Agreement) plus 2.25% per annum in the case of Term Benchmark Loans (as defined in the Restatement Agreement) and the Alternate Base Rate (as defined in the Restatement Agreement) plus 1.25% per annum in the case of ABR Loans (as defined in the Restatement Agreement).</w:t>
      </w:r>
    </w:p>
    <w:p>
      <w:pPr>
        <w:spacing w:after="0" w:line="11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Also on January 30, 2025, pursuant to the Restatement Agreement, the Company replaced its existing $600 million revolving commitments under the Existing Credit Agreement with new revolving commitments under the Credit Agreement in an aggregate principal amount of $630 million (the "New Revolving Facility" and, together with the New Term Loans, the "Credit Facilities"). The maturity date of the New Revolving Facility is January 30, 2030. The New Revolving Facility, when drawn, will bear interest at a rate equal to the applicable benchmark plus an applicable margin that varies based on the Company's leverage ratio. The applicable margin for revolving borrowings ranges from 2.25% to 1.75% per annum in the case of Term Benchmark Loans and 1.25% to 0.75% per annum in the case of ABR Loans. In addition to paying interest on outstanding borrowings under the New Revolving Facility, the Company must also pay a quarterly commitment fee based on the average daily unused portion of the New Revolving Facility during such quarter, which is determined by its leverage ratio and ranges from 0.25% to 0.50% per annum.</w:t>
      </w:r>
    </w:p>
    <w:p>
      <w:pPr>
        <w:spacing w:after="0" w:line="11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The Credit Agreement contains certain affirmative and negative covenants customary for financings of this type. The Credit Agreement also contains certain customary events of default. The New Revolving Facility is subject to a financial covenant requiring the maintenance of a consolidated total leverage ratio of not greater than 4.7 to 1.00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New Revolving Facility exceeds 35% of the aggregate commitments in effect thereunder on such date. The Credit Facilities are secured on a first-priority basis by: (1) a perfected security interest in the equity interests of each direct material subsidiary of each guarantor under the Credit Facilities and (ii) perfected security interests in, and mortgages on, substantially all tangible and intangible personal property and material real property of each of the guarantors under the Credit Facilities, subject, in each case, to certain exceptions and limitations, including the agreed guaranty and security principles.</w:t>
      </w: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4"/>
          <w:szCs w:val="14"/>
          <w:color w:val="auto"/>
        </w:rPr>
        <w:t>As of March 31, 2025, the Company was in compliance with all covenants under the 2032 Senior Notes indenture and Credit Agreement.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March 31, 2025 and December 31, 2024 are as follows: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Due</w:t>
            </w:r>
          </w:p>
        </w:tc>
        <w:tc>
          <w:tcPr>
            <w:tcW w:w="80" w:type="dxa"/>
            <w:vAlign w:val="bottom"/>
            <w:vMerge w:val="restart"/>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vMerge w:val="restart"/>
          </w:tcPr>
          <w:p>
            <w:pPr>
              <w:spacing w:after="0"/>
              <w:rPr>
                <w:sz w:val="11"/>
                <w:szCs w:val="1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300" w:type="dxa"/>
            <w:vAlign w:val="bottom"/>
            <w:tcBorders>
              <w:bottom w:val="single" w:sz="8" w:color="CCEEFF"/>
            </w:tcBorders>
          </w:tcPr>
          <w:p>
            <w:pPr>
              <w:spacing w:after="0"/>
              <w:rPr>
                <w:sz w:val="13"/>
                <w:szCs w:val="13"/>
                <w:color w:val="auto"/>
              </w:rPr>
            </w:pPr>
          </w:p>
        </w:tc>
        <w:tc>
          <w:tcPr>
            <w:tcW w:w="37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7"/>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SOFR plus 275 bps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1/30/2032</w:t>
            </w:r>
          </w:p>
        </w:tc>
        <w:tc>
          <w:tcPr>
            <w:tcW w:w="80" w:type="dxa"/>
            <w:vAlign w:val="bottom"/>
          </w:tcPr>
          <w:p>
            <w:pPr>
              <w:spacing w:after="0"/>
              <w:rPr>
                <w:sz w:val="17"/>
                <w:szCs w:val="17"/>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SOFR plus 225 bps</w:t>
            </w:r>
          </w:p>
        </w:tc>
        <w:tc>
          <w:tcPr>
            <w:tcW w:w="1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2032</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5/31/2032</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0" w:type="dxa"/>
            <w:vAlign w:val="bottom"/>
          </w:tcPr>
          <w:p>
            <w:pPr>
              <w:spacing w:after="0"/>
              <w:rPr>
                <w:sz w:val="1"/>
                <w:szCs w:val="1"/>
                <w:color w:val="auto"/>
              </w:rPr>
            </w:pPr>
          </w:p>
        </w:tc>
      </w:tr>
      <w:tr>
        <w:trPr>
          <w:trHeight w:val="19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9"/>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19"/>
        <w:spacing w:after="0" w:line="289" w:lineRule="auto"/>
        <w:rPr>
          <w:sz w:val="20"/>
          <w:szCs w:val="20"/>
          <w:color w:val="auto"/>
        </w:rPr>
      </w:pPr>
      <w:r>
        <w:rPr>
          <w:rFonts w:ascii="Times New Roman" w:cs="Times New Roman" w:eastAsia="Times New Roman" w:hAnsi="Times New Roman"/>
          <w:sz w:val="14"/>
          <w:szCs w:val="14"/>
          <w:color w:val="auto"/>
        </w:rPr>
        <w:t>Separate from the Revolving Facility, the Company has a bilateral letter of credit facility with outstanding letters of credit in the amount of $9 million and $8 million at March 31, 2025 and December 31, 2024, respectively. The letters of credit typically support customs arrangements and other obligations at our local affiliates.</w:t>
      </w:r>
    </w:p>
    <w:p>
      <w:pPr>
        <w:sectPr>
          <w:pgSz w:w="11900" w:h="16838" w:orient="portrait"/>
          <w:cols w:equalWidth="0" w:num="1">
            <w:col w:w="11360"/>
          </w:cols>
          <w:pgMar w:left="300" w:top="902" w:right="239" w:bottom="1440" w:gutter="0" w:footer="0" w:header="0"/>
        </w:sectPr>
      </w:pP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scheduled principal repayments of long-term debt as of March 31, 2025 are as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407670</wp:posOffset>
            </wp:positionV>
            <wp:extent cx="6518910"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8910" cy="13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2025</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15240</wp:posOffset>
            </wp:positionV>
            <wp:extent cx="6518910"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8910" cy="128270"/>
                    </a:xfrm>
                    <a:prstGeom prst="rect">
                      <a:avLst/>
                    </a:prstGeom>
                    <a:noFill/>
                  </pic:spPr>
                </pic:pic>
              </a:graphicData>
            </a:graphic>
          </wp:anchor>
        </w:drawing>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2027</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15240</wp:posOffset>
            </wp:positionV>
            <wp:extent cx="651891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8910" cy="128270"/>
                    </a:xfrm>
                    <a:prstGeom prst="rect">
                      <a:avLst/>
                    </a:prstGeom>
                    <a:noFill/>
                  </pic:spPr>
                </pic:pic>
              </a:graphicData>
            </a:graphic>
          </wp:anchor>
        </w:drawing>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2029</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15240</wp:posOffset>
            </wp:positionV>
            <wp:extent cx="6518910" cy="148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8910" cy="148590"/>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debt payments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1"/>
                <w:szCs w:val="11"/>
                <w:color w:val="auto"/>
              </w:rPr>
            </w:pPr>
          </w:p>
        </w:tc>
        <w:tc>
          <w:tcPr>
            <w:tcW w:w="1820" w:type="dxa"/>
            <w:vAlign w:val="bottom"/>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54"/>
        </w:trPr>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7"/>
        </w:trPr>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(Dollars in millions)</w:t>
            </w:r>
          </w:p>
        </w:tc>
      </w:tr>
      <w:tr>
        <w:trPr>
          <w:trHeight w:val="191"/>
        </w:trPr>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2"/>
        </w:trPr>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2"/>
        </w:trPr>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8"/>
        </w:trPr>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w:t>
            </w:r>
          </w:p>
        </w:tc>
      </w:tr>
      <w:tr>
        <w:trPr>
          <w:trHeight w:val="193"/>
        </w:trPr>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007" w:lineRule="exact"/>
        <w:rPr>
          <w:sz w:val="20"/>
          <w:szCs w:val="20"/>
          <w:color w:val="auto"/>
        </w:rPr>
      </w:pPr>
    </w:p>
    <w:p>
      <w:pPr>
        <w:sectPr>
          <w:pgSz w:w="11900" w:h="16838" w:orient="portrait"/>
          <w:cols w:equalWidth="0" w:num="2">
            <w:col w:w="7700" w:space="720"/>
            <w:col w:w="2940"/>
          </w:cols>
          <w:pgMar w:left="300" w:top="902" w:right="239" w:bottom="1440" w:gutter="0" w:footer="0" w:header="0"/>
          <w:type w:val="continuous"/>
        </w:sect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On December 5, 2024, the Board of Directors declared a cash dividend of $0.06 per share of Common Stock, payable on January 31, 2025, to shareholders of record as of January 15, 2025. The total amount of dividends paid on January 31, 2025 amounted to $12 million.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52" w:lineRule="exact"/>
        <w:rPr>
          <w:sz w:val="20"/>
          <w:szCs w:val="20"/>
          <w:color w:val="auto"/>
        </w:rPr>
      </w:pPr>
    </w:p>
    <w:p>
      <w:pPr>
        <w:jc w:val="both"/>
        <w:ind w:right="80" w:firstLine="307"/>
        <w:spacing w:after="0" w:line="265" w:lineRule="auto"/>
        <w:rPr>
          <w:sz w:val="20"/>
          <w:szCs w:val="20"/>
          <w:color w:val="auto"/>
        </w:rPr>
      </w:pPr>
      <w:r>
        <w:rPr>
          <w:rFonts w:ascii="Times New Roman" w:cs="Times New Roman" w:eastAsia="Times New Roman" w:hAnsi="Times New Roman"/>
          <w:sz w:val="14"/>
          <w:szCs w:val="14"/>
          <w:color w:val="auto"/>
        </w:rPr>
        <w:t>Treasury stock represents shares of the Company's Common Stock that have been issued and subsequently repurchased by the Company or withheld to satisfy withholding tax obligations in connection with the vesting of equity awards, and that have not been retired or cancelled. The Company accounts for treasury stock under the cost method and includes treasury stock as a component of Equity (Deficit) on the Consolidated Interim Balance Sheet. The Company accounts for the reissuance of treasury stock using the average cost method. The Company did not reissue or retire any shares of treasury stock during the three months ended March 31,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6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On December 4, 2024, the Board of Directors authorized a $250 million share repurchase program valid January 1, 2025 until December 31, 2025. The Company may repurchase shares from time to time under the program through various</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02" w:right="239" w:bottom="1440" w:gutter="0" w:footer="0" w:header="0"/>
          <w:type w:val="continuous"/>
        </w:sectPr>
      </w:pPr>
    </w:p>
    <w:bookmarkStart w:id="16" w:name="page17"/>
    <w:bookmarkEnd w:id="16"/>
    <w:p>
      <w:pPr>
        <w:jc w:val="both"/>
        <w:spacing w:after="0" w:line="265" w:lineRule="auto"/>
        <w:rPr>
          <w:sz w:val="20"/>
          <w:szCs w:val="20"/>
          <w:color w:val="auto"/>
        </w:rPr>
      </w:pPr>
      <w:r>
        <w:rPr>
          <w:rFonts w:ascii="Times New Roman" w:cs="Times New Roman" w:eastAsia="Times New Roman" w:hAnsi="Times New Roman"/>
          <w:sz w:val="14"/>
          <w:szCs w:val="14"/>
          <w:color w:val="auto"/>
        </w:rPr>
        <w:t>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During the three months ended March 31, 2025, the Company repurchased $30 million of Common Stock, and had $220 million remaining under the share repurchase program as of that date. The repurchased shares are held as treasury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Financial Instruments and Fair Value Measures</w:t>
      </w:r>
    </w:p>
    <w:p>
      <w:pPr>
        <w:spacing w:after="0" w:line="14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Our credit, market, and foreign currency risk management policies are described in Note 19, </w:t>
      </w:r>
      <w:r>
        <w:rPr>
          <w:rFonts w:ascii="Times New Roman" w:cs="Times New Roman" w:eastAsia="Times New Roman" w:hAnsi="Times New Roman"/>
          <w:sz w:val="14"/>
          <w:szCs w:val="14"/>
          <w:i w:val="1"/>
          <w:iCs w:val="1"/>
          <w:color w:val="auto"/>
        </w:rPr>
        <w:t>Financial Instruments and Fair Value Measures</w:t>
      </w:r>
      <w:r>
        <w:rPr>
          <w:rFonts w:ascii="Times New Roman" w:cs="Times New Roman" w:eastAsia="Times New Roman" w:hAnsi="Times New Roman"/>
          <w:sz w:val="14"/>
          <w:szCs w:val="14"/>
          <w:color w:val="auto"/>
        </w:rPr>
        <w:t>, to the Consolidated Financial Statements for the year ended December 31, 2024 included in our 2024 Form 10-K. As of March 31, 2025 and December 31, 2024, we had contracts with aggregate gross notional amounts of $1,003 million and $928 million, respectively, to hedge foreign currencies, principally the U.S. Dollar, Swiss Franc, British Pound, Euro, Chinese Yuan, Japanese Yen, Mexican Peso, New Romanian Leu, Czech Koruna, Australian Dollar, and Korean Won.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1320" w:type="dxa"/>
            <w:vAlign w:val="bottom"/>
            <w:gridSpan w:val="3"/>
          </w:tcPr>
          <w:p>
            <w:pPr>
              <w:ind w:left="380"/>
              <w:spacing w:after="0" w:line="109"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Pr>
          <w:p>
            <w:pPr>
              <w:spacing w:after="0"/>
              <w:rPr>
                <w:sz w:val="9"/>
                <w:szCs w:val="9"/>
                <w:color w:val="auto"/>
              </w:rPr>
            </w:pPr>
          </w:p>
        </w:tc>
        <w:tc>
          <w:tcPr>
            <w:tcW w:w="1100" w:type="dxa"/>
            <w:vAlign w:val="bottom"/>
            <w:gridSpan w:val="2"/>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9"/>
                <w:szCs w:val="9"/>
                <w:color w:val="auto"/>
              </w:rPr>
            </w:pP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9"/>
                <w:szCs w:val="9"/>
                <w:color w:val="auto"/>
              </w:rPr>
            </w:pPr>
          </w:p>
        </w:tc>
        <w:tc>
          <w:tcPr>
            <w:tcW w:w="112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Designated instruments:</w:t>
            </w:r>
          </w:p>
        </w:tc>
        <w:tc>
          <w:tcPr>
            <w:tcW w:w="8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forward currency exchange contracts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(a)    </w:t>
            </w: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0"/>
                <w:szCs w:val="10"/>
                <w:color w:val="auto"/>
                <w:w w:val="89"/>
              </w:rPr>
              <w:t>(c)</w:t>
            </w: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cross-currency swaps</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9"/>
                <w:szCs w:val="9"/>
                <w:color w:val="auto"/>
              </w:rPr>
              <w:t>(d)</w:t>
            </w: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interest-rate swaps</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designated instruments</w:t>
            </w:r>
          </w:p>
        </w:tc>
        <w:tc>
          <w:tcPr>
            <w:tcW w:w="8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Undesignated instruments:</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Undesignated interest rate swaps</w:t>
            </w:r>
          </w:p>
        </w:tc>
        <w:tc>
          <w:tcPr>
            <w:tcW w:w="8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0"/>
                <w:szCs w:val="10"/>
                <w:color w:val="auto"/>
                <w:w w:val="85"/>
              </w:rPr>
              <w:t>(d)</w:t>
            </w:r>
          </w:p>
        </w:tc>
        <w:tc>
          <w:tcPr>
            <w:tcW w:w="0" w:type="dxa"/>
            <w:vAlign w:val="bottom"/>
          </w:tcPr>
          <w:p>
            <w:pPr>
              <w:spacing w:after="0"/>
              <w:rPr>
                <w:sz w:val="1"/>
                <w:szCs w:val="1"/>
                <w:color w:val="auto"/>
              </w:rPr>
            </w:pPr>
          </w:p>
        </w:tc>
      </w:tr>
      <w:tr>
        <w:trPr>
          <w:trHeight w:val="145"/>
        </w:trPr>
        <w:tc>
          <w:tcPr>
            <w:tcW w:w="2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Undesignated forward currency exchange</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0"/>
                <w:szCs w:val="10"/>
                <w:color w:val="auto"/>
                <w:w w:val="89"/>
              </w:rPr>
              <w:t>(c)</w:t>
            </w:r>
          </w:p>
        </w:tc>
        <w:tc>
          <w:tcPr>
            <w:tcW w:w="0" w:type="dxa"/>
            <w:vAlign w:val="bottom"/>
          </w:tcPr>
          <w:p>
            <w:pPr>
              <w:spacing w:after="0"/>
              <w:rPr>
                <w:sz w:val="1"/>
                <w:szCs w:val="1"/>
                <w:color w:val="auto"/>
              </w:rPr>
            </w:pPr>
          </w:p>
        </w:tc>
      </w:tr>
      <w:tr>
        <w:trPr>
          <w:trHeight w:val="17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undesignated instruments</w:t>
            </w:r>
          </w:p>
        </w:tc>
        <w:tc>
          <w:tcPr>
            <w:tcW w:w="8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designated and undesignated instruments</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Recorded within Other current assets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 Recorded within Other assets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 Recorded within Accrued liabilities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 Recorded within Other liabilities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The Company also entered into a float-to-fixed cross-currency swap contract comprised of an amortizing swap with an aggregate notional amount of €280 million ($300 million) and notional exchanges in June 2026, June 2027, and June 2028. The interest rate swap and cross-currency swap contracts were early settled in the second quarter of 2024.</w:t>
      </w: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7" w:name="page18"/>
    <w:bookmarkEnd w:id="17"/>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2025, the Company entered into float-to-fixed interest rate swap contracts with an aggregate notional amount of $675 million and maturities in January 2027, January 2028, January 2029, January 2030 and January 2031. Changes in the fair value of the interest rate swap contracts are recorded in Accumulated Other Comprehensive Income ("AOCI") and will be reclassified to Interest expense in the Consolidated Interim Statement of Operations upon maturity.</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$540 million and $331 million as of March 31, 2025 and December 31, 2024, respectively. These forward currency exchange contracts have been designated as cash flow hedges to mitigate foreign currency exposures primarily on our inventory purchases and manufacturing costs. The gains and losses on the forward currency exchange contracts are recorded in AOCI and reclassified to Cost of goods sold in the Consolidated Interim Statement of Operations when the underlying transactions are recognized in earnings.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order to mitigate foreign currency risk on its 2032 Senior Notes, the Company entered into fixed-to-fixed cross-currency swap contracts with an aggregate notional amount of €507 million ($550 million) and notional exchanges occurring in May 2027, May 2028, May 2029, and May 2030. Changes in the fair value of the cross-currency swap contracts are recognized in AOCI and reclassified to Non-operating (income) expense in the Consolidated Interim Statement of Operations, based upon changes in the spot rate remeasurement of the underlying debt. The net interest settlements on the cross-currency swap contracts are recorded in Interest expense in the Consolidated Interim Statements of Operations.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All of the Company's cash flow hedges are assessed as highly effective.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designated cross-currency swaps with aggregate notional amounts of €1,508 million ($1,640 million) and €858 million ($965 million) as of March 31, 2025 and December 31, 2024, respectively, as net investment hedges of its Euro-denominated operations. Changes in the fair value of the net investment hedges are recorded in AOCI until the net investment is liquidated or sold. The fair values of the net investment hedges were net assets of $22 million and $70 million as of March 31, 2025 and December 31, 2024, respectively. No ineffectiveness has been recorded on the net investment hedges.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the Company had outstanding float-to-fixed interest rate swap contracts with an aggregate notional amount of €450 million ($470 million) and maturities of April 2025, April 2026, April 2027, and April 2028. Changes in the fair value of the undesignated interest rate swap contracts are recorded in Interest expense in the Consolidated Interim Statements of Operations. These interest rate swap contracts were early settled in 2025.</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$463 million and $597 million as of March 31, 2025 and December 31, 2024, respectively. Changes in the fair value of the forward currency exchange contracts are recorded in Non-operating (income) expense in the Consolidated Interim Statements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 of Derivatives on the Statements of Operations and Statements of Comprehensive Income (Loss)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the pretax impact that changes in the fair values of derivatives designated as cash flow hedges and net investment hedges had on OCI, AOCI and earnings: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20" w:type="dxa"/>
            <w:vAlign w:val="bottom"/>
          </w:tcPr>
          <w:p>
            <w:pPr>
              <w:spacing w:after="0"/>
              <w:rPr>
                <w:sz w:val="9"/>
                <w:szCs w:val="9"/>
                <w:color w:val="auto"/>
              </w:rPr>
            </w:pPr>
          </w:p>
        </w:tc>
        <w:tc>
          <w:tcPr>
            <w:tcW w:w="15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Non-operating income</w:t>
            </w:r>
          </w:p>
        </w:tc>
        <w:tc>
          <w:tcPr>
            <w:tcW w:w="1240" w:type="dxa"/>
            <w:vAlign w:val="bottom"/>
          </w:tcPr>
          <w:p>
            <w:pPr>
              <w:jc w:val="center"/>
              <w:ind w:right="55"/>
              <w:spacing w:after="0" w:line="109"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0" w:type="dxa"/>
            <w:vAlign w:val="bottom"/>
          </w:tcPr>
          <w:p>
            <w:pPr>
              <w:spacing w:after="0"/>
              <w:rPr>
                <w:sz w:val="1"/>
                <w:szCs w:val="1"/>
                <w:color w:val="auto"/>
              </w:rPr>
            </w:pPr>
          </w:p>
        </w:tc>
      </w:tr>
      <w:tr>
        <w:trPr>
          <w:trHeight w:val="153"/>
        </w:trPr>
        <w:tc>
          <w:tcPr>
            <w:tcW w:w="5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240" w:type="dxa"/>
            <w:vAlign w:val="bottom"/>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0" w:type="dxa"/>
            <w:vAlign w:val="bottom"/>
          </w:tcPr>
          <w:p>
            <w:pPr>
              <w:spacing w:after="0"/>
              <w:rPr>
                <w:sz w:val="1"/>
                <w:szCs w:val="1"/>
                <w:color w:val="auto"/>
              </w:rPr>
            </w:pPr>
          </w:p>
        </w:tc>
      </w:tr>
      <w:tr>
        <w:trPr>
          <w:trHeight w:val="165"/>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(loss) recognized in other comprehensive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Pr>
          <w:p>
            <w:pPr>
              <w:jc w:val="center"/>
              <w:ind w:left="915"/>
              <w:spacing w:after="0"/>
              <w:rPr>
                <w:sz w:val="20"/>
                <w:szCs w:val="20"/>
                <w:color w:val="auto"/>
              </w:rPr>
            </w:pPr>
            <w:r>
              <w:rPr>
                <w:rFonts w:ascii="Times New Roman" w:cs="Times New Roman" w:eastAsia="Times New Roman" w:hAnsi="Times New Roman"/>
                <w:sz w:val="14"/>
                <w:szCs w:val="14"/>
                <w:color w:val="auto"/>
                <w:w w:val="99"/>
              </w:rPr>
              <w:t>17</w:t>
            </w: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reclassified from AOCI to income</w:t>
            </w:r>
          </w:p>
        </w:tc>
        <w:tc>
          <w:tcPr>
            <w:tcW w:w="120" w:type="dxa"/>
            <w:vAlign w:val="bottom"/>
            <w:shd w:val="clear" w:color="auto" w:fill="CCEEFF"/>
          </w:tcPr>
          <w:p>
            <w:pPr>
              <w:spacing w:after="0"/>
              <w:rPr>
                <w:sz w:val="15"/>
                <w:szCs w:val="15"/>
                <w:color w:val="auto"/>
              </w:rPr>
            </w:pPr>
          </w:p>
        </w:tc>
        <w:tc>
          <w:tcPr>
            <w:tcW w:w="152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center"/>
              <w:ind w:left="915"/>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hedges</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recognized in other comprehensive income</w:t>
            </w:r>
          </w:p>
        </w:tc>
        <w:tc>
          <w:tcPr>
            <w:tcW w:w="120" w:type="dxa"/>
            <w:vAlign w:val="bottom"/>
            <w:shd w:val="clear" w:color="auto" w:fill="CCEEFF"/>
          </w:tcPr>
          <w:p>
            <w:pPr>
              <w:spacing w:after="0"/>
              <w:rPr>
                <w:sz w:val="15"/>
                <w:szCs w:val="15"/>
                <w:color w:val="auto"/>
              </w:rPr>
            </w:pPr>
          </w:p>
        </w:tc>
        <w:tc>
          <w:tcPr>
            <w:tcW w:w="152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center"/>
              <w:ind w:left="895"/>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521"/>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35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3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Non-operating income</w:t>
            </w:r>
          </w:p>
        </w:tc>
        <w:tc>
          <w:tcPr>
            <w:tcW w:w="120" w:type="dxa"/>
            <w:vAlign w:val="bottom"/>
          </w:tcPr>
          <w:p>
            <w:pPr>
              <w:spacing w:after="0"/>
              <w:rPr>
                <w:sz w:val="9"/>
                <w:szCs w:val="9"/>
                <w:color w:val="auto"/>
              </w:rPr>
            </w:pPr>
          </w:p>
        </w:tc>
        <w:tc>
          <w:tcPr>
            <w:tcW w:w="1240" w:type="dxa"/>
            <w:vAlign w:val="bottom"/>
          </w:tcPr>
          <w:p>
            <w:pPr>
              <w:jc w:val="center"/>
              <w:ind w:right="54"/>
              <w:spacing w:after="0" w:line="109"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0" w:type="dxa"/>
            <w:vAlign w:val="bottom"/>
          </w:tcPr>
          <w:p>
            <w:pPr>
              <w:spacing w:after="0"/>
              <w:rPr>
                <w:sz w:val="1"/>
                <w:szCs w:val="1"/>
                <w:color w:val="auto"/>
              </w:rPr>
            </w:pPr>
          </w:p>
        </w:tc>
      </w:tr>
      <w:tr>
        <w:trPr>
          <w:trHeight w:val="153"/>
        </w:trPr>
        <w:tc>
          <w:tcPr>
            <w:tcW w:w="356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0" w:type="dxa"/>
            <w:vAlign w:val="bottom"/>
          </w:tcPr>
          <w:p>
            <w:pPr>
              <w:spacing w:after="0"/>
              <w:rPr>
                <w:sz w:val="1"/>
                <w:szCs w:val="1"/>
                <w:color w:val="auto"/>
              </w:rPr>
            </w:pPr>
          </w:p>
        </w:tc>
      </w:tr>
      <w:tr>
        <w:trPr>
          <w:trHeight w:val="16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0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(loss) recognized in other comprehensive income</w:t>
            </w:r>
          </w:p>
        </w:tc>
        <w:tc>
          <w:tcPr>
            <w:tcW w:w="20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reclassified from AOCI to income</w:t>
            </w:r>
          </w:p>
        </w:tc>
        <w:tc>
          <w:tcPr>
            <w:tcW w:w="2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hedges</w:t>
            </w: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recognized in other comprehensive income</w:t>
            </w:r>
          </w:p>
        </w:tc>
        <w:tc>
          <w:tcPr>
            <w:tcW w:w="2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383"/>
        </w:trPr>
        <w:tc>
          <w:tcPr>
            <w:tcW w:w="9920" w:type="dxa"/>
            <w:vAlign w:val="bottom"/>
            <w:gridSpan w:val="11"/>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pretax gain (loss) that changes in the fair values of derivatives not designated as hedging instruments had on earnings: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50"/>
        </w:trPr>
        <w:tc>
          <w:tcPr>
            <w:tcW w:w="35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3560" w:type="dxa"/>
            <w:vAlign w:val="bottom"/>
          </w:tcPr>
          <w:p>
            <w:pPr>
              <w:ind w:left="1540"/>
              <w:spacing w:after="0"/>
              <w:rPr>
                <w:sz w:val="20"/>
                <w:szCs w:val="20"/>
                <w:color w:val="auto"/>
              </w:rPr>
            </w:pPr>
            <w:r>
              <w:rPr>
                <w:rFonts w:ascii="Times New Roman" w:cs="Times New Roman" w:eastAsia="Times New Roman" w:hAnsi="Times New Roman"/>
                <w:sz w:val="13"/>
                <w:szCs w:val="13"/>
                <w:color w:val="auto"/>
              </w:rPr>
              <w:t>Contract Type</w:t>
            </w: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Location</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4"/>
          </w:tcPr>
          <w:p>
            <w:pPr>
              <w:jc w:val="right"/>
              <w:ind w:right="85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currency exchange contracts</w:t>
            </w:r>
          </w:p>
        </w:tc>
        <w:tc>
          <w:tcPr>
            <w:tcW w:w="2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Non-operating income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Interim Balance Sheet approximates fair value.</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696"/>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00" w:type="dxa"/>
            <w:vAlign w:val="bottom"/>
            <w:tcBorders>
              <w:bottom w:val="single" w:sz="8" w:color="auto"/>
            </w:tcBorders>
          </w:tcPr>
          <w:p>
            <w:pPr>
              <w:spacing w:after="0"/>
              <w:rPr>
                <w:sz w:val="13"/>
                <w:szCs w:val="13"/>
                <w:color w:val="auto"/>
              </w:rPr>
            </w:pPr>
          </w:p>
        </w:tc>
      </w:tr>
      <w:tr>
        <w:trPr>
          <w:trHeight w:val="161"/>
        </w:trPr>
        <w:tc>
          <w:tcPr>
            <w:tcW w:w="47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1"/>
        </w:trPr>
        <w:tc>
          <w:tcPr>
            <w:tcW w:w="4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20" w:type="dxa"/>
            <w:vAlign w:val="bottom"/>
            <w:gridSpan w:val="3"/>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61"/>
        </w:trPr>
        <w:tc>
          <w:tcPr>
            <w:tcW w:w="4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678</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680</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02"/>
        </w:trPr>
        <w:tc>
          <w:tcPr>
            <w:tcW w:w="4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2032 Senior Notes</w:t>
            </w:r>
          </w:p>
        </w:tc>
        <w:tc>
          <w:tcPr>
            <w:tcW w:w="1200" w:type="dxa"/>
            <w:vAlign w:val="bottom"/>
          </w:tcPr>
          <w:p>
            <w:pPr>
              <w:spacing w:after="0"/>
              <w:rPr>
                <w:sz w:val="17"/>
                <w:szCs w:val="17"/>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790</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790</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r>
    </w:tbl>
    <w:p>
      <w:pPr>
        <w:spacing w:after="0" w:line="2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determined the fair value of its Term Loan Facilities and related current maturities utilizing transactions in the listed markets for similar liabilities. As such, the fair value of the Term Loan Facilities and related current maturities is considered Level 2. The fair value of the 2032 Senior Notes was determined using quoted prices from exchange traded markets and is classified as a Level 1 measurement.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Accumulated Other Comprehensive Income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set forth below:</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19" w:name="page20"/>
    <w:bookmarkEnd w:id="19"/>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4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60" w:type="dxa"/>
            <w:vAlign w:val="bottom"/>
          </w:tcPr>
          <w:p>
            <w:pPr>
              <w:spacing w:after="0"/>
              <w:rPr>
                <w:sz w:val="13"/>
                <w:szCs w:val="13"/>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1"/>
        </w:trPr>
        <w:tc>
          <w:tcPr>
            <w:tcW w:w="8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1"/>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38"/>
        </w:trPr>
        <w:tc>
          <w:tcPr>
            <w:tcW w:w="84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 comprehensive income (loss) before</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1"/>
        </w:trPr>
        <w:tc>
          <w:tcPr>
            <w:tcW w:w="8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reclassifications</w:t>
            </w:r>
          </w:p>
        </w:tc>
        <w:tc>
          <w:tcPr>
            <w:tcW w:w="86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4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3"/>
        </w:trPr>
        <w:tc>
          <w:tcPr>
            <w:tcW w:w="8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8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1"/>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8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38"/>
        </w:trPr>
        <w:tc>
          <w:tcPr>
            <w:tcW w:w="84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 comprehensive income (loss) before</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1"/>
        </w:trPr>
        <w:tc>
          <w:tcPr>
            <w:tcW w:w="8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reclassifications</w:t>
            </w:r>
          </w:p>
        </w:tc>
        <w:tc>
          <w:tcPr>
            <w:tcW w:w="86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4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13"/>
        </w:trPr>
        <w:tc>
          <w:tcPr>
            <w:tcW w:w="8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8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38"/>
        </w:trPr>
        <w:tc>
          <w:tcPr>
            <w:tcW w:w="84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 comprehensive income (loss) before</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1"/>
        </w:trPr>
        <w:tc>
          <w:tcPr>
            <w:tcW w:w="8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taxes associated with reclassifications from AOCI</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8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8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1"/>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38"/>
        </w:trPr>
        <w:tc>
          <w:tcPr>
            <w:tcW w:w="84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 comprehensive income (loss) before</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1"/>
        </w:trPr>
        <w:tc>
          <w:tcPr>
            <w:tcW w:w="8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reclassifications</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13"/>
        </w:trPr>
        <w:tc>
          <w:tcPr>
            <w:tcW w:w="8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end of period</w:t>
            </w: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color w:val="auto"/>
        </w:rPr>
        <w:t>Reclassifications from AOCI to income were as follows:</w:t>
      </w:r>
    </w:p>
    <w:p>
      <w:pPr>
        <w:spacing w:after="0" w:line="37"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5"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4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60" w:type="dxa"/>
            <w:vAlign w:val="bottom"/>
          </w:tcPr>
          <w:p>
            <w:pPr>
              <w:spacing w:after="0"/>
              <w:rPr>
                <w:sz w:val="13"/>
                <w:szCs w:val="13"/>
                <w:color w:val="auto"/>
              </w:rPr>
            </w:pPr>
          </w:p>
        </w:tc>
      </w:tr>
      <w:tr>
        <w:trPr>
          <w:trHeight w:val="18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forward currency exchange contracts to Cost of goods sold</w:t>
            </w: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7"/>
              </w:rPr>
              <w:t>(2)</w:t>
            </w:r>
          </w:p>
        </w:tc>
      </w:tr>
      <w:tr>
        <w:trPr>
          <w:trHeight w:val="18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tc>
        <w:tc>
          <w:tcPr>
            <w:tcW w:w="8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7"/>
              </w:rPr>
              <w:t>(2)</w:t>
            </w:r>
          </w:p>
        </w:tc>
      </w:tr>
      <w:tr>
        <w:trPr>
          <w:trHeight w:val="18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cross-currency swaps to Non-operating (income) expense</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7"/>
              </w:rPr>
              <w:t>(7)</w:t>
            </w:r>
          </w:p>
        </w:tc>
      </w:tr>
      <w:tr>
        <w:trPr>
          <w:trHeight w:val="18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left="611"/>
              <w:spacing w:after="0"/>
              <w:rPr>
                <w:sz w:val="20"/>
                <w:szCs w:val="20"/>
                <w:color w:val="auto"/>
              </w:rPr>
            </w:pPr>
            <w:r>
              <w:rPr>
                <w:rFonts w:ascii="Times New Roman" w:cs="Times New Roman" w:eastAsia="Times New Roman" w:hAnsi="Times New Roman"/>
                <w:sz w:val="14"/>
                <w:szCs w:val="14"/>
                <w:color w:val="auto"/>
                <w:w w:val="85"/>
              </w:rPr>
              <w:t>2</w:t>
            </w:r>
          </w:p>
        </w:tc>
      </w:tr>
      <w:tr>
        <w:trPr>
          <w:trHeight w:val="193"/>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7"/>
              </w:rPr>
              <w:t>(9)</w:t>
            </w:r>
          </w:p>
        </w:tc>
      </w:tr>
      <w:tr>
        <w:trPr>
          <w:trHeight w:val="213"/>
        </w:trPr>
        <w:tc>
          <w:tcPr>
            <w:tcW w:w="84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r>
      <w:tr>
        <w:trPr>
          <w:trHeight w:val="172"/>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w:t>
            </w:r>
          </w:p>
        </w:tc>
        <w:tc>
          <w:tcPr>
            <w:tcW w:w="8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4"/>
                <w:szCs w:val="14"/>
                <w:color w:val="auto"/>
                <w:w w:val="97"/>
              </w:rPr>
              <w:t>(9)</w:t>
            </w:r>
          </w:p>
        </w:tc>
      </w:tr>
      <w:tr>
        <w:trPr>
          <w:trHeight w:val="20"/>
        </w:trPr>
        <w:tc>
          <w:tcPr>
            <w:tcW w:w="8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Earnings Per Share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Basic earnings per share ("EPS") is computed using the weighted-average number of common shares outstanding during the period.</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Diluted earnings per share is calculated based on the weighted-average number of common shares outstanding for the period plus the dilutive effect of common stock equivalents using the treasury stock method.</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details of the EPS calculations for the three months ended March 31, 2025 and 2024 are as follows:</w:t>
      </w:r>
    </w:p>
    <w:p>
      <w:pPr>
        <w:spacing w:after="0" w:line="133"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80" w:type="dxa"/>
            <w:vAlign w:val="bottom"/>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205,113,600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236,664,129</w:t>
            </w:r>
          </w:p>
        </w:tc>
      </w:tr>
      <w:tr>
        <w:trPr>
          <w:trHeight w:val="199"/>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4"/>
        </w:trPr>
        <w:tc>
          <w:tcPr>
            <w:tcW w:w="8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205,113,600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236,664,129</w:t>
            </w:r>
          </w:p>
        </w:tc>
      </w:tr>
      <w:tr>
        <w:trPr>
          <w:trHeight w:val="20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2,457,411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2,327,757</w:t>
            </w: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207,571,011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238,991,886</w:t>
            </w:r>
          </w:p>
        </w:tc>
      </w:tr>
      <w:tr>
        <w:trPr>
          <w:trHeight w:val="18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Commitments and Contingencies</w:t>
      </w:r>
    </w:p>
    <w:p>
      <w:pPr>
        <w:spacing w:after="0" w:line="16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health and safety, intellectual property, employment, commercial and contractual matters and various other matters. We regularly assess the likelihood of adverse judgments or outcomes in these matters, as well as potential ranges of possible losses based on a careful analysis of each matter. We identify below the individual proceedings where we believe a material loss is reasonably possible or probable, and we accrue for matters when we believe that losses are probable and the amount of the potential loss is reasonably estimable. It is inherently difficult to determine whether a loss is probable or reasonably possible or to estimate the size or range of any potential loss. Accordingly, while we believe that appropriate accruals have been established for losses that are probable and can be reasonably estimated, it is possible that adverse outcomes from such proceedings could exceed the amounts accrued by an amount that could be material to our financial position, results of operations or cash flows.</w:t>
      </w: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between January 2017 and February 2020. The estimated total amount of the loss contingency arising from this matter as of March 31, 2025 was $23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5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1"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5"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top w:val="single" w:sz="8" w:color="auto"/>
              <w:bottom w:val="single" w:sz="8" w:color="auto"/>
            </w:tcBorders>
          </w:tcPr>
          <w:p>
            <w:pPr>
              <w:spacing w:after="0"/>
              <w:rPr>
                <w:sz w:val="13"/>
                <w:szCs w:val="13"/>
                <w:color w:val="auto"/>
              </w:rPr>
            </w:pPr>
          </w:p>
        </w:tc>
      </w:tr>
      <w:tr>
        <w:trPr>
          <w:trHeight w:val="161"/>
        </w:trPr>
        <w:tc>
          <w:tcPr>
            <w:tcW w:w="9040" w:type="dxa"/>
            <w:vAlign w:val="bottom"/>
          </w:tcPr>
          <w:p>
            <w:pPr>
              <w:spacing w:after="0"/>
              <w:rPr>
                <w:sz w:val="13"/>
                <w:szCs w:val="13"/>
                <w:color w:val="auto"/>
              </w:rPr>
            </w:pPr>
          </w:p>
        </w:tc>
        <w:tc>
          <w:tcPr>
            <w:tcW w:w="1940" w:type="dxa"/>
            <w:vAlign w:val="bottom"/>
            <w:gridSpan w:val="4"/>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00" w:type="dxa"/>
            <w:vAlign w:val="bottom"/>
          </w:tcPr>
          <w:p>
            <w:pPr>
              <w:spacing w:after="0"/>
              <w:rPr>
                <w:sz w:val="13"/>
                <w:szCs w:val="13"/>
                <w:color w:val="auto"/>
              </w:rPr>
            </w:pP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beginning of period</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7"/>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period</w:t>
            </w: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8"/>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7"/>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8"/>
        </w:trPr>
        <w:tc>
          <w:tcPr>
            <w:tcW w:w="9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end of period</w:t>
            </w: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Commitments and Contingencies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occurring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Pension Benefits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general funding policy for qualified defined benefit pension plans is to contribute amounts at least sufficient to satisfy regulatory funding standards. We are not required to make any contributions to our U.S. pension plan in 2025. We expect to make contributions of cash and/or marketable securities of approximately $5 million to our non-U.S. pension plans to satisfy regulatory funding standards in 2025, of which less than $1 million has been contributed as of March 31, 2025.</w:t>
      </w: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4"/>
          <w:szCs w:val="14"/>
          <w:color w:val="auto"/>
        </w:rPr>
        <w:t>Net periodic benefit costs for our significant defined benefit plans include the following components:</w:t>
      </w:r>
    </w:p>
    <w:p>
      <w:pPr>
        <w:sectPr>
          <w:pgSz w:w="11900" w:h="16838" w:orient="portrait"/>
          <w:cols w:equalWidth="0" w:num="1">
            <w:col w:w="11280"/>
          </w:cols>
          <w:pgMar w:left="300" w:top="90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537710" cy="13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37710" cy="135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cost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537710"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3771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537710" cy="148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3771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top w:val="single" w:sz="8" w:color="auto"/>
              <w:bottom w:val="single" w:sz="8" w:color="auto"/>
            </w:tcBorders>
          </w:tcPr>
          <w:p>
            <w:pPr>
              <w:spacing w:after="0"/>
              <w:rPr>
                <w:sz w:val="14"/>
                <w:szCs w:val="14"/>
                <w:color w:val="auto"/>
              </w:rPr>
            </w:pPr>
          </w:p>
        </w:tc>
      </w:tr>
      <w:tr>
        <w:trPr>
          <w:trHeight w:val="161"/>
        </w:trPr>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202"/>
        </w:trPr>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8"/>
        </w:trPr>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440" w:space="720"/>
            <w:col w:w="4120"/>
          </w:cols>
          <w:pgMar w:left="300" w:top="902" w:right="319" w:bottom="1440" w:gutter="0" w:footer="0" w:header="0"/>
          <w:type w:val="continuous"/>
        </w:sect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Segments and Concentrations</w:t>
      </w:r>
    </w:p>
    <w:p>
      <w:pPr>
        <w:spacing w:after="0" w:line="1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has identified our CODM as the Chief Executive Officer. The CODM reviews consolidated net income when assessing the Company's performance, allocating resources, and establishing management's compensation. In addition to consolidated net income, the CODM receives discrete information for net sales by product and by geographical location. Consolidated net income is used to monitor budget versus actual results.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our operating segment are the same as those described in the Company's summary of significant accounting policies.</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derives revenues from customers through sales of air and fluid compression and high-speed electric motor technologies for OEMs and distributors within the mobility and industrial space. In addition to consolidated net income, the CODM regularly reviews sales by region and product line.</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Sales concentration </w:t>
      </w:r>
      <w:r>
        <w:rPr>
          <w:rFonts w:ascii="Times New Roman" w:cs="Times New Roman" w:eastAsia="Times New Roman" w:hAnsi="Times New Roman"/>
          <w:sz w:val="14"/>
          <w:szCs w:val="14"/>
          <w:color w:val="auto"/>
        </w:rPr>
        <w:t>- Net sales by region (determined based on country of shipment) and product line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0" w:type="dxa"/>
            <w:vAlign w:val="bottom"/>
          </w:tcPr>
          <w:p>
            <w:pPr>
              <w:spacing w:after="0"/>
              <w:rPr>
                <w:sz w:val="1"/>
                <w:szCs w:val="1"/>
                <w:color w:val="auto"/>
              </w:rPr>
            </w:pPr>
          </w:p>
        </w:tc>
      </w:tr>
      <w:tr>
        <w:trPr>
          <w:trHeight w:val="150"/>
        </w:trPr>
        <w:tc>
          <w:tcPr>
            <w:tcW w:w="3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534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4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Germany</w:t>
            </w:r>
          </w:p>
        </w:tc>
        <w:tc>
          <w:tcPr>
            <w:tcW w:w="4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1"/>
        </w:trPr>
        <w:tc>
          <w:tcPr>
            <w:tcW w:w="3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 of Europe</w:t>
            </w:r>
          </w:p>
        </w:tc>
        <w:tc>
          <w:tcPr>
            <w:tcW w:w="4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4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China</w:t>
            </w:r>
          </w:p>
        </w:tc>
        <w:tc>
          <w:tcPr>
            <w:tcW w:w="4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 of Asia</w:t>
            </w:r>
          </w:p>
        </w:tc>
        <w:tc>
          <w:tcPr>
            <w:tcW w:w="4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4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CCEEFF"/>
            </w:tcBorders>
            <w:shd w:val="clear" w:color="auto" w:fill="CCEEFF"/>
          </w:tcPr>
          <w:p>
            <w:pPr>
              <w:spacing w:after="0"/>
              <w:rPr>
                <w:sz w:val="16"/>
                <w:szCs w:val="16"/>
                <w:color w:val="auto"/>
              </w:rPr>
            </w:pPr>
          </w:p>
        </w:tc>
        <w:tc>
          <w:tcPr>
            <w:tcW w:w="4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jc w:val="right"/>
              <w:ind w:right="1849"/>
              <w:spacing w:after="0"/>
              <w:rPr>
                <w:sz w:val="20"/>
                <w:szCs w:val="20"/>
                <w:color w:val="auto"/>
              </w:rPr>
            </w:pPr>
            <w:r>
              <w:rPr>
                <w:rFonts w:ascii="Times New Roman" w:cs="Times New Roman" w:eastAsia="Times New Roman" w:hAnsi="Times New Roman"/>
                <w:sz w:val="14"/>
                <w:szCs w:val="14"/>
                <w:color w:val="auto"/>
              </w:rPr>
              <w:t>22</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4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420" w:type="dxa"/>
            <w:vAlign w:val="bottom"/>
            <w:tcBorders>
              <w:bottom w:val="single" w:sz="8" w:color="9A9A9A"/>
            </w:tcBorders>
          </w:tcPr>
          <w:p>
            <w:pPr>
              <w:spacing w:after="0"/>
              <w:rPr>
                <w:sz w:val="23"/>
                <w:szCs w:val="23"/>
                <w:color w:val="auto"/>
              </w:rPr>
            </w:pPr>
          </w:p>
        </w:tc>
        <w:tc>
          <w:tcPr>
            <w:tcW w:w="436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59"/>
        </w:trPr>
        <w:tc>
          <w:tcPr>
            <w:tcW w:w="77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0" w:type="dxa"/>
            <w:vAlign w:val="bottom"/>
          </w:tcPr>
          <w:p>
            <w:pPr>
              <w:spacing w:after="0"/>
              <w:rPr>
                <w:sz w:val="1"/>
                <w:szCs w:val="1"/>
                <w:color w:val="auto"/>
              </w:rPr>
            </w:pPr>
          </w:p>
        </w:tc>
      </w:tr>
      <w:tr>
        <w:trPr>
          <w:trHeight w:val="150"/>
        </w:trPr>
        <w:tc>
          <w:tcPr>
            <w:tcW w:w="7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8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9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8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9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9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The table below provides segment information about the Company:</w:t>
            </w: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7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7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7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0" w:type="dxa"/>
            <w:vAlign w:val="bottom"/>
          </w:tcPr>
          <w:p>
            <w:pPr>
              <w:spacing w:after="0"/>
              <w:rPr>
                <w:sz w:val="1"/>
                <w:szCs w:val="1"/>
                <w:color w:val="auto"/>
              </w:rPr>
            </w:pPr>
          </w:p>
        </w:tc>
      </w:tr>
      <w:tr>
        <w:trPr>
          <w:trHeight w:val="150"/>
        </w:trPr>
        <w:tc>
          <w:tcPr>
            <w:tcW w:w="7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8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 costs</w:t>
            </w: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81"/>
        </w:trPr>
        <w:tc>
          <w:tcPr>
            <w:tcW w:w="778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Variable manufacturing costs </w:t>
            </w:r>
            <w:r>
              <w:rPr>
                <w:rFonts w:ascii="Times New Roman" w:cs="Times New Roman" w:eastAsia="Times New Roman" w:hAnsi="Times New Roman"/>
                <w:sz w:val="18"/>
                <w:szCs w:val="18"/>
                <w:color w:val="auto"/>
                <w:vertAlign w:val="superscript"/>
              </w:rPr>
              <w:t>(1)</w:t>
            </w:r>
          </w:p>
        </w:tc>
        <w:tc>
          <w:tcPr>
            <w:tcW w:w="9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1"/>
        </w:trPr>
        <w:tc>
          <w:tcPr>
            <w:tcW w:w="77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Fixed manufacturing costs </w:t>
            </w:r>
            <w:r>
              <w:rPr>
                <w:rFonts w:ascii="Times New Roman" w:cs="Times New Roman" w:eastAsia="Times New Roman" w:hAnsi="Times New Roman"/>
                <w:sz w:val="18"/>
                <w:szCs w:val="18"/>
                <w:color w:val="auto"/>
                <w:vertAlign w:val="superscript"/>
              </w:rPr>
              <w:t>(2)</w:t>
            </w: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1"/>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development and engineering costs</w:t>
            </w:r>
          </w:p>
        </w:tc>
        <w:tc>
          <w:tcPr>
            <w:tcW w:w="9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1"/>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costs</w:t>
            </w: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1"/>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1"/>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1"/>
        </w:trPr>
        <w:tc>
          <w:tcPr>
            <w:tcW w:w="778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(3)</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199"/>
        <w:spacing w:after="0"/>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manufacturing costs include freight, duties, direct and indirect labor costs, repairs and maintenance, repositioning costs and variable overhead costs.</w:t>
      </w:r>
    </w:p>
    <w:p>
      <w:pPr>
        <w:spacing w:after="0" w:line="147" w:lineRule="exact"/>
        <w:rPr>
          <w:rFonts w:ascii="Times New Roman" w:cs="Times New Roman" w:eastAsia="Times New Roman" w:hAnsi="Times New Roman"/>
          <w:sz w:val="14"/>
          <w:szCs w:val="14"/>
          <w:color w:val="auto"/>
        </w:rPr>
      </w:pPr>
    </w:p>
    <w:p>
      <w:pPr>
        <w:ind w:left="460" w:hanging="199"/>
        <w:spacing w:after="0"/>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manufacturing costs include depreciation and amortization, rent, overhead labor costs, utilities and other fixed costs.</w:t>
      </w:r>
    </w:p>
    <w:p>
      <w:pPr>
        <w:spacing w:after="0" w:line="147" w:lineRule="exact"/>
        <w:rPr>
          <w:rFonts w:ascii="Times New Roman" w:cs="Times New Roman" w:eastAsia="Times New Roman" w:hAnsi="Times New Roman"/>
          <w:sz w:val="14"/>
          <w:szCs w:val="14"/>
          <w:color w:val="auto"/>
        </w:rPr>
      </w:pPr>
    </w:p>
    <w:p>
      <w:pPr>
        <w:ind w:left="460" w:hanging="199"/>
        <w:spacing w:after="0"/>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non-service components of net periodic pension expense, interest income, equity income and other non-operating income items (if any).</w:t>
      </w:r>
    </w:p>
    <w:p>
      <w:pPr>
        <w:spacing w:after="0" w:line="15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measure of segment assets is reported on the balance sheet as total consolidated assets. The Company had capital expenditures of $26 million and $32 million for the three months ended March 31, 2025 and 2024,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Subsequent Events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1, 2025, the Board of Directors declared a cash dividend of $0.06 per share of Common Stock, payable on June 16, 2025, to shareholders of record as of June 2, 2025.</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2024, included in our 2024 Form 10-K. Some of the information contained in this MD&amp;A or set forth elsewhere in this Quarterly Report on Form 10-Q, including information with respect to our plans and strategy for our business, includes forward-looking statements that involve various risks and uncertainties. Please refer to the "Special Note Regarding Forward-Looking Statements" below.</w:t>
      </w:r>
    </w:p>
    <w:p>
      <w:pPr>
        <w:spacing w:after="0" w:line="281" w:lineRule="exact"/>
        <w:rPr>
          <w:sz w:val="20"/>
          <w:szCs w:val="20"/>
          <w:color w:val="auto"/>
        </w:rPr>
      </w:pPr>
    </w:p>
    <w:p>
      <w:pPr>
        <w:ind w:right="1120" w:firstLine="307"/>
        <w:spacing w:after="0" w:line="468" w:lineRule="auto"/>
        <w:rPr>
          <w:sz w:val="20"/>
          <w:szCs w:val="20"/>
          <w:color w:val="auto"/>
        </w:rPr>
      </w:pPr>
      <w:r>
        <w:rPr>
          <w:rFonts w:ascii="Times New Roman" w:cs="Times New Roman" w:eastAsia="Times New Roman" w:hAnsi="Times New Roman"/>
          <w:sz w:val="14"/>
          <w:szCs w:val="14"/>
          <w:color w:val="auto"/>
        </w:rPr>
        <w:t xml:space="preserve">The following MD&amp;A is intended to help you understand the results of operations and financial condition of Garrett Motion Inc. for the three months ended March 31, 2025. </w:t>
      </w:r>
      <w:r>
        <w:rPr>
          <w:rFonts w:ascii="Times New Roman" w:cs="Times New Roman" w:eastAsia="Times New Roman" w:hAnsi="Times New Roman"/>
          <w:sz w:val="14"/>
          <w:szCs w:val="14"/>
          <w:b w:val="1"/>
          <w:bCs w:val="1"/>
          <w:color w:val="auto"/>
        </w:rPr>
        <w:t>Executive Summary</w:t>
      </w: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the first quarter of 2025, we faced significant geopolitical and macro-environmental challenges, including declines in light vehicle diesel volumes, particularly in Europe, and decreased demand for replacement parts in North America. These challenges were partially offset by growth in light vehicle gasoline volumes, primarily driven by new program launches in North America and volume recovery in Japan. Our operating margin performance was robust, largely due to the sustainable fixed and variable cost measures implemented in 2024.</w:t>
      </w:r>
    </w:p>
    <w:p>
      <w:pPr>
        <w:spacing w:after="0" w:line="158"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4"/>
          <w:szCs w:val="14"/>
          <w:color w:val="auto"/>
        </w:rPr>
        <w:t>We continue to strengthen our global leadership position in turbo, winning business across all regions and verticals, including plug-in hybrids and range extended vehicles, as well as natural gas applications for heavy trucks. We also secured new awards for our largest turbos used on industrial applications, significantly expanding our presence in Asia in that segment. On the zero-emission differentiated solutions side we are building positive momentum, having reached a major milestone by receiving our first series production award for our high-speed electric motor for an on-highway application. Additionally, we received another award for our Fuel Compressor technology and positive testing feedback on the application of our E-Cooling Compressor, laying the foundation for future business growth.</w:t>
      </w:r>
    </w:p>
    <w:p>
      <w:pPr>
        <w:spacing w:after="0" w:line="165"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On January 30, 2025, we entered into a Restatement Agreement, which amended and restated our Existing Credit Agreement. Under the Restatement Agreement, we refinanced in full our 2021 Dollar Term Facility and replaced it with the 2025 Dollar Term Facility in an aggregate principal amount of $692 million. The 2025 Dollar Term Facility will mature on January 30, 2032. At the same time, we also replaced our existing $600 million revolving facility with the New Revolving Facility in an aggregate principal amount of $630 million. The maturity date of the New Revolving Facility is January 30, 2030.</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three months ended March 31, 2025, we repurchased $30 million of Common Stock under our share repurchase program. As of March 31, 2025, we had $220 million of the authorized amount remaining under our share repurchase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three months ended March 31, 2025 and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By Region</w:t>
      </w:r>
    </w:p>
    <w:p>
      <w:pPr>
        <w:spacing w:after="0" w:line="5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720" w:type="dxa"/>
            <w:vAlign w:val="bottom"/>
            <w:shd w:val="clear" w:color="auto" w:fill="CFF0FC"/>
          </w:tcPr>
          <w:p>
            <w:pPr>
              <w:spacing w:after="0"/>
              <w:rPr>
                <w:sz w:val="18"/>
                <w:szCs w:val="18"/>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4"/>
                <w:szCs w:val="14"/>
                <w:color w:val="auto"/>
              </w:rPr>
              <w:t>20%</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300" w:type="dxa"/>
            <w:vAlign w:val="bottom"/>
          </w:tcPr>
          <w:p>
            <w:pPr>
              <w:spacing w:after="0"/>
              <w:rPr>
                <w:sz w:val="17"/>
                <w:szCs w:val="17"/>
                <w:color w:val="auto"/>
              </w:rPr>
            </w:pPr>
          </w:p>
        </w:tc>
        <w:tc>
          <w:tcPr>
            <w:tcW w:w="880" w:type="dxa"/>
            <w:vAlign w:val="bottom"/>
          </w:tcPr>
          <w:p>
            <w:pPr>
              <w:jc w:val="center"/>
              <w:ind w:right="232"/>
              <w:spacing w:after="0"/>
              <w:rPr>
                <w:sz w:val="20"/>
                <w:szCs w:val="20"/>
                <w:color w:val="auto"/>
              </w:rPr>
            </w:pPr>
            <w:r>
              <w:rPr>
                <w:rFonts w:ascii="Times New Roman" w:cs="Times New Roman" w:eastAsia="Times New Roman" w:hAnsi="Times New Roman"/>
                <w:sz w:val="14"/>
                <w:szCs w:val="14"/>
                <w:color w:val="auto"/>
              </w:rPr>
              <w:t>49%</w:t>
            </w:r>
          </w:p>
        </w:tc>
        <w:tc>
          <w:tcPr>
            <w:tcW w:w="5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320" w:type="dxa"/>
            <w:vAlign w:val="bottom"/>
          </w:tcPr>
          <w:p>
            <w:pPr>
              <w:spacing w:after="0"/>
              <w:rPr>
                <w:sz w:val="17"/>
                <w:szCs w:val="17"/>
                <w:color w:val="auto"/>
              </w:rPr>
            </w:pPr>
          </w:p>
        </w:tc>
        <w:tc>
          <w:tcPr>
            <w:tcW w:w="7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3720" w:type="dxa"/>
            <w:vAlign w:val="bottom"/>
            <w:shd w:val="clear" w:color="auto" w:fill="CFF0FC"/>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4"/>
                <w:szCs w:val="14"/>
                <w:color w:val="auto"/>
              </w:rPr>
              <w:t>29%</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2"/>
        </w:trPr>
        <w:tc>
          <w:tcPr>
            <w:tcW w:w="32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7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center"/>
              <w:ind w:right="252"/>
              <w:spacing w:after="0"/>
              <w:rPr>
                <w:sz w:val="20"/>
                <w:szCs w:val="20"/>
                <w:color w:val="auto"/>
              </w:rPr>
            </w:pPr>
            <w:r>
              <w:rPr>
                <w:rFonts w:ascii="Times New Roman" w:cs="Times New Roman" w:eastAsia="Times New Roman" w:hAnsi="Times New Roman"/>
                <w:sz w:val="14"/>
                <w:szCs w:val="14"/>
                <w:color w:val="auto"/>
              </w:rPr>
              <w:t>2%</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4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7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3720" w:type="dxa"/>
            <w:vAlign w:val="bottom"/>
            <w:tcBorders>
              <w:top w:val="single" w:sz="8" w:color="CFF0FC"/>
              <w:bottom w:val="single" w:sz="8" w:color="CFF0FC"/>
            </w:tcBorders>
            <w:vMerge w:val="restart"/>
          </w:tcPr>
          <w:p>
            <w:pPr>
              <w:jc w:val="right"/>
              <w:ind w:right="1049"/>
              <w:spacing w:after="0"/>
              <w:rPr>
                <w:sz w:val="20"/>
                <w:szCs w:val="20"/>
                <w:color w:val="auto"/>
              </w:rPr>
            </w:pPr>
            <w:r>
              <w:rPr>
                <w:rFonts w:ascii="Times New Roman" w:cs="Times New Roman" w:eastAsia="Times New Roman" w:hAnsi="Times New Roman"/>
                <w:sz w:val="14"/>
                <w:szCs w:val="14"/>
                <w:color w:val="auto"/>
              </w:rPr>
              <w:t>24</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2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By Product Line</w:t>
      </w:r>
    </w:p>
    <w:p>
      <w:pPr>
        <w:spacing w:after="0" w:line="5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8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9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rPr>
              <w:t>24%</w:t>
            </w:r>
          </w:p>
        </w:tc>
        <w:tc>
          <w:tcPr>
            <w:tcW w:w="68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4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403</w:t>
            </w:r>
          </w:p>
        </w:tc>
        <w:tc>
          <w:tcPr>
            <w:tcW w:w="300" w:type="dxa"/>
            <w:vAlign w:val="bottom"/>
          </w:tcPr>
          <w:p>
            <w:pPr>
              <w:spacing w:after="0"/>
              <w:rPr>
                <w:sz w:val="17"/>
                <w:szCs w:val="17"/>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80" w:type="dxa"/>
            <w:vAlign w:val="bottom"/>
          </w:tcPr>
          <w:p>
            <w:pPr>
              <w:spacing w:after="0"/>
              <w:rPr>
                <w:sz w:val="17"/>
                <w:szCs w:val="17"/>
                <w:color w:val="auto"/>
              </w:rPr>
            </w:pP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4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4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w:t>
            </w:r>
          </w:p>
        </w:tc>
        <w:tc>
          <w:tcPr>
            <w:tcW w:w="300" w:type="dxa"/>
            <w:vAlign w:val="bottom"/>
          </w:tcPr>
          <w:p>
            <w:pPr>
              <w:spacing w:after="0"/>
              <w:rPr>
                <w:sz w:val="17"/>
                <w:szCs w:val="17"/>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7"/>
                <w:szCs w:val="17"/>
                <w:color w:val="auto"/>
              </w:rPr>
            </w:pP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878</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March 31, 2025</w:t>
            </w: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878</w:t>
            </w:r>
          </w:p>
        </w:tc>
        <w:tc>
          <w:tcPr>
            <w:tcW w:w="52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91"/>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4463415" cy="865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634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March 31, 2025, net sales compared to the prior period decreased by $37 million or 4% (including an unfavorable impact of $21 million or 2% due to foreign currency translation), primarily driven by lower Euro-to-US dollar exchange rates, soft demand in diesel and commercial vehicle applications, and lower demand for replacement parts on aftermarket sales. These decreases were partially offset by increased demand in gasoline products.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$15 million or 4% (including an unfavorable impact of $10 million or 2% due to foreign currency translation), primarily driven by new application launches and program ramp-ups in North America, program launches in India, and recovery in Japan from prior year volume softness.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$33 million or 14% (including an unfavorable impact of $6 million or 3% due to foreign currency translation), primarily driven by passenger vehicles in Europe transitioning to gasoline hybrids, partially offset by sustained demand for pickup trucks in South America.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decreased by $6 million or 4% (including an unfavorable impact of $3 million or 2% due to foreign currency translation), primarily driven by volume softness in China and Europe, partially offset by off-highway product launches in India.</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decreased by $14 million or 13% (including an unfavorable impact of $2 million or 3% due to foreign currency translation), primarily due to softer demand in North America for off-highway and lower demand in the North America independent aftermarket.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62"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r>
      <w:tr>
        <w:trPr>
          <w:trHeight w:val="161"/>
        </w:trPr>
        <w:tc>
          <w:tcPr>
            <w:tcW w:w="7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4"/>
                <w:szCs w:val="14"/>
                <w:color w:val="auto"/>
              </w:rPr>
              <w:t>699</w:t>
            </w:r>
          </w:p>
        </w:tc>
        <w:tc>
          <w:tcPr>
            <w:tcW w:w="560" w:type="dxa"/>
            <w:vAlign w:val="bottom"/>
            <w:gridSpan w:val="2"/>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743</w:t>
            </w:r>
          </w:p>
        </w:tc>
        <w:tc>
          <w:tcPr>
            <w:tcW w:w="20" w:type="dxa"/>
            <w:vAlign w:val="bottom"/>
            <w:shd w:val="clear" w:color="auto" w:fill="CFF0FC"/>
          </w:tcPr>
          <w:p>
            <w:pPr>
              <w:spacing w:after="0"/>
              <w:rPr>
                <w:sz w:val="18"/>
                <w:szCs w:val="18"/>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20.4 %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18.8 %</w:t>
            </w:r>
          </w:p>
        </w:tc>
      </w:tr>
      <w:tr>
        <w:trPr>
          <w:trHeight w:val="395"/>
        </w:trPr>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Gross Profit</w:t>
            </w:r>
          </w:p>
        </w:tc>
      </w:tr>
      <w:tr>
        <w:trPr>
          <w:trHeight w:val="161"/>
        </w:trPr>
        <w:tc>
          <w:tcPr>
            <w:tcW w:w="7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March 31, 2024</w:t>
            </w:r>
          </w:p>
        </w:tc>
        <w:tc>
          <w:tcPr>
            <w:tcW w:w="160" w:type="dxa"/>
            <w:vAlign w:val="bottom"/>
            <w:shd w:val="clear" w:color="auto" w:fill="CFF0FC"/>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Pr>
          <w:p>
            <w:pPr>
              <w:spacing w:after="0"/>
              <w:rPr>
                <w:sz w:val="18"/>
                <w:szCs w:val="18"/>
                <w:color w:val="auto"/>
              </w:rPr>
            </w:pPr>
          </w:p>
        </w:tc>
      </w:tr>
      <w:tr>
        <w:trPr>
          <w:trHeight w:val="18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r>
      <w:tr>
        <w:trPr>
          <w:trHeight w:val="18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r>
      <w:tr>
        <w:trPr>
          <w:trHeight w:val="18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r>
      <w:tr>
        <w:trPr>
          <w:trHeight w:val="18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r>
      <w:tr>
        <w:trPr>
          <w:trHeight w:val="18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5"/>
                <w:szCs w:val="15"/>
                <w:color w:val="auto"/>
              </w:rPr>
            </w:pPr>
          </w:p>
        </w:tc>
      </w:tr>
      <w:tr>
        <w:trPr>
          <w:trHeight w:val="18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Enacted import tariffs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1"/>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r>
      <w:tr>
        <w:trPr>
          <w:trHeight w:val="19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March 31, 2025</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tcPr>
          <w:p>
            <w:pPr>
              <w:spacing w:after="0"/>
              <w:rPr>
                <w:sz w:val="16"/>
                <w:szCs w:val="16"/>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March 31, 2025, cost of goods sold decreased by $44 million, primarily driven by $15 million of lower sales volumes, $9 million of commodity, transportation and energy deflation, $14 million from foreign currency impacts, and $16 million of productivity net of labor inflation. These decreases were partially offset by $6 million of higher cost of goods sold due to unfavorable product mix and $4 million from the impact of enacted import tariffs.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For the three months ended March 31, 2025, gross profit increased by $7 million, primarily driven by $16 million of productivity, net of labor inflation, $9 million of commodity, transportation and energy deflation, and $4 million of pricing, net of inflation pass-through. These increases were partially offset by $7 million from lower sales volumes, $7 million from unfavorable product mix, and $8 million from foreign currency impacts. </w:t>
      </w:r>
      <w:r>
        <w:rPr>
          <w:rFonts w:ascii="Times New Roman" w:cs="Times New Roman" w:eastAsia="Times New Roman" w:hAnsi="Times New Roman"/>
          <w:sz w:val="14"/>
          <w:szCs w:val="14"/>
          <w:color w:val="231F20"/>
        </w:rPr>
        <w:t>There was no impact to gross profit from enacted import tariffs as we managed to fully pass through the costs of the tariffs.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62"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7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80" w:type="dxa"/>
            <w:vAlign w:val="bottom"/>
          </w:tcPr>
          <w:p>
            <w:pPr>
              <w:spacing w:after="0"/>
              <w:rPr>
                <w:sz w:val="13"/>
                <w:szCs w:val="13"/>
                <w:color w:val="auto"/>
              </w:rPr>
            </w:pPr>
          </w:p>
        </w:tc>
      </w:tr>
      <w:tr>
        <w:trPr>
          <w:trHeight w:val="212"/>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59</w:t>
            </w:r>
          </w:p>
        </w:tc>
        <w:tc>
          <w:tcPr>
            <w:tcW w:w="64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64</w:t>
            </w:r>
          </w:p>
        </w:tc>
      </w:tr>
      <w:tr>
        <w:trPr>
          <w:trHeight w:val="19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r>
    </w:tbl>
    <w:p>
      <w:pPr>
        <w:spacing w:after="0" w:line="21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Selling, general and administrative (“SG&amp;A”) expenses for the three months ended March 31, 2025, decreased by $5 million compared with the prior period, mainly driven by $2 million of lower stock-based compensation expense, $2 million of favorable foreign exchange impacts, and $1 million of lower personnel related costs.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4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5"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129857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spacing w:after="0" w:line="10" w:lineRule="exact"/>
        <w:rPr>
          <w:sz w:val="20"/>
          <w:szCs w:val="20"/>
          <w:color w:val="auto"/>
        </w:rPr>
      </w:pPr>
    </w:p>
    <w:p>
      <w:pPr>
        <w:ind w:left="5360"/>
        <w:spacing w:after="0"/>
        <w:tabs>
          <w:tab w:leader="none" w:pos="64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26670</wp:posOffset>
            </wp:positionV>
            <wp:extent cx="129857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1"/>
          <w:szCs w:val="11"/>
          <w:b w:val="1"/>
          <w:bCs w:val="1"/>
          <w:color w:val="auto"/>
        </w:rPr>
        <w:t>(Dollars in millions)</w:t>
      </w:r>
    </w:p>
    <w:p>
      <w:pPr>
        <w:spacing w:after="0" w:line="38" w:lineRule="exact"/>
        <w:rPr>
          <w:sz w:val="20"/>
          <w:szCs w:val="20"/>
          <w:color w:val="auto"/>
        </w:rPr>
      </w:pPr>
    </w:p>
    <w:p>
      <w:pPr>
        <w:ind w:left="20"/>
        <w:spacing w:after="0"/>
        <w:tabs>
          <w:tab w:leader="none" w:pos="4980" w:val="left"/>
          <w:tab w:leader="none" w:pos="5820" w:val="left"/>
          <w:tab w:leader="none" w:pos="6020" w:val="left"/>
          <w:tab w:leader="none" w:pos="6880" w:val="left"/>
        </w:tabs>
        <w:rPr>
          <w:sz w:val="20"/>
          <w:szCs w:val="20"/>
          <w:color w:val="auto"/>
        </w:rPr>
      </w:pPr>
      <w:r>
        <w:rPr>
          <w:rFonts w:ascii="Times New Roman" w:cs="Times New Roman" w:eastAsia="Times New Roman" w:hAnsi="Times New Roman"/>
          <w:sz w:val="14"/>
          <w:szCs w:val="14"/>
          <w:color w:val="auto"/>
        </w:rPr>
        <w:t>Other expense, net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w:t>
        <w:tab/>
        <w:t>$</w:t>
      </w:r>
      <w:r>
        <w:rPr>
          <w:sz w:val="20"/>
          <w:szCs w:val="20"/>
          <w:color w:val="auto"/>
        </w:rPr>
        <w:tab/>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4456430" cy="114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56430" cy="114935"/>
                    </a:xfrm>
                    <a:prstGeom prst="rect">
                      <a:avLst/>
                    </a:prstGeom>
                    <a:noFill/>
                  </pic:spPr>
                </pic:pic>
              </a:graphicData>
            </a:graphic>
          </wp:anchor>
        </w:drawing>
      </w: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27" w:name="page28"/>
    <w:bookmarkEnd w:id="27"/>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expense, net for the three months ended March 31, 2025 increased by $6 million compared to the prior period, primarily driven by debt financing costs related to the Restatement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62"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29</w:t>
            </w:r>
          </w:p>
        </w:tc>
        <w:tc>
          <w:tcPr>
            <w:tcW w:w="62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r>
    </w:tbl>
    <w:p>
      <w:pPr>
        <w:spacing w:after="0" w:line="241"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For the three months ended March 31, 2025, interest expense decreased by $2 million compared to the prior period, primarily driven by $10 million of lower interest expense due to a different notional amount of debt outstanding during the period and $1 million of lower debt issuance cost amortization. In addition, we recorded $6 million of gains on our interest derivatives in the current year, in comparison to $8 million of gains in the prior year. We also recognized $6 million of marked-to-market remeasurement losses during the three months ended March 31, 2025, on our undesignated interest rate swap contracts, in comparison to no marked-to-market remeasurement losses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 net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0" w:type="dxa"/>
            <w:vAlign w:val="bottom"/>
          </w:tcPr>
          <w:p>
            <w:pPr>
              <w:spacing w:after="0"/>
              <w:rPr>
                <w:sz w:val="12"/>
                <w:szCs w:val="12"/>
                <w:color w:val="auto"/>
              </w:rPr>
            </w:pPr>
          </w:p>
        </w:tc>
      </w:tr>
      <w:tr>
        <w:trPr>
          <w:trHeight w:val="159"/>
        </w:trPr>
        <w:tc>
          <w:tcPr>
            <w:tcW w:w="80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0" w:type="dxa"/>
            <w:vAlign w:val="bottom"/>
            <w:tcBorders>
              <w:bottom w:val="single" w:sz="8" w:color="auto"/>
            </w:tcBorders>
          </w:tcPr>
          <w:p>
            <w:pPr>
              <w:spacing w:after="0"/>
              <w:rPr>
                <w:sz w:val="13"/>
                <w:szCs w:val="13"/>
                <w:color w:val="auto"/>
              </w:rPr>
            </w:pPr>
          </w:p>
        </w:tc>
      </w:tr>
      <w:tr>
        <w:trPr>
          <w:trHeight w:val="161"/>
        </w:trPr>
        <w:tc>
          <w:tcPr>
            <w:tcW w:w="8020" w:type="dxa"/>
            <w:vAlign w:val="bottom"/>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0" w:type="dxa"/>
            <w:vAlign w:val="bottom"/>
          </w:tcPr>
          <w:p>
            <w:pPr>
              <w:spacing w:after="0"/>
              <w:rPr>
                <w:sz w:val="13"/>
                <w:szCs w:val="13"/>
                <w:color w:val="auto"/>
              </w:rPr>
            </w:pPr>
          </w:p>
        </w:tc>
      </w:tr>
      <w:tr>
        <w:trPr>
          <w:trHeight w:val="212"/>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Non-operating income, net</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19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three months ended March 31, 2025, we had non-operating income of $1 million versus $5 million in the prior period. The decrease in non-operating income was primarily driven by lower equity income due to the prior year sale of an equity interest in an unconsolidated joint venture and a decrease in foreign exchange transactional gains.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73"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5"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7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00" w:type="dxa"/>
            <w:vAlign w:val="bottom"/>
          </w:tcPr>
          <w:p>
            <w:pPr>
              <w:spacing w:after="0"/>
              <w:rPr>
                <w:sz w:val="13"/>
                <w:szCs w:val="13"/>
                <w:color w:val="auto"/>
              </w:rPr>
            </w:pPr>
          </w:p>
        </w:tc>
      </w:tr>
      <w:tr>
        <w:trPr>
          <w:trHeight w:val="21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10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23</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15</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18.5 %</w:t>
            </w:r>
          </w:p>
        </w:tc>
      </w:tr>
    </w:tbl>
    <w:p>
      <w:pPr>
        <w:spacing w:after="0" w:line="263"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The effective tax rates for the three months ended March 31, 2025 and 2024 were 27.1% and 18.5%, respectively. The change in the effective tax rate for the three months ended March 31, 2025, compared to the prior period is primarily related to higher U.S. taxes on international operations and reversal of tax reserves in 2024.</w:t>
      </w:r>
    </w:p>
    <w:p>
      <w:pPr>
        <w:spacing w:after="0" w:line="145"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4"/>
          <w:szCs w:val="14"/>
          <w:color w:val="auto"/>
        </w:rPr>
        <w:t>The Organization for Economic Cooperation and Development reached agreement among over 140 countries to implement a minimum 15% tax rate on certain multinational enterprises, commonly referred to as Pillar Two. Many countries we operate in continue to announce changes in their tax laws and regulations based on the Pillar Two framework. While we continue to evaluate the impact of these legislative changes as additional guidance becomes available, uncertainty remains regarding the timing and interpretation by tax authorities in affected jurisdictions. For 2025, Pillar Two is not expected to have a material impact to our effective tax rate. However, further enactment of legislation by jurisdictions in which we do business could have an impact on our future effective tax rate, tax liabilities, and cash tax.</w:t>
      </w:r>
    </w:p>
    <w:p>
      <w:pPr>
        <w:spacing w:after="0" w:line="16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62"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7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00" w:type="dxa"/>
            <w:vAlign w:val="bottom"/>
          </w:tcPr>
          <w:p>
            <w:pPr>
              <w:spacing w:after="0"/>
              <w:rPr>
                <w:sz w:val="13"/>
                <w:szCs w:val="13"/>
                <w:color w:val="auto"/>
              </w:rPr>
            </w:pPr>
          </w:p>
        </w:tc>
      </w:tr>
      <w:tr>
        <w:trPr>
          <w:trHeight w:val="21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62</w:t>
            </w:r>
          </w:p>
        </w:tc>
        <w:tc>
          <w:tcPr>
            <w:tcW w:w="62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66</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margin</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Net income for the three months ended March 31, 2025, decreased by $4 million compared with the prior period, primarily due to $8 million of higher tax expense, $6 million of higher other expense, net, and a $4 million decrease in non-operating income. These increases were partially offset by $7 million of increased gross profit and $5 million of lower SG&amp;A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from, or as a substitute for, an analysis of the Company’s operating results as reported under GAAP.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EBIT and Adjusted EBIT</w:t>
      </w:r>
    </w:p>
    <w:p>
      <w:pPr>
        <w:spacing w:after="0" w:line="152"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In 2025, we revised our non-GAAP reporting metric, transitioning from Adjusted EBITDA to Adjusted EBIT. This change is intended to better reflect our core operating performance and align with industry practices. We believe this change will provide investors with a clearer understanding of our ongoing operational performance.</w:t>
      </w:r>
    </w:p>
    <w:p>
      <w:pPr>
        <w:spacing w:after="0" w:line="102"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4"/>
          <w:szCs w:val="14"/>
          <w:color w:val="auto"/>
        </w:rPr>
        <w:t>We define “EBIT” as our net income calculated in accordance with U.S. GAAP, plus the sum of (i) interest expense net of interest income and (ii) tax expense. We define “Adjusted EBIT” as EBIT, plus the sum of (i) repositioning costs, (ii) foreign exchange (gain) loss on debt net of related hedging (gains) losses, (iii) discounting costs on factoring, (iv) gain on sale of equity investment,</w:t>
      </w:r>
    </w:p>
    <w:p>
      <w:pPr>
        <w:spacing w:after="0" w:line="1" w:lineRule="exact"/>
        <w:rPr>
          <w:sz w:val="20"/>
          <w:szCs w:val="20"/>
          <w:color w:val="auto"/>
        </w:rPr>
      </w:pPr>
    </w:p>
    <w:p>
      <w:pPr>
        <w:ind w:firstLine="5"/>
        <w:spacing w:after="0" w:line="268" w:lineRule="auto"/>
        <w:tabs>
          <w:tab w:leader="none" w:pos="20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 expenses, (vi) other non-operating income, (vii) capital structure transformation expenses, (viii) debt refinancing and redemption costs, and (ix) loss on extinguishment of debt, if any. We believe that EBIT and Adjusted EBIT are important indicators of operating performance and provide useful information for investors because:</w:t>
      </w:r>
    </w:p>
    <w:p>
      <w:pPr>
        <w:spacing w:after="0" w:line="105"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and Adjusted EBIT exclude the effects of income taxes, as well as the effects of financing activities by eliminating the effects of interest and therefore more closely measure our operational performance; and</w:t>
      </w:r>
    </w:p>
    <w:p>
      <w:pPr>
        <w:spacing w:after="0" w:line="91"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could therefore have a disproportionate effect in a given period, affecting the comparability of our results.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Net income under GAAP to Adjusted EBIT:</w:t>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29" w:name="page30"/>
    <w:bookmarkEnd w:id="29"/>
    <w:p>
      <w:pPr>
        <w:jc w:val="center"/>
        <w:ind w:left="86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80" w:type="dxa"/>
            <w:vAlign w:val="bottom"/>
          </w:tcPr>
          <w:p>
            <w:pPr>
              <w:spacing w:after="0"/>
              <w:rPr>
                <w:sz w:val="13"/>
                <w:szCs w:val="13"/>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2"/>
        </w:trPr>
        <w:tc>
          <w:tcPr>
            <w:tcW w:w="866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Interest expense, net of interest income </w:t>
            </w:r>
            <w:r>
              <w:rPr>
                <w:rFonts w:ascii="Times New Roman" w:cs="Times New Roman" w:eastAsia="Times New Roman" w:hAnsi="Times New Roman"/>
                <w:sz w:val="18"/>
                <w:szCs w:val="18"/>
                <w:color w:val="auto"/>
                <w:vertAlign w:val="superscript"/>
              </w:rPr>
              <w:t>(1)</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2"/>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expense</w:t>
            </w:r>
          </w:p>
        </w:tc>
        <w:tc>
          <w:tcPr>
            <w:tcW w:w="8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7"/>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19"/>
        </w:trPr>
        <w:tc>
          <w:tcPr>
            <w:tcW w:w="86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4"/>
                <w:szCs w:val="14"/>
                <w:color w:val="auto"/>
              </w:rPr>
              <w:t xml:space="preserve">Repositioning costs </w:t>
            </w:r>
            <w:r>
              <w:rPr>
                <w:rFonts w:ascii="Times New Roman" w:cs="Times New Roman" w:eastAsia="Times New Roman" w:hAnsi="Times New Roman"/>
                <w:sz w:val="22"/>
                <w:szCs w:val="22"/>
                <w:color w:val="auto"/>
                <w:vertAlign w:val="superscript"/>
              </w:rPr>
              <w:t>(2)</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7"/>
        </w:trPr>
        <w:tc>
          <w:tcPr>
            <w:tcW w:w="8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exchange gain on debt, net of related hedging loss</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866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Other non-operating income </w:t>
            </w:r>
            <w:r>
              <w:rPr>
                <w:rFonts w:ascii="Times New Roman" w:cs="Times New Roman" w:eastAsia="Times New Roman" w:hAnsi="Times New Roman"/>
                <w:sz w:val="22"/>
                <w:szCs w:val="22"/>
                <w:color w:val="auto"/>
                <w:vertAlign w:val="superscript"/>
              </w:rPr>
              <w:t>(3)</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8660" w:type="dxa"/>
            <w:vAlign w:val="bottom"/>
            <w:shd w:val="clear" w:color="auto" w:fill="CCEEFF"/>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Debt refinancing and redemption costs </w:t>
            </w:r>
            <w:r>
              <w:rPr>
                <w:rFonts w:ascii="Times New Roman" w:cs="Times New Roman" w:eastAsia="Times New Roman" w:hAnsi="Times New Roman"/>
                <w:sz w:val="22"/>
                <w:szCs w:val="22"/>
                <w:color w:val="auto"/>
                <w:vertAlign w:val="superscript"/>
              </w:rPr>
              <w:t>(4)</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Acquisition and divestiture expenses</w:t>
            </w: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w:t>
            </w: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520" w:hanging="259"/>
        <w:spacing w:after="0"/>
        <w:tabs>
          <w:tab w:leader="none" w:pos="520" w:val="left"/>
        </w:tabs>
        <w:numPr>
          <w:ilvl w:val="0"/>
          <w:numId w:val="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Reflects interest income of $0 million and $2 million for the three months ended March 31, 2025 and 2024, respectively.</w:t>
      </w:r>
    </w:p>
    <w:p>
      <w:pPr>
        <w:spacing w:after="0" w:line="158" w:lineRule="exact"/>
        <w:rPr>
          <w:rFonts w:ascii="Times New Roman" w:cs="Times New Roman" w:eastAsia="Times New Roman" w:hAnsi="Times New Roman"/>
          <w:sz w:val="14"/>
          <w:szCs w:val="14"/>
          <w:color w:val="231F20"/>
        </w:rPr>
      </w:pPr>
    </w:p>
    <w:p>
      <w:pPr>
        <w:ind w:left="520" w:hanging="259"/>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Repositioning costs includes severance costs related to restructuring projects to improve future productivity.</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non-service component of net periodic pension income.</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third-party costs directly attributable to the Restatement Agreement.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463415" cy="1108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63415"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three months ended March 31, 2025</w:t>
      </w:r>
      <w:r>
        <w:rPr>
          <w:rFonts w:ascii="Times New Roman" w:cs="Times New Roman" w:eastAsia="Times New Roman" w:hAnsi="Times New Roman"/>
          <w:sz w:val="14"/>
          <w:szCs w:val="14"/>
          <w:color w:val="231F20"/>
        </w:rPr>
        <w:t xml:space="preserve">, net income decreased by </w:t>
      </w:r>
      <w:r>
        <w:rPr>
          <w:rFonts w:ascii="Times New Roman" w:cs="Times New Roman" w:eastAsia="Times New Roman" w:hAnsi="Times New Roman"/>
          <w:sz w:val="14"/>
          <w:szCs w:val="14"/>
          <w:color w:val="000000"/>
        </w:rPr>
        <w:t>$4 million</w:t>
      </w:r>
      <w:r>
        <w:rPr>
          <w:rFonts w:ascii="Times New Roman" w:cs="Times New Roman" w:eastAsia="Times New Roman" w:hAnsi="Times New Roman"/>
          <w:sz w:val="14"/>
          <w:szCs w:val="14"/>
          <w:color w:val="231F20"/>
        </w:rPr>
        <w:t xml:space="preserve"> versus the prior period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Months Ended March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w:t>
      </w:r>
      <w:r>
        <w:rPr>
          <w:rFonts w:ascii="Times New Roman" w:cs="Times New Roman" w:eastAsia="Times New Roman" w:hAnsi="Times New Roman"/>
          <w:sz w:val="14"/>
          <w:szCs w:val="14"/>
          <w:color w:val="231F20"/>
        </w:rPr>
        <w:t>.</w:t>
      </w:r>
    </w:p>
    <w:p>
      <w:pPr>
        <w:spacing w:after="0" w:line="13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Adjusted EBIT increased by </w:t>
      </w:r>
      <w:r>
        <w:rPr>
          <w:rFonts w:ascii="Times New Roman" w:cs="Times New Roman" w:eastAsia="Times New Roman" w:hAnsi="Times New Roman"/>
          <w:sz w:val="14"/>
          <w:szCs w:val="14"/>
          <w:color w:val="000000"/>
        </w:rPr>
        <w:t>$10 million</w:t>
      </w:r>
      <w:r>
        <w:rPr>
          <w:rFonts w:ascii="Times New Roman" w:cs="Times New Roman" w:eastAsia="Times New Roman" w:hAnsi="Times New Roman"/>
          <w:sz w:val="14"/>
          <w:szCs w:val="14"/>
          <w:color w:val="231F20"/>
        </w:rPr>
        <w:t xml:space="preserve"> compared to the prior period, driven by productivity and lower stock based compensation, commodity, transportation and energy deflation, and pricing net of inflation pass-through. This increase was partially offset by lower volumes across all product lines, except gasoline, driving an unfavorable product mix.</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During the three months ended March 31, 2025, we saw diesel volume softness, mainly due to passenger vehicles in Europe transitioning to gasoline hybrids and Aftermarket soft demand primarily in North America Off-highway. These volume decreases were partially offset by favorable demand in gasoline driven by new application launches and program ramp-ups in North America, program launches in India, and recovery in Japan from prior year volume softness.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 and lower equity income following the prior year sale of an equity interest in an unconsolidated joint venture.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R&amp;D expenses were flat, reflecting a shift in investment from turbo technology to zero-emission technologies.</w:t>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30" w:name="page31"/>
    <w:bookmarkEnd w:id="30"/>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Losses in foreign currency from translational, transactional, and hedging effects in the three months ended March 31, 2025, primarily driven by a lower Euro-to-US dollar versus the prior period, accounted for a $7 million decrease in Adjusted EBIT.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100" w:type="dxa"/>
            <w:vAlign w:val="bottom"/>
          </w:tcPr>
          <w:p>
            <w:pPr>
              <w:jc w:val="center"/>
              <w:ind w:left="41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000" w:type="dxa"/>
            <w:vAlign w:val="bottom"/>
          </w:tcPr>
          <w:p>
            <w:pPr>
              <w:spacing w:after="0"/>
              <w:rPr>
                <w:sz w:val="12"/>
                <w:szCs w:val="12"/>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8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FF0FC"/>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 principal outstanding</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98"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4"/>
          <w:szCs w:val="14"/>
          <w:color w:val="auto"/>
        </w:rPr>
        <w:t>On January 30, 2025, the Company entered into the Restatement Agreement, which amends and restates the Existing Credit Agreement, under which the Company refinanced in full its $692 million 2021 Dollar Term Facility with a new 2025 Dollar Term Facility in an aggregate principal amount of $692 million. The 2025 Dollar Term Facility will mature on January 30, 2032, and bear interest at a spread equal to, at the Company's option, the Adjusted Term SOFR Rate plus 2.25% per annum in the case of Term Benchmark Loans and the Alternate Base Rate plus 1.25% per annum in the case of ABR Loans. The Company also replaced its existing $600 million revolving facility under the Existing Credit Agreement with the New Revolving Facility under the Credit Agreement in an aggregate principal amount of $630 million. The maturity date of the New Revolving Facility is January 30, 2030.</w:t>
      </w:r>
    </w:p>
    <w:p>
      <w:pPr>
        <w:spacing w:after="0" w:line="112"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employ several means to manage our liquidity, and our sources of financing include cash flows from operations, cash and cash equivalents on hand, the 2032 Senior Notes, and our Credit Agreement, including our 2025 Dollar Term Facility and our New Revolving Facility. We expect to continue investing in our facilities as we expand our manufacturing capacity for new product launches and invest in new technologies and strategic growth opportunities, in particular in connection with our zero-emission technologies. We believe the combination of expected cash flows, the term loan borrowings, the 2032 Senior Notes, and the New Revolving Facility being committed until 2030, will provide us with adequate liquidity to support the Company's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On December 4, 2024, the Board of Directors authorized a $250 million share repurchase program valid from January 1, 2025, until December 31, 2025. During the three months ended March 31, 2025, the Company repurchased $30 million of Common Stock, with $220 million remaining under the share repurchase program as of that date.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share repurchase program, and the program may be suspended, modified, or discontinued at any time without prior notice. For more information, see Item 2. </w:t>
      </w:r>
      <w:r>
        <w:rPr>
          <w:rFonts w:ascii="Times New Roman" w:cs="Times New Roman" w:eastAsia="Times New Roman" w:hAnsi="Times New Roman"/>
          <w:sz w:val="14"/>
          <w:szCs w:val="14"/>
          <w:i w:val="1"/>
          <w:iCs w:val="1"/>
          <w:color w:val="auto"/>
        </w:rPr>
        <w:t>Unregistered Sales of Equity Securities and Use of Proceeds</w:t>
      </w:r>
      <w:r>
        <w:rPr>
          <w:rFonts w:ascii="Times New Roman" w:cs="Times New Roman" w:eastAsia="Times New Roman" w:hAnsi="Times New Roman"/>
          <w:sz w:val="14"/>
          <w:szCs w:val="14"/>
          <w:color w:val="auto"/>
        </w:rPr>
        <w:t>.</w:t>
      </w:r>
    </w:p>
    <w:p>
      <w:pPr>
        <w:spacing w:after="0" w:line="2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Three Months Ended March 31, 2025</w:t>
      </w:r>
    </w:p>
    <w:p>
      <w:pPr>
        <w:spacing w:after="0" w:line="10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3"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decreased by $28 million for the three months ended March 31, 2025, versus the prior year. The decrease was primarily driven by $54 million of unfavorable impacts from working capital changes and $4 million of lower net income, partially offset by an increase of $21 million of non-cash charges, as well as $9 million of favorable impacts from changes in other assets and liabilities.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Cash flow from investing activities decreased by $6 million for the three months ended March 31, 2025, versus the prior year, mainly due to $6 million of decreased expenditures for property, plant and equipment.</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Cash used for financing activities was $31 million for the three months ended March 31, 2025, compared with $112 million in the prior year. During the three months ended March 31, 2025, we made debt repayments of $71 million, payments of $30 million for the repurchase of Common Stock under our share repurchase program and payments of $12 million for dividends on our Common Stock. These payments were partially offset by proceeds of $68 million from the Credit Facilities and $17 million of bank overdrafts. In comparison, cash used for financing activities in the prior year was primarily related to $107 million for the repurchase of Common Stock under our share repurchase program.</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50" w:lineRule="exact"/>
        <w:rPr>
          <w:sz w:val="20"/>
          <w:szCs w:val="20"/>
          <w:color w:val="auto"/>
        </w:rPr>
      </w:pPr>
    </w:p>
    <w:p>
      <w:pPr>
        <w:jc w:val="both"/>
        <w:ind w:firstLine="307"/>
        <w:spacing w:after="0" w:line="277" w:lineRule="auto"/>
        <w:rPr>
          <w:sz w:val="20"/>
          <w:szCs w:val="20"/>
          <w:color w:val="auto"/>
        </w:rPr>
      </w:pPr>
      <w:r>
        <w:rPr>
          <w:rFonts w:ascii="Times New Roman" w:cs="Times New Roman" w:eastAsia="Times New Roman" w:hAnsi="Times New Roman"/>
          <w:sz w:val="14"/>
          <w:szCs w:val="14"/>
          <w:color w:val="auto"/>
        </w:rPr>
        <w:t>The preparation of our Consolidated Interim Financial Statements in accordance with GAAP is based on the selection and application of accounting policies that require us to make significant estimates and assumptions about the effects of matters that are inherently uncertain. Actual results could differ from our estimates and assumptions, and any such differences could be material to our</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statements. Our critical accounting policies are summarized in the “Management’s Discussion and Analysis of Financial Condition and Results of Operations” section of our 2024 Form 10-K.</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of the Notes to the Consolidated Interim Financial Statements for further discussion of recent accounting pronouncements.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This Quarterly Report on Form 10-Q and the other reports filed by us with the SEC from time to time, as well as statements incorporated by reference herein and related comments by our management, contain forward-looking statements within the meaning of the U.S. federal securities laws. All statements other than statements of historical fact, including without limitation statements regarding our future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w:t>
      </w: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4"/>
          <w:szCs w:val="14"/>
          <w:color w:val="auto"/>
        </w:rPr>
        <w:t>litigation, anticipated interest expense, and the plans and objectives of management for future operations and capital expenditures are forward-looking statements. In many cases, you can identify forward-looking statements by terms such as “aim,” “anticipate,” “appears,” “approximately,” “believe,” “continue,” “could,” “designed,” “effect,” “estimate,” “evaluate,” “expect,” “forecast,” “goal,” “initiative,” “intend,” “may,” “objective,” “outlook,” “plan,” “potential,” “priorities,” “project,” “pursue,” “seek,” “should,” “target,” “when,” “will,” “would,” or the negative of these terms or other similar expressions. In making these forward-looking statements, we rely on our current expectations and projections about possible future events and financial trends that we believe may affect our business, financial condition and results of operations.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 things, risks related to the following: (1) the ongoing evolution of the automotive industry; (2) the highly competitive markets in which we operate; (3) our reliance on sales to major customers; (4) changing industry and economic conditions; (5) the unique aspects of our aftermarket business; (6) pricing pressures from our original equipment manufacturer customers; (7) the foreign markets in which we operate; (8) climate change and increased scrutiny from customers, investors, regulators and other stakeholders; (9) recruitment, development, and retention of qualified personnel; (10) program launch difficulties; (11) volatility in the cost of raw materials, components, energy, transportation, and other inputs; (12) supply shortages or supplier distress leading to a disruption of our operations; (13) realization of sales from awarded business; (14) economic, political, regulatory, foreign exchange and other risks of our international operations; (15) geopolitical conditions, catastrophic events and pandemics; (16) joint venture partnerships, joint development projects and other strategic opportunities; (17) intellectual property rights; (18) work stoppages or other disruptions at our facilities; (19) realization of productivity and efficiency improvements and repositioning projects; (20) warranty claims, product recalls, field actions or product liability actions; (21) litigation, government proceedings and other contingencies and uncertainties; (22) environmental matters and liabilities; (23) third-party licensing arrangements; (24) information technology and data privacy considerations, including cybersecurity and other security concerns; (25) our substantial indebtedness and restrictive covenants related to such indebtedness; (26) tax considerations; (27) our ability to raise capital; (28) our pension funding obligations; (29) concentration of ownership of our equity securities; or (30) payment of dividends and share repurchases. For a further discussion of these and other risks, refer to Part I, Item 1A. "Risk Factors" of our 2024 Form 10-K.</w:t>
      </w:r>
    </w:p>
    <w:p>
      <w:pPr>
        <w:spacing w:after="0" w:line="126"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You should read this Quarterly Report and the documents that we reference herein completely and with the understanding that our actual future results may be materially different from those envisioned by these forward-looking statements.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herein, whether as a result of any new information, future events, changed circumstances, or otherwise.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5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As of March 31, 2025, the net fair value of all financial instruments with exposure to currency risk was $21 million. The potential loss or gain in fair value for such financial instruments from a hypothetical 10% adverse or favorable change in quoted currency exchange rates would be $276 million and $(259) million, respectively, as of March 31, 2025,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09"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auto"/>
        </w:rPr>
        <w:t xml:space="preserve">There have been no other material changes to the Company’s quantitative and qualitative disclosures about interest rate or commodity price risks as disclosed in Part II, Item 7A, </w:t>
      </w:r>
      <w:r>
        <w:rPr>
          <w:rFonts w:ascii="Times New Roman" w:cs="Times New Roman" w:eastAsia="Times New Roman" w:hAnsi="Times New Roman"/>
          <w:sz w:val="14"/>
          <w:szCs w:val="14"/>
          <w:i w:val="1"/>
          <w:iCs w:val="1"/>
          <w:color w:val="auto"/>
        </w:rPr>
        <w:t>Quantitative and Qualitative Disclosures About Market Risks</w:t>
      </w:r>
      <w:r>
        <w:rPr>
          <w:rFonts w:ascii="Times New Roman" w:cs="Times New Roman" w:eastAsia="Times New Roman" w:hAnsi="Times New Roman"/>
          <w:sz w:val="14"/>
          <w:szCs w:val="14"/>
          <w:color w:val="auto"/>
        </w:rPr>
        <w:t>, in our 2024 Form 10-K.</w:t>
      </w: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March 31, 2025.</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4" w:name="page35"/>
    <w:bookmarkEnd w:id="34"/>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1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additional information regarding our legal proceedings, see the discussion under Note 19,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Interim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which is incorporated by reference into this Part II, Item 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There have been no material changes to the risks described under "Risk Factors” in our 2024 Form 10-K. In addition to the other information set forth in this Quarterly Report on Form 10-Q, you should carefully consider the factors discussed under “Risk Factors” in our 2024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December 4, 2024, the Board of Directors authorized a $250 million share repurchase program valid from January 1, 2025, until December 31, 2025.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The following table summarizes our share repurchase activity for the three months ended March 31, 2025, and additional information regarding our share repurchase program:</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Value of Shares that</w:t>
            </w: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60" w:type="dxa"/>
            <w:vAlign w:val="bottom"/>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May Yet Be</w:t>
            </w:r>
          </w:p>
        </w:tc>
        <w:tc>
          <w:tcPr>
            <w:tcW w:w="0" w:type="dxa"/>
            <w:vAlign w:val="bottom"/>
          </w:tcPr>
          <w:p>
            <w:pPr>
              <w:spacing w:after="0"/>
              <w:rPr>
                <w:sz w:val="1"/>
                <w:szCs w:val="1"/>
                <w:color w:val="auto"/>
              </w:rPr>
            </w:pPr>
          </w:p>
        </w:tc>
      </w:tr>
      <w:tr>
        <w:trPr>
          <w:trHeight w:val="115"/>
        </w:trPr>
        <w:tc>
          <w:tcPr>
            <w:tcW w:w="30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0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w:t>
            </w:r>
          </w:p>
        </w:tc>
        <w:tc>
          <w:tcPr>
            <w:tcW w:w="102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Purchased Under</w:t>
            </w:r>
          </w:p>
        </w:tc>
        <w:tc>
          <w:tcPr>
            <w:tcW w:w="0" w:type="dxa"/>
            <w:vAlign w:val="bottom"/>
          </w:tcPr>
          <w:p>
            <w:pPr>
              <w:spacing w:after="0"/>
              <w:rPr>
                <w:sz w:val="1"/>
                <w:szCs w:val="1"/>
                <w:color w:val="auto"/>
              </w:rPr>
            </w:pPr>
          </w:p>
        </w:tc>
      </w:tr>
      <w:tr>
        <w:trPr>
          <w:trHeight w:val="117"/>
        </w:trPr>
        <w:tc>
          <w:tcPr>
            <w:tcW w:w="3040" w:type="dxa"/>
            <w:vAlign w:val="bottom"/>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880" w:type="dxa"/>
            <w:vAlign w:val="bottom"/>
            <w:gridSpan w:val="3"/>
            <w:vMerge w:val="continue"/>
          </w:tcPr>
          <w:p>
            <w:pPr>
              <w:spacing w:after="0"/>
              <w:rPr>
                <w:sz w:val="10"/>
                <w:szCs w:val="10"/>
                <w:color w:val="auto"/>
              </w:rPr>
            </w:pPr>
          </w:p>
        </w:tc>
        <w:tc>
          <w:tcPr>
            <w:tcW w:w="10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Announced Plan</w:t>
            </w:r>
          </w:p>
        </w:tc>
        <w:tc>
          <w:tcPr>
            <w:tcW w:w="160" w:type="dxa"/>
            <w:vAlign w:val="bottom"/>
          </w:tcPr>
          <w:p>
            <w:pPr>
              <w:spacing w:after="0"/>
              <w:rPr>
                <w:sz w:val="10"/>
                <w:szCs w:val="10"/>
                <w:color w:val="auto"/>
              </w:rPr>
            </w:pPr>
          </w:p>
        </w:tc>
        <w:tc>
          <w:tcPr>
            <w:tcW w:w="8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the Plan or</w:t>
            </w:r>
          </w:p>
        </w:tc>
        <w:tc>
          <w:tcPr>
            <w:tcW w:w="0" w:type="dxa"/>
            <w:vAlign w:val="bottom"/>
          </w:tcPr>
          <w:p>
            <w:pPr>
              <w:spacing w:after="0"/>
              <w:rPr>
                <w:sz w:val="1"/>
                <w:szCs w:val="1"/>
                <w:color w:val="auto"/>
              </w:rPr>
            </w:pPr>
          </w:p>
        </w:tc>
      </w:tr>
      <w:tr>
        <w:trPr>
          <w:trHeight w:val="160"/>
        </w:trPr>
        <w:tc>
          <w:tcPr>
            <w:tcW w:w="3040" w:type="dxa"/>
            <w:vAlign w:val="bottom"/>
            <w:vMerge w:val="continue"/>
          </w:tcPr>
          <w:p>
            <w:pPr>
              <w:spacing w:after="0"/>
              <w:rPr>
                <w:sz w:val="13"/>
                <w:szCs w:val="13"/>
                <w:color w:val="auto"/>
              </w:rPr>
            </w:pPr>
          </w:p>
        </w:tc>
        <w:tc>
          <w:tcPr>
            <w:tcW w:w="10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1"/>
                <w:szCs w:val="11"/>
                <w:b w:val="1"/>
                <w:bCs w:val="1"/>
                <w:color w:val="auto"/>
                <w:w w:val="98"/>
              </w:rPr>
              <w:t xml:space="preserve">Purchased </w:t>
            </w:r>
            <w:r>
              <w:rPr>
                <w:rFonts w:ascii="Times New Roman" w:cs="Times New Roman" w:eastAsia="Times New Roman" w:hAnsi="Times New Roman"/>
                <w:sz w:val="14"/>
                <w:szCs w:val="14"/>
                <w:b w:val="1"/>
                <w:bCs w:val="1"/>
                <w:color w:val="auto"/>
                <w:w w:val="98"/>
                <w:vertAlign w:val="superscript"/>
              </w:rPr>
              <w:t>(1)</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or Program</w:t>
            </w:r>
          </w:p>
        </w:tc>
        <w:tc>
          <w:tcPr>
            <w:tcW w:w="16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2025 - January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240,071,696</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 2025 - February 28,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990,312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230,621,095</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2025 - March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1,160,405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1,160,405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220,169,994</w:t>
            </w: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3,211,713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3,211,713</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220,169,994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shares withheld to satisfy tax withholding obligations in connection with the vesting of equity awards.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than the repurchases reflected in the table above, there were no purchases of equity securities by the issuer or affiliated purchasers during the quarter ended March 31,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Agreements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March 31, 2025, no director or Section 16 officer of the Company adopted or terminated a "Rule 10b5-1 trading agreement" or "non-Rule 10b5-1 trading agreement," as each term is defined in Item 408(a) of Regulation S-K.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180" w:type="dxa"/>
            <w:vAlign w:val="bottom"/>
            <w:tcBorders>
              <w:bottom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040" w:type="dxa"/>
            <w:vAlign w:val="bottom"/>
          </w:tcPr>
          <w:p>
            <w:pPr>
              <w:jc w:val="center"/>
              <w:ind w:left="53"/>
              <w:spacing w:after="0"/>
              <w:rPr>
                <w:sz w:val="20"/>
                <w:szCs w:val="20"/>
                <w:color w:val="auto"/>
              </w:rPr>
            </w:pPr>
            <w:r>
              <w:rPr>
                <w:rFonts w:ascii="Times New Roman" w:cs="Times New Roman" w:eastAsia="Times New Roman" w:hAnsi="Times New Roman"/>
                <w:sz w:val="11"/>
                <w:szCs w:val="11"/>
                <w:b w:val="1"/>
                <w:bCs w:val="1"/>
                <w:color w:val="auto"/>
              </w:rPr>
              <w:t>Filed/ Furnished</w:t>
            </w:r>
          </w:p>
        </w:tc>
        <w:tc>
          <w:tcPr>
            <w:tcW w:w="0" w:type="dxa"/>
            <w:vAlign w:val="bottom"/>
          </w:tcPr>
          <w:p>
            <w:pPr>
              <w:spacing w:after="0"/>
              <w:rPr>
                <w:sz w:val="1"/>
                <w:szCs w:val="1"/>
                <w:color w:val="auto"/>
              </w:rPr>
            </w:pPr>
          </w:p>
        </w:tc>
      </w:tr>
      <w:tr>
        <w:trPr>
          <w:trHeight w:val="170"/>
        </w:trPr>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2"/>
          </w:tcPr>
          <w:p>
            <w:pPr>
              <w:ind w:left="6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14"/>
                <w:szCs w:val="1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1040" w:type="dxa"/>
            <w:vAlign w:val="bottom"/>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49"/>
        </w:trPr>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5180" w:type="dxa"/>
            <w:vAlign w:val="bottom"/>
            <w:gridSpan w:val="14"/>
          </w:tcPr>
          <w:p>
            <w:pPr>
              <w:spacing w:after="0" w:line="129" w:lineRule="exact"/>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Third Amended and Restated Certificate of Incorporation of Garrett Motion Inc., dated</w:t>
              </w:r>
            </w:hyperlink>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2"/>
                <w:szCs w:val="12"/>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2"/>
                <w:szCs w:val="12"/>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07/25/2024</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0" w:lineRule="exact"/>
              <w:rPr>
                <w:rFonts w:ascii="Times New Roman" w:cs="Times New Roman" w:eastAsia="Times New Roman" w:hAnsi="Times New Roman"/>
                <w:sz w:val="14"/>
                <w:szCs w:val="14"/>
                <w:color w:val="0000FF"/>
                <w:w w:val="99"/>
              </w:rPr>
            </w:pPr>
            <w:hyperlink r:id="rId64">
              <w:r>
                <w:rPr>
                  <w:rFonts w:ascii="Times New Roman" w:cs="Times New Roman" w:eastAsia="Times New Roman" w:hAnsi="Times New Roman"/>
                  <w:sz w:val="14"/>
                  <w:szCs w:val="14"/>
                  <w:color w:val="0000FF"/>
                  <w:w w:val="99"/>
                </w:rPr>
                <w:t>May 29, 2024</w:t>
              </w:r>
            </w:hyperlink>
          </w:p>
        </w:tc>
        <w:tc>
          <w:tcPr>
            <w:tcW w:w="41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470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Fifth Amended and Restated By-Laws of Garrett Motion Inc., dated May 29, 2024</w:t>
              </w:r>
            </w:hyperlink>
          </w:p>
        </w:tc>
        <w:tc>
          <w:tcPr>
            <w:tcW w:w="580" w:type="dxa"/>
            <w:vAlign w:val="bottom"/>
            <w:gridSpan w:val="9"/>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07/25/2024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5280" w:type="dxa"/>
            <w:vAlign w:val="bottom"/>
            <w:gridSpan w:val="15"/>
          </w:tcPr>
          <w:p>
            <w:pPr>
              <w:spacing w:after="0"/>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Restatement Agreement, dated as of January 30, 2025, to the existing Credit Agreement,</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40" w:type="dxa"/>
            <w:vAlign w:val="bottom"/>
            <w:tcBorders>
              <w:top w:val="single" w:sz="8" w:color="0000FF"/>
            </w:tcBorders>
            <w:gridSpan w:val="13"/>
          </w:tcPr>
          <w:p>
            <w:pPr>
              <w:spacing w:after="0" w:line="140" w:lineRule="exact"/>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dated as of April 30, 2021, among Garrett Motion Inc., Garrett LX I S.à r.l., Garrett</w:t>
              </w:r>
            </w:hyperlink>
          </w:p>
        </w:tc>
        <w:tc>
          <w:tcPr>
            <w:tcW w:w="2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80" w:type="dxa"/>
            <w:vAlign w:val="bottom"/>
            <w:gridSpan w:val="15"/>
          </w:tcPr>
          <w:p>
            <w:pPr>
              <w:spacing w:after="0" w:line="140" w:lineRule="exact"/>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Motion Holdings, Inc., Garrett Motion Sàrl, the lenders and issuing banks party thereto,</w:t>
              </w:r>
            </w:hyperlink>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980" w:type="dxa"/>
            <w:vAlign w:val="bottom"/>
            <w:tcBorders>
              <w:top w:val="single" w:sz="8" w:color="0000FF"/>
            </w:tcBorders>
            <w:gridSpan w:val="12"/>
          </w:tcPr>
          <w:p>
            <w:pPr>
              <w:spacing w:after="0" w:line="151" w:lineRule="exact"/>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and JPMorgan Chase Bank, N.A., as administrative agent.</w:t>
              </w:r>
            </w:hyperlink>
          </w:p>
        </w:tc>
        <w:tc>
          <w:tcPr>
            <w:tcW w:w="30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93"/>
        </w:trPr>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tcBorders>
              <w:top w:val="single" w:sz="8" w:color="auto"/>
            </w:tcBorders>
            <w:gridSpan w:val="10"/>
          </w:tcPr>
          <w:p>
            <w:pPr>
              <w:spacing w:after="0" w:line="140"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340" w:type="dxa"/>
            <w:vAlign w:val="bottom"/>
            <w:gridSpan w:val="5"/>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Borders>
              <w:top w:val="single" w:sz="8" w:color="auto"/>
            </w:tcBorders>
            <w:gridSpan w:val="9"/>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360" w:type="dxa"/>
            <w:vAlign w:val="bottom"/>
            <w:gridSpan w:val="6"/>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204"/>
        </w:trPr>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Borders>
              <w:top w:val="single" w:sz="8" w:color="auto"/>
            </w:tcBorders>
            <w:gridSpan w:val="8"/>
          </w:tcPr>
          <w:p>
            <w:pPr>
              <w:spacing w:after="0" w:line="140"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380" w:type="dxa"/>
            <w:vAlign w:val="bottom"/>
            <w:gridSpan w:val="7"/>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Borders>
              <w:top w:val="single" w:sz="8" w:color="auto"/>
            </w:tcBorders>
            <w:gridSpan w:val="9"/>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360" w:type="dxa"/>
            <w:vAlign w:val="bottom"/>
            <w:gridSpan w:val="6"/>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line="20" w:lineRule="exact"/>
              <w:rPr>
                <w:sz w:val="1"/>
                <w:szCs w:val="1"/>
                <w:color w:val="auto"/>
              </w:rPr>
            </w:pPr>
          </w:p>
        </w:tc>
      </w:tr>
      <w:tr>
        <w:trPr>
          <w:trHeight w:val="204"/>
        </w:trPr>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40" w:type="dxa"/>
            <w:vAlign w:val="bottom"/>
            <w:tcBorders>
              <w:top w:val="single" w:sz="8" w:color="auto"/>
              <w:bottom w:val="single" w:sz="8" w:color="auto"/>
            </w:tcBorders>
            <w:gridSpan w:val="4"/>
          </w:tcPr>
          <w:p>
            <w:pPr>
              <w:spacing w:after="0" w:line="140"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800" w:type="dxa"/>
            <w:vAlign w:val="bottom"/>
            <w:tcBorders>
              <w:top w:val="single" w:sz="8" w:color="auto"/>
            </w:tcBorders>
            <w:gridSpan w:val="3"/>
          </w:tcPr>
          <w:p>
            <w:pPr>
              <w:spacing w:after="0"/>
              <w:rPr>
                <w:sz w:val="12"/>
                <w:szCs w:val="12"/>
                <w:color w:val="auto"/>
              </w:rPr>
            </w:pPr>
          </w:p>
        </w:tc>
        <w:tc>
          <w:tcPr>
            <w:tcW w:w="540" w:type="dxa"/>
            <w:vAlign w:val="bottom"/>
            <w:gridSpan w:val="8"/>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7"/>
                <w:szCs w:val="17"/>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18 U.S.C. Section 1350, as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jc w:val="center"/>
              <w:ind w:left="33"/>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40" w:type="dxa"/>
            <w:vAlign w:val="bottom"/>
            <w:tcBorders>
              <w:top w:val="single" w:sz="8" w:color="auto"/>
              <w:bottom w:val="single" w:sz="8" w:color="auto"/>
            </w:tcBorders>
            <w:gridSpan w:val="4"/>
          </w:tcPr>
          <w:p>
            <w:pPr>
              <w:spacing w:after="0" w:line="140"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740" w:type="dxa"/>
            <w:vAlign w:val="bottom"/>
            <w:tcBorders>
              <w:top w:val="single" w:sz="8" w:color="auto"/>
            </w:tcBorders>
          </w:tcPr>
          <w:p>
            <w:pPr>
              <w:spacing w:after="0"/>
              <w:rPr>
                <w:sz w:val="12"/>
                <w:szCs w:val="12"/>
                <w:color w:val="auto"/>
              </w:rPr>
            </w:pPr>
          </w:p>
        </w:tc>
        <w:tc>
          <w:tcPr>
            <w:tcW w:w="600" w:type="dxa"/>
            <w:vAlign w:val="bottom"/>
            <w:gridSpan w:val="10"/>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The following financial information from the Company's Quarterly Report on Form 10-Q</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jc w:val="center"/>
              <w:ind w:left="33"/>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15"/>
          </w:tcPr>
          <w:p>
            <w:pPr>
              <w:spacing w:after="0" w:line="160" w:lineRule="exact"/>
              <w:rPr>
                <w:sz w:val="20"/>
                <w:szCs w:val="20"/>
                <w:color w:val="auto"/>
              </w:rPr>
            </w:pPr>
            <w:r>
              <w:rPr>
                <w:rFonts w:ascii="Times New Roman" w:cs="Times New Roman" w:eastAsia="Times New Roman" w:hAnsi="Times New Roman"/>
                <w:sz w:val="14"/>
                <w:szCs w:val="14"/>
                <w:color w:val="auto"/>
              </w:rPr>
              <w:t>for the quarter ended March 31, 2025, formatted in Inline Extensible Business Reporting</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15"/>
          </w:tcPr>
          <w:p>
            <w:pPr>
              <w:spacing w:after="0" w:line="160" w:lineRule="exact"/>
              <w:rPr>
                <w:sz w:val="20"/>
                <w:szCs w:val="20"/>
                <w:color w:val="auto"/>
              </w:rPr>
            </w:pPr>
            <w:r>
              <w:rPr>
                <w:rFonts w:ascii="Times New Roman" w:cs="Times New Roman" w:eastAsia="Times New Roman" w:hAnsi="Times New Roman"/>
                <w:sz w:val="14"/>
                <w:szCs w:val="14"/>
                <w:color w:val="auto"/>
              </w:rPr>
              <w:t>Language (iXBRL) includes: (i) the Consolidated Interim Statements of Operations, (ii)</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15"/>
          </w:tcPr>
          <w:p>
            <w:pPr>
              <w:spacing w:after="0" w:line="160" w:lineRule="exact"/>
              <w:rPr>
                <w:sz w:val="20"/>
                <w:szCs w:val="20"/>
                <w:color w:val="auto"/>
              </w:rPr>
            </w:pPr>
            <w:r>
              <w:rPr>
                <w:rFonts w:ascii="Times New Roman" w:cs="Times New Roman" w:eastAsia="Times New Roman" w:hAnsi="Times New Roman"/>
                <w:sz w:val="14"/>
                <w:szCs w:val="14"/>
                <w:color w:val="auto"/>
              </w:rPr>
              <w:t>the Consolidated Interim Statements of Comprehensive Income, (iii) the Consolidated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Interim Balance Sheets, (iv) the Consolidated Interim Statements of Cash Flows, (v) the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15"/>
          </w:tcPr>
          <w:p>
            <w:pPr>
              <w:spacing w:after="0" w:line="160" w:lineRule="exact"/>
              <w:rPr>
                <w:sz w:val="20"/>
                <w:szCs w:val="20"/>
                <w:color w:val="auto"/>
              </w:rPr>
            </w:pPr>
            <w:r>
              <w:rPr>
                <w:rFonts w:ascii="Times New Roman" w:cs="Times New Roman" w:eastAsia="Times New Roman" w:hAnsi="Times New Roman"/>
                <w:sz w:val="14"/>
                <w:szCs w:val="14"/>
                <w:color w:val="auto"/>
              </w:rPr>
              <w:t>Consolidated Interim Statements of Equity (Deficit) and (vi) Notes to the Consolidated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Interim Financial Statements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jc w:val="center"/>
              <w:ind w:left="33"/>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532"/>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8"/>
          </w:tcPr>
          <w:p>
            <w:pPr>
              <w:ind w:left="4600"/>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1640" w:type="dxa"/>
            <w:vAlign w:val="bottom"/>
            <w:tcBorders>
              <w:bottom w:val="single" w:sz="8" w:color="9A9A9A"/>
            </w:tcBorders>
          </w:tcPr>
          <w:p>
            <w:pPr>
              <w:spacing w:after="0"/>
              <w:rPr>
                <w:sz w:val="23"/>
                <w:szCs w:val="23"/>
                <w:color w:val="auto"/>
              </w:rPr>
            </w:pPr>
          </w:p>
        </w:tc>
        <w:tc>
          <w:tcPr>
            <w:tcW w:w="64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6" w:name="page37"/>
    <w:bookmarkEnd w:id="36"/>
    <w:p>
      <w:pPr>
        <w:ind w:left="500" w:hanging="494"/>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389890</wp:posOffset>
            </wp:positionH>
            <wp:positionV relativeFrom="page">
              <wp:posOffset>542290</wp:posOffset>
            </wp:positionV>
            <wp:extent cx="85217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852170" cy="6985"/>
                    </a:xfrm>
                    <a:prstGeom prst="rect">
                      <a:avLst/>
                    </a:prstGeom>
                    <a:noFill/>
                  </pic:spPr>
                </pic:pic>
              </a:graphicData>
            </a:graphic>
          </wp:anchor>
        </w:drawing>
        <w:t>Filed herewith.</w:t>
      </w:r>
    </w:p>
    <w:p>
      <w:pPr>
        <w:spacing w:after="0" w:line="137" w:lineRule="exact"/>
        <w:rPr>
          <w:sz w:val="20"/>
          <w:szCs w:val="20"/>
          <w:color w:val="auto"/>
        </w:rPr>
      </w:pPr>
    </w:p>
    <w:p>
      <w:pPr>
        <w:ind w:left="500" w:hanging="494"/>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371"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171450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39"/>
          </w:cols>
          <w:pgMar w:left="620" w:top="977" w:right="1440" w:bottom="1440" w:gutter="0" w:footer="0" w:header="0"/>
        </w:sectPr>
      </w:pPr>
    </w:p>
    <w:bookmarkStart w:id="37" w:name="page38"/>
    <w:bookmarkEnd w:id="37"/>
    <w:p>
      <w:pPr>
        <w:ind w:left="50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Garrett Motion Inc.</w:t>
      </w:r>
    </w:p>
    <w:p>
      <w:pPr>
        <w:spacing w:after="0" w:line="254" w:lineRule="exact"/>
        <w:rPr>
          <w:sz w:val="20"/>
          <w:szCs w:val="20"/>
          <w:color w:val="auto"/>
        </w:rPr>
      </w:pPr>
    </w:p>
    <w:p>
      <w:pPr>
        <w:spacing w:after="0"/>
        <w:tabs>
          <w:tab w:leader="none" w:pos="5020" w:val="left"/>
          <w:tab w:leader="none" w:pos="7880" w:val="left"/>
        </w:tabs>
        <w:rPr>
          <w:sz w:val="20"/>
          <w:szCs w:val="20"/>
          <w:color w:val="auto"/>
        </w:rPr>
      </w:pPr>
      <w:r>
        <w:rPr>
          <w:rFonts w:ascii="Times New Roman" w:cs="Times New Roman" w:eastAsia="Times New Roman" w:hAnsi="Times New Roman"/>
          <w:sz w:val="14"/>
          <w:szCs w:val="14"/>
          <w:color w:val="auto"/>
        </w:rPr>
        <w:t>Date: May 1,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Olivier Rabiller</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56" w:lineRule="exact"/>
        <w:rPr>
          <w:sz w:val="20"/>
          <w:szCs w:val="20"/>
          <w:color w:val="auto"/>
        </w:rPr>
      </w:pPr>
    </w:p>
    <w:p>
      <w:pPr>
        <w:spacing w:after="0"/>
        <w:tabs>
          <w:tab w:leader="none" w:pos="5020" w:val="left"/>
          <w:tab w:leader="none" w:pos="7960" w:val="left"/>
        </w:tabs>
        <w:rPr>
          <w:sz w:val="20"/>
          <w:szCs w:val="20"/>
          <w:color w:val="auto"/>
        </w:rPr>
      </w:pPr>
      <w:r>
        <w:rPr>
          <w:rFonts w:ascii="Times New Roman" w:cs="Times New Roman" w:eastAsia="Times New Roman" w:hAnsi="Times New Roman"/>
          <w:sz w:val="14"/>
          <w:szCs w:val="14"/>
          <w:color w:val="auto"/>
        </w:rPr>
        <w:t>Date: May 1,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Sean Deason</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200" w:lineRule="exact"/>
        <w:rPr>
          <w:sz w:val="20"/>
          <w:szCs w:val="20"/>
          <w:color w:val="auto"/>
        </w:rPr>
      </w:pPr>
    </w:p>
    <w:p>
      <w:pPr>
        <w:spacing w:after="0" w:line="37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360"/>
          </w:cols>
          <w:pgMar w:left="620" w:top="1241" w:right="9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May 1, 2025</w:t>
            </w:r>
          </w:p>
        </w:tc>
        <w:tc>
          <w:tcPr>
            <w:tcW w:w="2540" w:type="dxa"/>
            <w:vAlign w:val="bottom"/>
          </w:tcPr>
          <w:p>
            <w:pPr>
              <w:ind w:left="232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4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May 1,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March 31, 2025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May 1,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March 31, 2025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 May 1,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lowerRoman"/>
      <w:start w:val="5"/>
    </w:lvl>
    <w:lvl w:ilvl="1">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64" Type="http://schemas.openxmlformats.org/officeDocument/2006/relationships/hyperlink" Target="https://www.sec.gov/Archives/edgar/data/1735707/000173570724000044/exhibit3_1-garrettmotionxt.htm" TargetMode="External"/><Relationship Id="rId65" Type="http://schemas.openxmlformats.org/officeDocument/2006/relationships/hyperlink" Target="https://www.sec.gov/ix?doc=/Archives/edgar/data/1735707/000173570724000044/gtx-20240630.htm" TargetMode="External"/><Relationship Id="rId66" Type="http://schemas.openxmlformats.org/officeDocument/2006/relationships/hyperlink" Target="https://www.sec.gov/Archives/edgar/data/1735707/000095014225000228/eh250584889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2025-05-01T06:16:07Z</dcterms:created>
  <dcterms:modified xsi:type="dcterms:W3CDTF">2025-05-01T06:16:07Z</dcterms:modified>
</cp:coreProperties>
</file>