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firstLine="432"/>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32"/>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ind w:left="0" w:right="0" w:firstLine="432"/>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ind w:left="0" w:right="0" w:firstLine="432"/>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spacing w:lineRule="auto" w:line="288" w:before="200" w:after="283"/>
        <w:ind w:left="0" w:right="0" w:firstLine="432"/>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spacing w:lineRule="auto" w:line="288" w:before="0" w:after="0"/>
        <w:ind w:left="0" w:right="0" w:firstLine="432"/>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20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200" w:after="283"/>
        <w:ind w:left="0" w:right="0" w:firstLine="1080"/>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20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spacing w:lineRule="auto" w:line="288" w:before="120" w:after="283"/>
        <w:ind w:left="0" w:right="0" w:firstLine="432"/>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222222"/>
          <w:sz w:val="20"/>
          <w:highlight w:val="white"/>
        </w:rPr>
        <w:t>001-38636</w:t>
      </w:r>
    </w:p>
    <w:p>
      <w:pPr>
        <w:pStyle w:val="TextBody"/>
        <w:spacing w:lineRule="auto" w:line="288"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spacing w:lineRule="auto" w:line="288" w:before="200" w:after="283"/>
        <w:ind w:left="0" w:right="0" w:firstLine="432"/>
        <w:jc w:val="center"/>
        <w:rPr>
          <w:rFonts w:ascii="Times New Roman;sans-serif" w:hAnsi="Times New Roman;sans-serif"/>
          <w:b/>
          <w:color w:val="000000"/>
          <w:sz w:val="48"/>
        </w:rPr>
      </w:pPr>
      <w:r>
        <w:rPr>
          <w:rFonts w:ascii="Times New Roman;sans-serif" w:hAnsi="Times New Roman;sans-serif"/>
          <w:b/>
          <w:color w:val="000000"/>
          <w:sz w:val="48"/>
        </w:rPr>
        <w:t>Garrett Motion Inc.</w:t>
      </w:r>
    </w:p>
    <w:p>
      <w:pPr>
        <w:pStyle w:val="TextBody"/>
        <w:spacing w:lineRule="auto" w:line="288"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88"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tbl>
      <w:tblPr>
        <w:tblW w:w="3959" w:type="dxa"/>
        <w:jc w:val="left"/>
        <w:tblInd w:w="0" w:type="dxa"/>
        <w:tblCellMar>
          <w:top w:w="28" w:type="dxa"/>
          <w:left w:w="28" w:type="dxa"/>
          <w:bottom w:w="28" w:type="dxa"/>
          <w:right w:w="28" w:type="dxa"/>
        </w:tblCellMar>
      </w:tblPr>
      <w:tblGrid>
        <w:gridCol w:w="994"/>
        <w:gridCol w:w="872"/>
        <w:gridCol w:w="878"/>
        <w:gridCol w:w="355"/>
        <w:gridCol w:w="355"/>
        <w:gridCol w:w="505"/>
      </w:tblGrid>
      <w:tr>
        <w:trPr/>
        <w:tc>
          <w:tcPr>
            <w:tcW w:w="99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1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82-4873189</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(State or other jurisdiction of</w:t>
              <w:br/>
              <w:t>incorporation or organization)</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(I.R.S. Employer</w:t>
              <w:br/>
              <w:t>Identification No.)</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La Pièce 16, Rolle, Switzerland</w:t>
            </w:r>
          </w:p>
        </w:tc>
        <w:tc>
          <w:tcPr>
            <w:tcW w:w="121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1180</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1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88" w:before="20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+41 21 695 30 00</w:t>
      </w:r>
    </w:p>
    <w:p>
      <w:pPr>
        <w:pStyle w:val="TextBody"/>
        <w:spacing w:lineRule="auto" w:line="288" w:before="0" w:after="0"/>
        <w:ind w:left="0" w:right="0" w:firstLine="432"/>
        <w:jc w:val="center"/>
        <w:rPr>
          <w:rFonts w:ascii="Times New Roman;sans-serif" w:hAnsi="Times New Roman;sans-serif"/>
          <w:b/>
          <w:color w:val="000000"/>
          <w:sz w:val="14"/>
        </w:rPr>
      </w:pPr>
      <w:r>
        <w:rPr>
          <w:rFonts w:ascii="Times New Roman;sans-serif" w:hAnsi="Times New Roman;sans-serif"/>
          <w:b/>
          <w:color w:val="000000"/>
          <w:sz w:val="14"/>
        </w:rPr>
        <w:t>(Registrant’s telephone number, including area code)</w:t>
      </w:r>
    </w:p>
    <w:p>
      <w:pPr>
        <w:pStyle w:val="TextBody"/>
        <w:spacing w:lineRule="auto" w:line="288" w:before="20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ind w:left="0" w:right="0" w:firstLine="432"/>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w:t>
      </w:r>
    </w:p>
    <w:p>
      <w:pPr>
        <w:pStyle w:val="TextBody"/>
        <w:spacing w:lineRule="auto" w:line="288" w:before="0" w:after="0"/>
        <w:ind w:left="0" w:right="0" w:firstLine="432"/>
        <w:jc w:val="center"/>
        <w:rPr/>
      </w:pPr>
      <w:r>
        <w:rPr>
          <w:rFonts w:ascii="Times New Roman;sans-serif" w:hAnsi="Times New Roman;sans-serif"/>
          <w:b/>
          <w:color w:val="000000"/>
          <w:sz w:val="14"/>
        </w:rPr>
        <w:t>if Changed Since Last Report)</w:t>
      </w:r>
      <w:r>
        <w:rPr>
          <w:color w:val="000000"/>
        </w:rPr>
        <w:t xml:space="preserve"> </w:t>
      </w:r>
    </w:p>
    <w:p>
      <w:pPr>
        <w:pStyle w:val="TextBody"/>
        <w:spacing w:lineRule="auto" w:line="288" w:before="200" w:after="283"/>
        <w:ind w:left="0" w:right="0" w:firstLine="432"/>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10205" w:type="dxa"/>
        <w:jc w:val="left"/>
        <w:tblInd w:w="0" w:type="dxa"/>
        <w:tblCellMar>
          <w:top w:w="28" w:type="dxa"/>
          <w:left w:w="28" w:type="dxa"/>
          <w:bottom w:w="28" w:type="dxa"/>
          <w:right w:w="28" w:type="dxa"/>
        </w:tblCellMar>
      </w:tblPr>
      <w:tblGrid>
        <w:gridCol w:w="2075"/>
        <w:gridCol w:w="1765"/>
        <w:gridCol w:w="1772"/>
        <w:gridCol w:w="483"/>
        <w:gridCol w:w="483"/>
        <w:gridCol w:w="485"/>
        <w:gridCol w:w="919"/>
        <w:gridCol w:w="919"/>
        <w:gridCol w:w="1304"/>
      </w:tblGrid>
      <w:tr>
        <w:trPr/>
        <w:tc>
          <w:tcPr>
            <w:tcW w:w="2075"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561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45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142"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561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45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GTX</w:t>
            </w:r>
          </w:p>
        </w:tc>
        <w:tc>
          <w:tcPr>
            <w:tcW w:w="3142"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612"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Series A Cumulative Convertible Preferred Stock, par value $0.001 per share</w:t>
            </w:r>
          </w:p>
        </w:tc>
        <w:tc>
          <w:tcPr>
            <w:tcW w:w="1451"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GTXAP</w:t>
            </w:r>
          </w:p>
        </w:tc>
        <w:tc>
          <w:tcPr>
            <w:tcW w:w="3142"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200" w:after="283"/>
        <w:ind w:left="0" w:right="0" w:firstLine="432"/>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200" w:after="283"/>
        <w:ind w:left="0" w:right="0" w:firstLine="432"/>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200" w:after="283"/>
        <w:ind w:left="0" w:right="0" w:firstLine="450"/>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5759"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bl>
    <w:p>
      <w:pPr>
        <w:pStyle w:val="TextBody"/>
        <w:spacing w:lineRule="auto" w:line="288" w:before="200" w:after="283"/>
        <w:ind w:left="0" w:right="0" w:firstLine="45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200" w:after="283"/>
        <w:ind w:left="0" w:right="0" w:firstLine="450"/>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200" w:after="283"/>
        <w:ind w:left="0" w:right="0" w:firstLine="432"/>
        <w:rPr/>
      </w:pPr>
      <w:r>
        <w:rPr>
          <w:rFonts w:ascii="Times New Roman;sans-serif" w:hAnsi="Times New Roman;sans-serif"/>
          <w:b w:val="false"/>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200" w:after="283"/>
        <w:ind w:left="0" w:right="0" w:firstLine="432"/>
        <w:rPr/>
      </w:pPr>
      <w:r>
        <w:rPr>
          <w:rFonts w:ascii="Times New Roman;sans-serif" w:hAnsi="Times New Roman;sans-serif"/>
          <w:b w:val="false"/>
          <w:color w:val="000000"/>
          <w:sz w:val="18"/>
        </w:rPr>
        <w:t>As of April 19, 2023, the registrant had 64,959,553 shares</w:t>
      </w:r>
      <w:r>
        <w:rPr>
          <w:color w:val="000000"/>
          <w:highlight w:val="white"/>
        </w:rPr>
        <w:t xml:space="preserve"> </w:t>
      </w:r>
      <w:r>
        <w:rPr>
          <w:rFonts w:ascii="Times New Roman;sans-serif" w:hAnsi="Times New Roman;sans-serif"/>
          <w:b w:val="false"/>
          <w:color w:val="000000"/>
          <w:sz w:val="18"/>
          <w:highlight w:val="white"/>
        </w:rPr>
        <w:t>of Com</w:t>
      </w:r>
      <w:r>
        <w:rPr>
          <w:rFonts w:ascii="Times New Roman;sans-serif" w:hAnsi="Times New Roman;sans-serif"/>
          <w:b w:val="false"/>
          <w:color w:val="000000"/>
          <w:sz w:val="18"/>
        </w:rPr>
        <w:t xml:space="preserve">mon Stock, $0.001 par value per share, outstanding.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ind w:left="0" w:right="0" w:firstLine="43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432"/>
                        <w:jc w:val="both"/>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20" w:type="dxa"/>
        <w:jc w:val="left"/>
        <w:tblInd w:w="0" w:type="dxa"/>
        <w:tblCellMar>
          <w:top w:w="28" w:type="dxa"/>
          <w:left w:w="28" w:type="dxa"/>
          <w:bottom w:w="28" w:type="dxa"/>
          <w:right w:w="28" w:type="dxa"/>
        </w:tblCellMar>
      </w:tblPr>
      <w:tblGrid>
        <w:gridCol w:w="320"/>
        <w:gridCol w:w="281"/>
        <w:gridCol w:w="283"/>
        <w:gridCol w:w="2454"/>
        <w:gridCol w:w="2454"/>
        <w:gridCol w:w="2457"/>
        <w:gridCol w:w="167"/>
        <w:gridCol w:w="167"/>
        <w:gridCol w:w="237"/>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57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0">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0">
              <w:r>
                <w:rPr>
                  <w:rStyle w:val="InternetLink"/>
                  <w:rFonts w:ascii="Times New Roman;sans-serif" w:hAnsi="Times New Roman;sans-serif"/>
                  <w:b w:val="false"/>
                  <w:color w:val="0000FF"/>
                  <w:sz w:val="20"/>
                  <w:u w:val="single"/>
                </w:rPr>
                <w:t>FINANCIAL INFORMATION</w:t>
              </w:r>
            </w:hyperlink>
          </w:p>
        </w:tc>
        <w:tc>
          <w:tcPr>
            <w:tcW w:w="571"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0"/>
              <w:jc w:val="right"/>
              <w:rPr/>
            </w:pPr>
            <w:hyperlink w:anchor="i2ea2ab5fc4c14b73815a8aa8a08dd2a7_10">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
              <w:r>
                <w:rPr>
                  <w:rStyle w:val="InternetLink"/>
                  <w:rFonts w:ascii="Times New Roman;sans-serif" w:hAnsi="Times New Roman;sans-serif"/>
                  <w:b w:val="false"/>
                  <w:color w:val="0000FF"/>
                  <w:sz w:val="20"/>
                  <w:u w:val="single"/>
                </w:rPr>
                <w:t>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3">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6">
              <w:r>
                <w:rPr>
                  <w:rStyle w:val="InternetLink"/>
                  <w:rFonts w:ascii="Times New Roman;sans-serif" w:hAnsi="Times New Roman;sans-serif"/>
                  <w:b w:val="false"/>
                  <w:color w:val="0000FF"/>
                  <w:sz w:val="20"/>
                  <w:u w:val="single"/>
                </w:rPr>
                <w:t>Consolidated Interim Statements of Operations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6">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9">
              <w:r>
                <w:rPr>
                  <w:rStyle w:val="InternetLink"/>
                  <w:rFonts w:ascii="Times New Roman;sans-serif" w:hAnsi="Times New Roman;sans-serif"/>
                  <w:b w:val="false"/>
                  <w:color w:val="0000FF"/>
                  <w:sz w:val="20"/>
                  <w:u w:val="single"/>
                </w:rPr>
                <w:t>Consolidated Interim Statements of Comprehensive Income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9">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22">
              <w:r>
                <w:rPr>
                  <w:rStyle w:val="InternetLink"/>
                  <w:rFonts w:ascii="Times New Roman;sans-serif" w:hAnsi="Times New Roman;sans-serif"/>
                  <w:b w:val="false"/>
                  <w:color w:val="0000FF"/>
                  <w:sz w:val="20"/>
                  <w:u w:val="single"/>
                </w:rPr>
                <w:t>Consolidated Interim Balance Sheets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22">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25">
              <w:r>
                <w:rPr>
                  <w:rStyle w:val="InternetLink"/>
                  <w:rFonts w:ascii="Times New Roman;sans-serif" w:hAnsi="Times New Roman;sans-serif"/>
                  <w:b w:val="false"/>
                  <w:color w:val="0000FF"/>
                  <w:sz w:val="20"/>
                  <w:u w:val="single"/>
                </w:rPr>
                <w:t>Consolidated Interim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25">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28">
              <w:r>
                <w:rPr>
                  <w:rStyle w:val="InternetLink"/>
                  <w:rFonts w:ascii="Times New Roman;sans-serif" w:hAnsi="Times New Roman;sans-serif"/>
                  <w:b w:val="false"/>
                  <w:color w:val="0000FF"/>
                  <w:sz w:val="20"/>
                  <w:u w:val="single"/>
                </w:rPr>
                <w:t>Consolidated Interim Statements of Equity (Deficit) (Unaudited)</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28">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31">
              <w:r>
                <w:rPr>
                  <w:rStyle w:val="InternetLink"/>
                  <w:rFonts w:ascii="Times New Roman;sans-serif" w:hAnsi="Times New Roman;sans-serif"/>
                  <w:b w:val="false"/>
                  <w:color w:val="0000FF"/>
                  <w:sz w:val="20"/>
                  <w:u w:val="single"/>
                </w:rPr>
                <w:t>Notes to Consolidated Interim Financial Statements</w:t>
              </w:r>
            </w:hyperlink>
            <w:r>
              <w:rPr>
                <w:color w:val="000000"/>
              </w:rPr>
              <w:t xml:space="preserve"> </w:t>
            </w:r>
            <w:r>
              <w:rPr>
                <w:rFonts w:ascii="Times New Roman;sans-serif" w:hAnsi="Times New Roman;sans-serif"/>
                <w:b w:val="false"/>
                <w:color w:val="000000"/>
                <w:sz w:val="20"/>
              </w:rPr>
              <w:t>(</w:t>
            </w:r>
            <w:hyperlink w:anchor="i2ea2ab5fc4c14b73815a8aa8a08dd2a7_31">
              <w:r>
                <w:rPr>
                  <w:rStyle w:val="InternetLink"/>
                  <w:rFonts w:ascii="Times New Roman;sans-serif" w:hAnsi="Times New Roman;sans-serif"/>
                  <w:b w:val="false"/>
                  <w:color w:val="0000FF"/>
                  <w:sz w:val="20"/>
                  <w:u w:val="single"/>
                </w:rPr>
                <w:t>Unaudited</w:t>
              </w:r>
            </w:hyperlink>
            <w:r>
              <w:rPr>
                <w:rFonts w:ascii="Times New Roman;sans-serif" w:hAnsi="Times New Roman;sans-serif"/>
                <w:b w:val="false"/>
                <w:color w:val="000000"/>
                <w:sz w:val="20"/>
              </w:rPr>
              <w:t>)</w:t>
            </w:r>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31">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00">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00">
              <w:r>
                <w:rPr>
                  <w:rStyle w:val="InternetLink"/>
                  <w:rFonts w:ascii="Times New Roman;sans-serif" w:hAnsi="Times New Roman;sans-serif"/>
                  <w:b w:val="false"/>
                  <w:strike w:val="false"/>
                  <w:dstrike w:val="false"/>
                  <w:color w:val="000000"/>
                  <w:sz w:val="20"/>
                  <w:u w:val="none"/>
                  <w:effect w:val="none"/>
                </w:rPr>
                <w:t>22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21">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21">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21">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24">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24">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24">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27">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27">
              <w:r>
                <w:rPr>
                  <w:rStyle w:val="InternetLink"/>
                  <w:rFonts w:ascii="Times New Roman;sans-serif" w:hAnsi="Times New Roman;sans-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27">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0">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0">
              <w:r>
                <w:rPr>
                  <w:rStyle w:val="InternetLink"/>
                  <w:rFonts w:ascii="Times New Roman;sans-serif" w:hAnsi="Times New Roman;sans-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30">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3">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3">
              <w:r>
                <w:rPr>
                  <w:rStyle w:val="InternetLink"/>
                  <w:rFonts w:ascii="Times New Roman;sans-serif" w:hAnsi="Times New Roman;sans-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33">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6">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6">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36">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9">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39">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39">
              <w:r>
                <w:rPr>
                  <w:rStyle w:val="InternetLink"/>
                  <w:rFonts w:ascii="Times New Roman;sans-serif" w:hAnsi="Times New Roman;sans-serif"/>
                  <w:b w:val="false"/>
                  <w:strike w:val="false"/>
                  <w:dstrike w:val="false"/>
                  <w:color w:val="000000"/>
                  <w:sz w:val="20"/>
                  <w:u w:val="none"/>
                  <w:effect w:val="non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42">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42">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42">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45">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45">
              <w:r>
                <w:rPr>
                  <w:rStyle w:val="InternetLink"/>
                  <w:rFonts w:ascii="Times New Roman;sans-serif" w:hAnsi="Times New Roman;sans-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45">
              <w:r>
                <w:rPr>
                  <w:rStyle w:val="InternetLink"/>
                  <w:rFonts w:ascii="Times New Roman;sans-serif" w:hAnsi="Times New Roman;sans-serif"/>
                  <w:b w:val="false"/>
                  <w:strike w:val="false"/>
                  <w:dstrike w:val="false"/>
                  <w:color w:val="000000"/>
                  <w:sz w:val="20"/>
                  <w:u w:val="none"/>
                  <w:effect w:val="none"/>
                </w:rPr>
                <w:t>33</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48">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48">
              <w:r>
                <w:rPr>
                  <w:rStyle w:val="InternetLink"/>
                  <w:rFonts w:ascii="Times New Roman;sans-serif" w:hAnsi="Times New Roman;sans-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48">
              <w:r>
                <w:rPr>
                  <w:rStyle w:val="InternetLink"/>
                  <w:rFonts w:ascii="Times New Roman;sans-serif" w:hAnsi="Times New Roman;sans-serif"/>
                  <w:b w:val="false"/>
                  <w:strike w:val="false"/>
                  <w:dstrike w:val="false"/>
                  <w:color w:val="000000"/>
                  <w:sz w:val="20"/>
                  <w:u w:val="none"/>
                  <w:effect w:val="none"/>
                </w:rPr>
                <w:t>34</w:t>
              </w:r>
            </w:hyperlink>
          </w:p>
        </w:tc>
      </w:tr>
      <w:tr>
        <w:trPr/>
        <w:tc>
          <w:tcPr>
            <w:tcW w:w="8249" w:type="dxa"/>
            <w:gridSpan w:val="6"/>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2ea2ab5fc4c14b73815a8aa8a08dd2a7_151">
              <w:r>
                <w:rPr>
                  <w:rStyle w:val="InternetLink"/>
                  <w:rFonts w:ascii="Times New Roman;sans-serif" w:hAnsi="Times New Roman;sans-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2ea2ab5fc4c14b73815a8aa8a08dd2a7_151">
              <w:r>
                <w:rPr>
                  <w:rStyle w:val="InternetLink"/>
                  <w:rFonts w:ascii="Times New Roman;sans-serif" w:hAnsi="Times New Roman;sans-serif"/>
                  <w:b w:val="false"/>
                  <w:strike w:val="false"/>
                  <w:dstrike w:val="false"/>
                  <w:color w:val="000000"/>
                  <w:sz w:val="20"/>
                  <w:u w:val="none"/>
                  <w:effect w:val="none"/>
                </w:rPr>
                <w:t>36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432"/>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GARRETT MOTION INC.</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INTERIM STATEMENTS OF OPERATIONS </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13" w:type="dxa"/>
        <w:jc w:val="left"/>
        <w:tblInd w:w="0" w:type="dxa"/>
        <w:tblCellMar>
          <w:top w:w="28" w:type="dxa"/>
          <w:left w:w="28" w:type="dxa"/>
          <w:bottom w:w="28" w:type="dxa"/>
          <w:right w:w="28" w:type="dxa"/>
        </w:tblCellMar>
      </w:tblPr>
      <w:tblGrid>
        <w:gridCol w:w="1413"/>
        <w:gridCol w:w="1236"/>
        <w:gridCol w:w="1251"/>
        <w:gridCol w:w="109"/>
        <w:gridCol w:w="109"/>
        <w:gridCol w:w="166"/>
        <w:gridCol w:w="166"/>
        <w:gridCol w:w="458"/>
        <w:gridCol w:w="1109"/>
        <w:gridCol w:w="235"/>
        <w:gridCol w:w="154"/>
        <w:gridCol w:w="154"/>
        <w:gridCol w:w="154"/>
        <w:gridCol w:w="315"/>
        <w:gridCol w:w="766"/>
        <w:gridCol w:w="218"/>
      </w:tblGrid>
      <w:tr>
        <w:trPr/>
        <w:tc>
          <w:tcPr>
            <w:tcW w:w="1413"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4" w:type="dxa"/>
            <w:gridSpan w:val="5"/>
            <w:tcBorders/>
            <w:shd w:fill="FFFFFF"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761" w:type="dxa"/>
            <w:gridSpan w:val="6"/>
            <w:tcBorders/>
            <w:shd w:fill="auto" w:val="clea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563"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 amounts)</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(Note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18"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5"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18"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0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Reorganization items,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18"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expense (Note 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35"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8"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 (Note 18)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distribution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color w:val="000000"/>
              </w:rPr>
            </w:pPr>
            <w:r>
              <w:rPr>
                <w:color w:val="000000"/>
              </w:rPr>
              <w:t> </w:t>
            </w:r>
            <w:r>
              <w:rPr>
                <w:rFonts w:ascii="Times New Roman;sans-serif" w:hAnsi="Times New Roman;sans-serif"/>
                <w:b w:val="false"/>
                <w:color w:val="000000"/>
                <w:sz w:val="20"/>
              </w:rPr>
              <w:t>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64,896,081 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64,538,527 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65,970,723 </w:t>
            </w:r>
          </w:p>
        </w:tc>
        <w:tc>
          <w:tcPr>
            <w:tcW w:w="2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64,732,090 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to the Consolidated Interim Financial Statements are an integral part of this statement.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43535"/>
                <wp:effectExtent l="0" t="0" r="0" b="0"/>
                <wp:wrapNone/>
                <wp:docPr id="3" name="Frame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 xml:space="preserve">GARRETT MOTION INC. </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CONSOLIDATED INTERIM STATEMENTS OF COMPREHENSIVE INCOME</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872" w:type="dxa"/>
        <w:jc w:val="left"/>
        <w:tblInd w:w="0" w:type="dxa"/>
        <w:tblCellMar>
          <w:top w:w="28" w:type="dxa"/>
          <w:left w:w="28" w:type="dxa"/>
          <w:bottom w:w="28" w:type="dxa"/>
          <w:right w:w="28" w:type="dxa"/>
        </w:tblCellMar>
      </w:tblPr>
      <w:tblGrid>
        <w:gridCol w:w="2135"/>
        <w:gridCol w:w="1871"/>
        <w:gridCol w:w="1888"/>
        <w:gridCol w:w="109"/>
        <w:gridCol w:w="109"/>
        <w:gridCol w:w="194"/>
        <w:gridCol w:w="194"/>
        <w:gridCol w:w="376"/>
        <w:gridCol w:w="644"/>
        <w:gridCol w:w="194"/>
        <w:gridCol w:w="109"/>
        <w:gridCol w:w="109"/>
        <w:gridCol w:w="109"/>
        <w:gridCol w:w="211"/>
        <w:gridCol w:w="466"/>
        <w:gridCol w:w="154"/>
      </w:tblGrid>
      <w:tr>
        <w:trPr/>
        <w:tc>
          <w:tcPr>
            <w:tcW w:w="2135"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c>
          <w:tcPr>
            <w:tcW w:w="18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FFFFFF"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372"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76" w:before="15"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effective cash flow hedges, net of tax (Note 16)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of net investment hedges, net of tax (Note 16)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income,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9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center"/>
        <w:rPr/>
      </w:pPr>
      <w:r>
        <w:rPr>
          <w:rFonts w:ascii="Times New Roman;sans-serif" w:hAnsi="Times New Roman;sans-serif"/>
          <w:b w:val="false"/>
          <w:color w:val="000000"/>
          <w:sz w:val="20"/>
        </w:rPr>
        <w:t>The Notes to the Consolidated Interim Financial Statements are an integral part of this statement.</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3535"/>
                <wp:effectExtent l="0" t="0" r="0" b="0"/>
                <wp:wrapNone/>
                <wp:docPr id="4" name="Frame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 xml:space="preserve">GARRETT MOTION INC. </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INTERIM BALANCE SHEETS </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3192"/>
        <w:gridCol w:w="2371"/>
        <w:gridCol w:w="2339"/>
        <w:gridCol w:w="211"/>
        <w:gridCol w:w="616"/>
        <w:gridCol w:w="109"/>
        <w:gridCol w:w="109"/>
        <w:gridCol w:w="109"/>
        <w:gridCol w:w="109"/>
        <w:gridCol w:w="223"/>
        <w:gridCol w:w="652"/>
        <w:gridCol w:w="165"/>
      </w:tblGrid>
      <w:tr>
        <w:trPr/>
        <w:tc>
          <w:tcPr>
            <w:tcW w:w="3192"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23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790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936"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90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2303"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93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notes and other receivables – net (Note 6)</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 net (Note 8)</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long-term receivables</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(Note 9)</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(Note 14)</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790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11)</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14)</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(Note 12)</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7902"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0" w:type="dxa"/>
            <w:gridSpan w:val="3"/>
            <w:tcBorders/>
            <w:shd w:fill="auto" w:val="cle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6" w:before="15" w:after="283"/>
              <w:jc w:val="left"/>
              <w:rPr/>
            </w:pPr>
            <w:r>
              <w:rPr>
                <w:rFonts w:ascii="Times New Roman;sans-serif" w:hAnsi="Times New Roman;sans-serif"/>
                <w:b/>
                <w:color w:val="000000"/>
                <w:sz w:val="20"/>
              </w:rPr>
              <w:t xml:space="preserve">COMMITMENTS AND CONTINGENCIES </w:t>
            </w:r>
            <w:r>
              <w:rPr>
                <w:rFonts w:ascii="Times New Roman;sans-serif" w:hAnsi="Times New Roman;sans-serif"/>
                <w:b w:val="false"/>
                <w:color w:val="000000"/>
                <w:sz w:val="20"/>
              </w:rPr>
              <w:t>(Note 20)</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EQUITY (DEFICIT)</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 par value $0.001; 245,045,431 and 245,089,671 shares issued and outstanding as of March 31, 2023 and December 31, 2022, respectively</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$0.001; 1,000,000,000 and 1,000,000,000 shares authorized, 65,099,244 and 64,943,238 issued and 64,959,553 and 64,832,609 outstanding as of March 31, 2023 and December 31, 2022, respectively </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(Note 17)</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deficit</w:t>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65"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0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deficit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6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to the Consolidated Interim Financial Statements are an integral part of this statement.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 xml:space="preserve">GARRETT MOTION INC. </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CONSOLIDATED INTERIM STATEMENTS OF CASH FLOWS</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463"/>
        <w:gridCol w:w="2156"/>
        <w:gridCol w:w="2167"/>
        <w:gridCol w:w="267"/>
        <w:gridCol w:w="591"/>
        <w:gridCol w:w="138"/>
        <w:gridCol w:w="138"/>
        <w:gridCol w:w="138"/>
        <w:gridCol w:w="138"/>
        <w:gridCol w:w="267"/>
        <w:gridCol w:w="683"/>
        <w:gridCol w:w="138"/>
        <w:gridCol w:w="109"/>
        <w:gridCol w:w="109"/>
        <w:gridCol w:w="109"/>
        <w:gridCol w:w="109"/>
        <w:gridCol w:w="109"/>
        <w:gridCol w:w="109"/>
        <w:gridCol w:w="109"/>
        <w:gridCol w:w="158"/>
      </w:tblGrid>
      <w:tr>
        <w:trPr/>
        <w:tc>
          <w:tcPr>
            <w:tcW w:w="2463"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2498" w:type="dxa"/>
            <w:gridSpan w:val="9"/>
            <w:tcBorders/>
            <w:shd w:fill="FFFFFF" w:val="clear"/>
            <w:tcMar>
              <w:top w:w="0" w:type="dxa"/>
              <w:left w:w="0" w:type="dxa"/>
              <w:bottom w:w="0" w:type="dxa"/>
              <w:right w:w="0" w:type="dxa"/>
            </w:tcMar>
            <w:vAlign w:val="center"/>
          </w:tcPr>
          <w:p>
            <w:pPr>
              <w:pStyle w:val="TableContents"/>
              <w:spacing w:lineRule="auto" w:line="273" w:before="0" w:after="0"/>
              <w:jc w:val="center"/>
              <w:rPr>
                <w:color w:val="000000"/>
              </w:rPr>
            </w:pPr>
            <w:r>
              <w:rPr>
                <w:color w:val="000000"/>
              </w:rPr>
              <w:t>  </w:t>
            </w: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996"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996"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6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deferred issuance costs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payments, net of debt discount accretion</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compensation expense</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w:t>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notes and other receivables</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liabilities</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Expenditures for property, plant and equipment</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for investing activities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of long-term debt</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Redemption of Series B Preferred stock</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share repurchases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dividends</w:t>
            </w:r>
          </w:p>
        </w:tc>
        <w:tc>
          <w:tcPr>
            <w:tcW w:w="85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Debt financing costs</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for financing activities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foreign exchange rate changes on cash, cash equivalents and restricted cash</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cash equivalents and restricted cash</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the period</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the period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cash flow disclosure:</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paid (net of refunds)</w:t>
            </w:r>
          </w:p>
        </w:tc>
        <w:tc>
          <w:tcPr>
            <w:tcW w:w="267"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8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paid</w:t>
            </w:r>
          </w:p>
        </w:tc>
        <w:tc>
          <w:tcPr>
            <w:tcW w:w="85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32"/>
        <w:jc w:val="center"/>
        <w:rPr>
          <w:color w:val="000000"/>
        </w:rPr>
      </w:pPr>
      <w:r>
        <w:rPr>
          <w:color w:val="000000"/>
        </w:rPr>
        <w:t>    </w:t>
      </w:r>
    </w:p>
    <w:p>
      <w:pPr>
        <w:pStyle w:val="TextBody"/>
        <w:spacing w:lineRule="auto" w:line="288"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The Notes to the Consolidated Interim Financial Statements are an integral part of this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 xml:space="preserve">GARRETT MOTION INC. </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CONSOLIDATED INTERIM STATEMENTS OF EQUITY (DEFICIT)</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550"/>
        <w:gridCol w:w="342"/>
        <w:gridCol w:w="343"/>
        <w:gridCol w:w="233"/>
        <w:gridCol w:w="233"/>
        <w:gridCol w:w="196"/>
        <w:gridCol w:w="109"/>
        <w:gridCol w:w="109"/>
        <w:gridCol w:w="109"/>
        <w:gridCol w:w="211"/>
        <w:gridCol w:w="406"/>
        <w:gridCol w:w="109"/>
        <w:gridCol w:w="109"/>
        <w:gridCol w:w="109"/>
        <w:gridCol w:w="109"/>
        <w:gridCol w:w="203"/>
        <w:gridCol w:w="203"/>
        <w:gridCol w:w="196"/>
        <w:gridCol w:w="109"/>
        <w:gridCol w:w="109"/>
        <w:gridCol w:w="109"/>
        <w:gridCol w:w="211"/>
        <w:gridCol w:w="406"/>
        <w:gridCol w:w="109"/>
        <w:gridCol w:w="109"/>
        <w:gridCol w:w="109"/>
        <w:gridCol w:w="109"/>
        <w:gridCol w:w="211"/>
        <w:gridCol w:w="616"/>
        <w:gridCol w:w="109"/>
        <w:gridCol w:w="109"/>
        <w:gridCol w:w="109"/>
        <w:gridCol w:w="109"/>
        <w:gridCol w:w="211"/>
        <w:gridCol w:w="632"/>
        <w:gridCol w:w="109"/>
        <w:gridCol w:w="109"/>
        <w:gridCol w:w="109"/>
        <w:gridCol w:w="109"/>
        <w:gridCol w:w="379"/>
        <w:gridCol w:w="649"/>
        <w:gridCol w:w="197"/>
        <w:gridCol w:w="109"/>
        <w:gridCol w:w="109"/>
        <w:gridCol w:w="109"/>
        <w:gridCol w:w="211"/>
        <w:gridCol w:w="482"/>
        <w:gridCol w:w="159"/>
      </w:tblGrid>
      <w:tr>
        <w:trPr/>
        <w:tc>
          <w:tcPr>
            <w:tcW w:w="55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9"/>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(Loss)/Income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Deficit</w:t>
            </w:r>
          </w:p>
        </w:tc>
      </w:tr>
      <w:tr>
        <w:trPr/>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r>
      <w:tr>
        <w:trPr/>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0"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35" w:type="dxa"/>
            <w:gridSpan w:val="3"/>
            <w:tcBorders/>
            <w:shd w:fill="CFF0FC" w:val="clear"/>
            <w:tcMar>
              <w:top w:w="0" w:type="dxa"/>
              <w:left w:w="0" w:type="dxa"/>
              <w:bottom w:w="0" w:type="dxa"/>
              <w:right w:w="0" w:type="dxa"/>
            </w:tcMar>
            <w:vAlign w:val="center"/>
          </w:tcPr>
          <w:p>
            <w:pPr>
              <w:pStyle w:val="TableContents"/>
              <w:spacing w:lineRule="auto" w:line="276"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46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w:t>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9"/>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b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Retained </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 xml:space="preserve">Comprehensive </w:t>
              <w:br/>
              <w:t>(Loss)/Income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vMerge w:val="restart"/>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Deficit</w:t>
            </w:r>
          </w:p>
        </w:tc>
      </w:tr>
      <w:tr>
        <w:trPr/>
        <w:tc>
          <w:tcPr>
            <w:tcW w:w="12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6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vMerge w:val="continue"/>
            <w:tcBorders>
              <w:bottom w:val="single" w:sz="6" w:space="0" w:color="000000"/>
            </w:tcBorders>
            <w:shd w:fill="FFFFFF" w:val="clear"/>
            <w:tcMar>
              <w:top w:w="0" w:type="dxa"/>
              <w:left w:w="0" w:type="dxa"/>
              <w:bottom w:w="30" w:type="dxa"/>
              <w:right w:w="0" w:type="dxa"/>
            </w:tcMar>
            <w:vAlign w:val="center"/>
          </w:tcPr>
          <w:p>
            <w:pPr>
              <w:pStyle w:val="Normal"/>
              <w:rPr/>
            </w:pPr>
            <w:r>
              <w:rPr/>
            </w:r>
          </w:p>
        </w:tc>
      </w:tr>
      <w:tr>
        <w:trPr/>
        <w:tc>
          <w:tcPr>
            <w:tcW w:w="12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8970"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millions) </w:t>
            </w:r>
          </w:p>
        </w:tc>
      </w:tr>
      <w:tr>
        <w:trPr/>
        <w:tc>
          <w:tcPr>
            <w:tcW w:w="1235" w:type="dxa"/>
            <w:gridSpan w:val="3"/>
            <w:tcBorders/>
            <w:shd w:fill="CFF0FC" w:val="clear"/>
            <w:tcMar>
              <w:top w:w="0" w:type="dxa"/>
              <w:left w:w="0" w:type="dxa"/>
              <w:bottom w:w="0" w:type="dxa"/>
              <w:right w:w="0" w:type="dxa"/>
            </w:tcMar>
            <w:vAlign w:val="center"/>
          </w:tcPr>
          <w:p>
            <w:pPr>
              <w:pStyle w:val="TableContents"/>
              <w:spacing w:lineRule="auto" w:line="276"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46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9"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4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2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r>
        <w:trPr/>
        <w:tc>
          <w:tcPr>
            <w:tcW w:w="1235" w:type="dxa"/>
            <w:gridSpan w:val="3"/>
            <w:tcBorders/>
            <w:shd w:fill="auto" w:val="clear"/>
            <w:vAlign w:val="center"/>
          </w:tcPr>
          <w:p>
            <w:pPr>
              <w:pStyle w:val="TableContents"/>
              <w:spacing w:before="0" w:after="283"/>
              <w:rPr>
                <w:sz w:val="4"/>
                <w:szCs w:val="4"/>
              </w:rPr>
            </w:pPr>
            <w:r>
              <w:rPr>
                <w:sz w:val="4"/>
                <w:szCs w:val="4"/>
              </w:rPr>
            </w:r>
          </w:p>
        </w:tc>
        <w:tc>
          <w:tcPr>
            <w:tcW w:w="6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center"/>
        <w:rPr>
          <w:rFonts w:ascii="Times New Roman;sans-serif" w:hAnsi="Times New Roman;sans-serif"/>
          <w:b w:val="false"/>
          <w:color w:val="231F20"/>
          <w:sz w:val="20"/>
        </w:rPr>
      </w:pPr>
      <w:r>
        <w:rPr>
          <w:rFonts w:ascii="Times New Roman;sans-serif" w:hAnsi="Times New Roman;sans-serif"/>
          <w:b w:val="false"/>
          <w:color w:val="231F20"/>
          <w:sz w:val="20"/>
        </w:rPr>
        <w:t>The Notes to the Consolidated Interim Financial Statements are an integral part of this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 xml:space="preserve">GARRETT MOTION INC. </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NOTES TO CONSOLIDATED INTERIM FINANCIAL STATEMENTS</w:t>
      </w:r>
    </w:p>
    <w:p>
      <w:pPr>
        <w:pStyle w:val="TextBody"/>
        <w:spacing w:lineRule="auto" w:line="288" w:before="0" w:after="0"/>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amounts)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Background and Basis of Presentation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Background</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Garrett Motion Inc., (the “Company” or “Garrett”) designs, manufactures and sells highly engineered turbocharger and electric-boosting technologies for light and commercial vehicle original equipment manufacturers (“OEMs”) and the global vehicle independent aftermarket, as well as automotive software solutions. These OEMs in turn ship to consumers globally. We are a global technology leader with significant expertise in delivering products across gasoline, diesel, natural gas and electric (hybrid and fuel cell) power trains. These products are key enablers for fuel economy and emission standards compliance.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00" w:after="283"/>
        <w:ind w:left="0" w:right="0" w:firstLine="432"/>
        <w:jc w:val="both"/>
        <w:rPr/>
      </w:pPr>
      <w:r>
        <w:rPr>
          <w:rFonts w:ascii="Times New Roman;sans-serif" w:hAnsi="Times New Roman;sans-serif"/>
          <w:b w:val="false"/>
          <w:color w:val="000000"/>
          <w:sz w:val="20"/>
        </w:rPr>
        <w:t>The accompanying unaudited Consolidated Interim Financial Statements have been prepared in accordance with the rules and regulations of the Securities and Exchange Commission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2022</w:t>
      </w:r>
      <w:r>
        <w:rPr>
          <w:color w:val="000000"/>
          <w:highlight w:val="white"/>
        </w:rPr>
        <w:t xml:space="preserve"> </w:t>
      </w:r>
      <w:r>
        <w:rPr>
          <w:rFonts w:ascii="Times New Roman;sans-serif" w:hAnsi="Times New Roman;sans-serif"/>
          <w:b w:val="false"/>
          <w:color w:val="000000"/>
          <w:sz w:val="20"/>
          <w:highlight w:val="white"/>
        </w:rPr>
        <w:t xml:space="preserve">included in our Annual Report on Form 10-K, as filed with the Securities and Exchange Commission on February 14, 2023 (our “2022 Form 10-K”). The results of operations and cash flows for the three months ended March 31, 2023 should not necessarily be taken as indicative of the entire year. All amounts presented are in millions, except per share amounts. </w:t>
      </w:r>
    </w:p>
    <w:p>
      <w:pPr>
        <w:pStyle w:val="TextBody"/>
        <w:spacing w:lineRule="auto" w:line="288" w:before="200" w:after="283"/>
        <w:ind w:left="0" w:right="0" w:firstLine="432"/>
        <w:jc w:val="both"/>
        <w:rPr/>
      </w:pPr>
      <w:r>
        <w:rPr>
          <w:rFonts w:ascii="Times New Roman;sans-serif" w:hAnsi="Times New Roman;sans-serif"/>
          <w:b w:val="false"/>
          <w:color w:val="000000"/>
          <w:sz w:val="20"/>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to minimize the potentially disruptive effects of quarterly closing on our business processes. For differences in actual closing dates that are material to year-over-year comparisons of quarterly or year-to-date results have been adjusted for the three months ended March 31, 2023. Our actual closing dates for the three months ended March 31, 2023 and 2022 were</w:t>
      </w:r>
      <w:r>
        <w:rPr>
          <w:color w:val="000000"/>
          <w:highlight w:val="white"/>
        </w:rPr>
        <w:t xml:space="preserve"> </w:t>
      </w:r>
      <w:r>
        <w:rPr>
          <w:rFonts w:ascii="Times New Roman;sans-serif" w:hAnsi="Times New Roman;sans-serif"/>
          <w:b w:val="false"/>
          <w:color w:val="000000"/>
          <w:sz w:val="20"/>
          <w:highlight w:val="white"/>
        </w:rPr>
        <w:t>April 1, 2023 and April 2, 2022</w:t>
      </w:r>
      <w:r>
        <w:rPr>
          <w:rFonts w:ascii="Times New Roman;sans-serif" w:hAnsi="Times New Roman;sans-serif"/>
          <w:b w:val="false"/>
          <w:color w:val="000000"/>
          <w:sz w:val="20"/>
        </w:rPr>
        <w:t>, respectively.</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We evaluate segment reporting in accordance with ASC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Actual results could differ from the original estimates, requiring adjustments to these balances in future periods.</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 Summary of Significant Accounting Policies </w:t>
      </w:r>
    </w:p>
    <w:p>
      <w:pPr>
        <w:pStyle w:val="TextBody"/>
        <w:spacing w:lineRule="auto" w:line="288" w:before="200" w:after="283"/>
        <w:ind w:left="0" w:right="0" w:firstLine="432"/>
        <w:jc w:val="both"/>
        <w:rPr/>
      </w:pPr>
      <w:r>
        <w:rPr>
          <w:rFonts w:ascii="Times New Roman;sans-serif" w:hAnsi="Times New Roman;sans-serif"/>
          <w:b w:val="false"/>
          <w:color w:val="000000"/>
          <w:sz w:val="20"/>
        </w:rPr>
        <w:t>The accounting policies of the Company are set forth in Note 3 to the Consolidated Financial Statements for the year ended December 31, 2022 included in our 2022 Form 10-K.</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In September 2022, the FASB issued ASU 2022-04, </w:t>
      </w:r>
      <w:r>
        <w:rPr>
          <w:rFonts w:ascii="Times New Roman;sans-serif" w:hAnsi="Times New Roman;sans-serif"/>
          <w:b w:val="false"/>
          <w:i/>
          <w:color w:val="000000"/>
          <w:sz w:val="20"/>
        </w:rPr>
        <w:t>Disclosure of Supplier Finance Program Obligations (Topic 405-50): Disclosure of Supplier Finance Purchase Obligations.</w:t>
      </w:r>
      <w:r>
        <w:rPr>
          <w:color w:val="000000"/>
        </w:rPr>
        <w:t xml:space="preserve"> </w:t>
      </w:r>
      <w:r>
        <w:rPr>
          <w:rFonts w:ascii="Times New Roman;sans-serif" w:hAnsi="Times New Roman;sans-serif"/>
          <w:b w:val="false"/>
          <w:color w:val="000000"/>
          <w:sz w:val="20"/>
        </w:rPr>
        <w:t xml:space="preserve">The amendment in this update requires companies to disclose key terms of supplier financing programs used in connection with the purchase of goods and services, along with information about their obligations under these programs including a rollforward of those obligations. The Company adopted the new guidance as of January 1, 2023. </w:t>
      </w:r>
      <w:r>
        <w:rPr>
          <w:rFonts w:ascii="Times New Roman;sans-serif" w:hAnsi="Times New Roman;sans-serif"/>
          <w:b w:val="false"/>
          <w:color w:val="231F20"/>
          <w:sz w:val="20"/>
        </w:rPr>
        <w:t xml:space="preserve">See Note 10, </w:t>
      </w:r>
      <w:r>
        <w:rPr>
          <w:rFonts w:ascii="Times New Roman;sans-serif" w:hAnsi="Times New Roman;sans-serif"/>
          <w:b w:val="false"/>
          <w:i/>
          <w:color w:val="231F20"/>
          <w:sz w:val="20"/>
        </w:rPr>
        <w:t>Supplier Financing</w:t>
      </w:r>
      <w:r>
        <w:rPr>
          <w:color w:val="231F20"/>
        </w:rPr>
        <w:t xml:space="preserve"> </w:t>
      </w:r>
      <w:r>
        <w:rPr>
          <w:rFonts w:ascii="Times New Roman;sans-serif" w:hAnsi="Times New Roman;sans-serif"/>
          <w:b w:val="false"/>
          <w:color w:val="231F20"/>
          <w:sz w:val="20"/>
        </w:rPr>
        <w:t>for disclosure related to the Company's supplier financing program obligations.</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pPr>
      <w:r>
        <w:rPr>
          <w:rFonts w:ascii="Times New Roman;sans-serif" w:hAnsi="Times New Roman;sans-serif"/>
          <w:b/>
          <w:color w:val="000000"/>
          <w:sz w:val="20"/>
        </w:rPr>
        <w:t>Note 3. Revenue Recognition and Contracts with Customers</w:t>
      </w:r>
      <w:r>
        <w:rPr>
          <w:color w:val="000000"/>
        </w:rPr>
        <w:t xml:space="preserve">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Disaggregated Revenue </w:t>
      </w:r>
    </w:p>
    <w:p>
      <w:pPr>
        <w:pStyle w:val="TextBody"/>
        <w:spacing w:lineRule="auto" w:line="288" w:before="200" w:after="283"/>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by region (determined based on country of shipment) and channel are as follows: </w:t>
      </w:r>
    </w:p>
    <w:tbl>
      <w:tblPr>
        <w:tblW w:w="10126" w:type="dxa"/>
        <w:jc w:val="left"/>
        <w:tblInd w:w="0" w:type="dxa"/>
        <w:tblCellMar>
          <w:top w:w="28" w:type="dxa"/>
          <w:left w:w="28" w:type="dxa"/>
          <w:bottom w:w="28" w:type="dxa"/>
          <w:right w:w="28" w:type="dxa"/>
        </w:tblCellMar>
      </w:tblPr>
      <w:tblGrid>
        <w:gridCol w:w="435"/>
        <w:gridCol w:w="381"/>
        <w:gridCol w:w="383"/>
        <w:gridCol w:w="211"/>
        <w:gridCol w:w="466"/>
        <w:gridCol w:w="109"/>
        <w:gridCol w:w="109"/>
        <w:gridCol w:w="109"/>
        <w:gridCol w:w="109"/>
        <w:gridCol w:w="274"/>
        <w:gridCol w:w="605"/>
        <w:gridCol w:w="142"/>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74"/>
        <w:gridCol w:w="605"/>
        <w:gridCol w:w="142"/>
        <w:gridCol w:w="109"/>
        <w:gridCol w:w="109"/>
        <w:gridCol w:w="109"/>
        <w:gridCol w:w="211"/>
        <w:gridCol w:w="406"/>
        <w:gridCol w:w="109"/>
        <w:gridCol w:w="109"/>
        <w:gridCol w:w="109"/>
        <w:gridCol w:w="109"/>
        <w:gridCol w:w="211"/>
        <w:gridCol w:w="46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6793" w:type="dxa"/>
            <w:gridSpan w:val="36"/>
            <w:tcBorders/>
            <w:shd w:fill="auto" w:val="clea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8141" w:type="dxa"/>
            <w:gridSpan w:val="42"/>
            <w:tcBorders/>
            <w:shd w:fill="auto" w:val="clea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5" w:type="dxa"/>
            <w:gridSpan w:val="21"/>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5" w:type="dxa"/>
            <w:gridSpan w:val="21"/>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OEM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Aftermarket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OEM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Aftermarket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6" w:space="0" w:color="000000"/>
            </w:tcBorders>
            <w:shd w:fill="FFFFFF"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7" w:type="dxa"/>
            <w:gridSpan w:val="45"/>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Contract Balances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contract assets and liabilities balances: </w:t>
      </w:r>
    </w:p>
    <w:tbl>
      <w:tblPr>
        <w:tblW w:w="5978" w:type="dxa"/>
        <w:jc w:val="left"/>
        <w:tblInd w:w="0" w:type="dxa"/>
        <w:tblCellMar>
          <w:top w:w="28" w:type="dxa"/>
          <w:left w:w="28" w:type="dxa"/>
          <w:bottom w:w="28" w:type="dxa"/>
          <w:right w:w="28" w:type="dxa"/>
        </w:tblCellMar>
      </w:tblPr>
      <w:tblGrid>
        <w:gridCol w:w="1537"/>
        <w:gridCol w:w="1351"/>
        <w:gridCol w:w="1356"/>
        <w:gridCol w:w="211"/>
        <w:gridCol w:w="361"/>
        <w:gridCol w:w="109"/>
        <w:gridCol w:w="109"/>
        <w:gridCol w:w="109"/>
        <w:gridCol w:w="109"/>
        <w:gridCol w:w="211"/>
        <w:gridCol w:w="361"/>
        <w:gridCol w:w="154"/>
      </w:tblGrid>
      <w:tr>
        <w:trPr/>
        <w:tc>
          <w:tcPr>
            <w:tcW w:w="1537"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68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734"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424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assets—January 1</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assets—March 31</w:t>
            </w:r>
          </w:p>
        </w:tc>
        <w:tc>
          <w:tcPr>
            <w:tcW w:w="5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assets—(Decrease)/Increase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liabilities—January 1</w:t>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liabilities—March 31</w:t>
            </w:r>
          </w:p>
        </w:tc>
        <w:tc>
          <w:tcPr>
            <w:tcW w:w="57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liabilities—(Increase)/Decrease</w:t>
            </w:r>
          </w:p>
        </w:tc>
        <w:tc>
          <w:tcPr>
            <w:tcW w:w="21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4. Research, Development &amp; Engineering</w:t>
      </w:r>
    </w:p>
    <w:p>
      <w:pPr>
        <w:pStyle w:val="TextBody"/>
        <w:spacing w:lineRule="auto" w:line="288" w:before="200" w:after="283"/>
        <w:ind w:left="0" w:right="0" w:firstLine="432"/>
        <w:jc w:val="both"/>
        <w:rPr>
          <w:rFonts w:ascii="Times New Roman;sans-serif" w:hAnsi="Times New Roman;sans-serif"/>
          <w:b w:val="false"/>
          <w:color w:val="231F20"/>
          <w:sz w:val="20"/>
        </w:rPr>
      </w:pPr>
      <w:r>
        <w:rPr>
          <w:rFonts w:ascii="Times New Roman;sans-serif" w:hAnsi="Times New Roman;sans-serif"/>
          <w:b w:val="false"/>
          <w:color w:val="231F20"/>
          <w:sz w:val="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 considered a recovery of cost. Such costs are included in Cost of goods sold as follows:</w:t>
      </w:r>
    </w:p>
    <w:tbl>
      <w:tblPr>
        <w:tblW w:w="5633" w:type="dxa"/>
        <w:jc w:val="left"/>
        <w:tblInd w:w="0" w:type="dxa"/>
        <w:tblCellMar>
          <w:top w:w="28" w:type="dxa"/>
          <w:left w:w="28" w:type="dxa"/>
          <w:bottom w:w="28" w:type="dxa"/>
          <w:right w:w="28" w:type="dxa"/>
        </w:tblCellMar>
      </w:tblPr>
      <w:tblGrid>
        <w:gridCol w:w="1001"/>
        <w:gridCol w:w="877"/>
        <w:gridCol w:w="882"/>
        <w:gridCol w:w="109"/>
        <w:gridCol w:w="109"/>
        <w:gridCol w:w="194"/>
        <w:gridCol w:w="194"/>
        <w:gridCol w:w="376"/>
        <w:gridCol w:w="644"/>
        <w:gridCol w:w="194"/>
        <w:gridCol w:w="109"/>
        <w:gridCol w:w="109"/>
        <w:gridCol w:w="109"/>
        <w:gridCol w:w="211"/>
        <w:gridCol w:w="361"/>
        <w:gridCol w:w="154"/>
      </w:tblGrid>
      <w:tr>
        <w:trPr/>
        <w:tc>
          <w:tcPr>
            <w:tcW w:w="100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53" w:type="dxa"/>
            <w:gridSpan w:val="6"/>
            <w:tcBorders/>
            <w:shd w:fill="auto" w:val="clea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267"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760"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r>
              <w:rPr>
                <w:rFonts w:ascii="Times New Roman;sans-serif" w:hAnsi="Times New Roman;sans-serif"/>
                <w:b w:val="false"/>
                <w:color w:val="000000"/>
                <w:sz w:val="20"/>
              </w:rPr>
              <w:t xml:space="preserve">Engineering-related expenses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94"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Engineering-related expenses include customer reimbursements of $11 million and $3 million for the three months ended March 31, 2023 and 2022, respectively.</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5. Income Taxes</w:t>
      </w:r>
    </w:p>
    <w:tbl>
      <w:tblPr>
        <w:tblW w:w="4535" w:type="dxa"/>
        <w:jc w:val="left"/>
        <w:tblInd w:w="0" w:type="dxa"/>
        <w:tblCellMar>
          <w:top w:w="28" w:type="dxa"/>
          <w:left w:w="28" w:type="dxa"/>
          <w:bottom w:w="28" w:type="dxa"/>
          <w:right w:w="28" w:type="dxa"/>
        </w:tblCellMar>
      </w:tblPr>
      <w:tblGrid>
        <w:gridCol w:w="543"/>
        <w:gridCol w:w="476"/>
        <w:gridCol w:w="480"/>
        <w:gridCol w:w="109"/>
        <w:gridCol w:w="109"/>
        <w:gridCol w:w="164"/>
        <w:gridCol w:w="164"/>
        <w:gridCol w:w="319"/>
        <w:gridCol w:w="546"/>
        <w:gridCol w:w="410"/>
        <w:gridCol w:w="109"/>
        <w:gridCol w:w="109"/>
        <w:gridCol w:w="109"/>
        <w:gridCol w:w="211"/>
        <w:gridCol w:w="361"/>
        <w:gridCol w:w="316"/>
      </w:tblGrid>
      <w:tr>
        <w:trPr/>
        <w:tc>
          <w:tcPr>
            <w:tcW w:w="54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15" w:type="dxa"/>
            <w:gridSpan w:val="6"/>
            <w:tcBorders/>
            <w:shd w:fill="auto" w:val="clea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7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490"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9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65"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10"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31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432"/>
        <w:jc w:val="both"/>
        <w:rPr/>
      </w:pPr>
      <w:r>
        <w:rPr/>
      </w:r>
    </w:p>
    <w:p>
      <w:pPr>
        <w:pStyle w:val="TextBody"/>
        <w:spacing w:lineRule="auto" w:line="288" w:before="0" w:after="0"/>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three months ended March 31, 2023 and 2022 were 25.0% and 29.6%, respectively. The change in the effective tax rate for the three months ended March 31, 2023 compared to the prior period is primarily related to a decrease in tax reserve true ups and additional global research and development benefits.</w:t>
      </w:r>
    </w:p>
    <w:p>
      <w:pPr>
        <w:pStyle w:val="TextBody"/>
        <w:spacing w:before="0" w:after="0"/>
        <w:ind w:left="0" w:right="0" w:firstLine="432"/>
        <w:jc w:val="both"/>
        <w:rPr/>
      </w:pPr>
      <w:r>
        <w:rPr/>
      </w:r>
    </w:p>
    <w:p>
      <w:pPr>
        <w:pStyle w:val="TextBody"/>
        <w:spacing w:lineRule="auto" w:line="288" w:before="0" w:after="0"/>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months ended March 31, 2023 was higher than the U.S. federal statutory rate of 21% primarily because of U.S. taxes on international operations and withholding taxes, partially offset by lower taxes on non-U.S. earnings and global research and development benefits. </w:t>
      </w:r>
    </w:p>
    <w:p>
      <w:pPr>
        <w:pStyle w:val="TextBody"/>
        <w:spacing w:before="0" w:after="0"/>
        <w:ind w:left="0" w:right="0" w:firstLine="432"/>
        <w:jc w:val="both"/>
        <w:rPr/>
      </w:pPr>
      <w:r>
        <w:rPr/>
      </w:r>
    </w:p>
    <w:p>
      <w:pPr>
        <w:pStyle w:val="TextBody"/>
        <w:spacing w:lineRule="auto" w:line="288" w:before="0" w:after="0"/>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6. Accounts, Notes and Other Receivables—Net</w:t>
      </w:r>
    </w:p>
    <w:p>
      <w:pPr>
        <w:pStyle w:val="TextBody"/>
        <w:spacing w:before="0" w:after="0"/>
        <w:jc w:val="both"/>
        <w:rPr/>
      </w:pPr>
      <w:r>
        <w:rPr/>
      </w:r>
    </w:p>
    <w:tbl>
      <w:tblPr>
        <w:tblW w:w="5951" w:type="dxa"/>
        <w:jc w:val="left"/>
        <w:tblInd w:w="0" w:type="dxa"/>
        <w:tblCellMar>
          <w:top w:w="28" w:type="dxa"/>
          <w:left w:w="28" w:type="dxa"/>
          <w:bottom w:w="28" w:type="dxa"/>
          <w:right w:w="28" w:type="dxa"/>
        </w:tblCellMar>
      </w:tblPr>
      <w:tblGrid>
        <w:gridCol w:w="1314"/>
        <w:gridCol w:w="1157"/>
        <w:gridCol w:w="1159"/>
        <w:gridCol w:w="229"/>
        <w:gridCol w:w="507"/>
        <w:gridCol w:w="118"/>
        <w:gridCol w:w="109"/>
        <w:gridCol w:w="109"/>
        <w:gridCol w:w="109"/>
        <w:gridCol w:w="289"/>
        <w:gridCol w:w="639"/>
        <w:gridCol w:w="212"/>
      </w:tblGrid>
      <w:tr>
        <w:trPr/>
        <w:tc>
          <w:tcPr>
            <w:tcW w:w="1314"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630"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2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73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18"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212"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Less—Allowance for expected credit losses</w:t>
            </w:r>
          </w:p>
        </w:tc>
        <w:tc>
          <w:tcPr>
            <w:tcW w:w="73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18"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12"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Trade receivables include $66 million and $46 million of unbilled customer contract asset balances as of </w:t>
      </w:r>
      <w:r>
        <w:rPr>
          <w:rFonts w:ascii="Times New Roman;sans-serif" w:hAnsi="Times New Roman;sans-serif"/>
          <w:b w:val="false"/>
          <w:color w:val="231F20"/>
          <w:sz w:val="20"/>
        </w:rPr>
        <w:t>March 31, 2023</w:t>
      </w:r>
      <w:r>
        <w:rPr>
          <w:color w:val="000000"/>
        </w:rPr>
        <w:t xml:space="preserve"> </w:t>
      </w:r>
      <w:r>
        <w:rPr>
          <w:rFonts w:ascii="Times New Roman;sans-serif" w:hAnsi="Times New Roman;sans-serif"/>
          <w:b w:val="false"/>
          <w:color w:val="000000"/>
          <w:sz w:val="20"/>
        </w:rPr>
        <w:t>and December 31, 2022, respectively. These amounts are billed in accordance with the terms of customer contracts to which they relate.</w:t>
      </w:r>
      <w:r>
        <w:rPr>
          <w:color w:val="000000"/>
        </w:rPr>
        <w:t xml:space="preserve"> </w:t>
      </w:r>
      <w:r>
        <w:rPr>
          <w:rFonts w:ascii="Times New Roman;sans-serif" w:hAnsi="Times New Roman;sans-serif"/>
          <w:b w:val="false"/>
          <w:color w:val="000000"/>
          <w:sz w:val="20"/>
        </w:rPr>
        <w:t>See Note 3</w:t>
      </w:r>
      <w:r>
        <w:rPr>
          <w:rFonts w:ascii="Times New Roman;sans-serif" w:hAnsi="Times New Roman;sans-serif"/>
          <w:b w:val="false"/>
          <w:i/>
          <w:color w:val="000000"/>
          <w:sz w:val="20"/>
        </w:rPr>
        <w:t>, Revenue Recognition and Contracts with Customers</w:t>
      </w:r>
      <w:r>
        <w:rPr>
          <w:rFonts w:ascii="Times New Roman;sans-serif" w:hAnsi="Times New Roman;sans-serif"/>
          <w:b w:val="false"/>
          <w:color w:val="000000"/>
          <w:sz w:val="20"/>
        </w:rPr>
        <w:t>.</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Notes receivable is related to guaranteed bank notes without recourse that the Company receives in settlement of accounts receivables, primarily in the Asia Pacific region. See Note 7, </w:t>
      </w:r>
      <w:r>
        <w:rPr>
          <w:rFonts w:ascii="Times New Roman;sans-serif" w:hAnsi="Times New Roman;sans-serif"/>
          <w:b w:val="false"/>
          <w:i/>
          <w:color w:val="000000"/>
          <w:sz w:val="20"/>
        </w:rPr>
        <w:t>Factoring and Notes Receivable</w:t>
      </w:r>
      <w:r>
        <w:rPr>
          <w:color w:val="000000"/>
        </w:rPr>
        <w:t xml:space="preserve"> </w:t>
      </w:r>
      <w:r>
        <w:rPr>
          <w:rFonts w:ascii="Times New Roman;sans-serif" w:hAnsi="Times New Roman;sans-serif"/>
          <w:b w:val="false"/>
          <w:color w:val="000000"/>
          <w:sz w:val="20"/>
        </w:rPr>
        <w:t>for further information.</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7. Factoring and Notes Receivable</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tbl>
      <w:tblPr>
        <w:tblW w:w="7400" w:type="dxa"/>
        <w:jc w:val="left"/>
        <w:tblInd w:w="0" w:type="dxa"/>
        <w:tblCellMar>
          <w:top w:w="28" w:type="dxa"/>
          <w:left w:w="28" w:type="dxa"/>
          <w:bottom w:w="28" w:type="dxa"/>
          <w:right w:w="28" w:type="dxa"/>
        </w:tblCellMar>
      </w:tblPr>
      <w:tblGrid>
        <w:gridCol w:w="1363"/>
        <w:gridCol w:w="1199"/>
        <w:gridCol w:w="1202"/>
        <w:gridCol w:w="109"/>
        <w:gridCol w:w="109"/>
        <w:gridCol w:w="404"/>
        <w:gridCol w:w="404"/>
        <w:gridCol w:w="783"/>
        <w:gridCol w:w="404"/>
        <w:gridCol w:w="404"/>
        <w:gridCol w:w="109"/>
        <w:gridCol w:w="109"/>
        <w:gridCol w:w="109"/>
        <w:gridCol w:w="227"/>
        <w:gridCol w:w="190"/>
        <w:gridCol w:w="275"/>
      </w:tblGrid>
      <w:tr>
        <w:trPr/>
        <w:tc>
          <w:tcPr>
            <w:tcW w:w="136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9" w:type="dxa"/>
            <w:gridSpan w:val="5"/>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19" w:type="dxa"/>
            <w:gridSpan w:val="6"/>
            <w:tcBorders/>
            <w:shd w:fill="auto" w:val="clea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59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610"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764" w:type="dxa"/>
            <w:gridSpan w:val="3"/>
            <w:tcBorders/>
            <w:shd w:fill="CFF0FC"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Eligible receivables sold without recourse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783"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2"/>
            <w:tcBorders/>
            <w:shd w:fill="CFF0FC" w:val="clear"/>
            <w:tcMar>
              <w:top w:w="0" w:type="dxa"/>
              <w:left w:w="0" w:type="dxa"/>
              <w:bottom w:w="0" w:type="dxa"/>
              <w:right w:w="0" w:type="dxa"/>
            </w:tcMar>
            <w:vAlign w:val="center"/>
          </w:tcPr>
          <w:p>
            <w:pPr>
              <w:pStyle w:val="TableContents"/>
              <w:spacing w:lineRule="auto" w:line="273"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bank notes sold without recourse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p>
      <w:pPr>
        <w:pStyle w:val="TextBody"/>
        <w:spacing w:lineRule="auto" w:line="288" w:before="200" w:after="283"/>
        <w:ind w:left="0" w:right="0" w:firstLine="450"/>
        <w:jc w:val="both"/>
        <w:rPr/>
      </w:pPr>
      <w:r>
        <w:rPr>
          <w:rFonts w:ascii="Times New Roman;sans-serif" w:hAnsi="Times New Roman;sans-serif"/>
          <w:b w:val="false"/>
          <w:color w:val="000000"/>
          <w:sz w:val="20"/>
        </w:rPr>
        <w:t xml:space="preserve">The expenses related to the sale of trade receivables and guaranteed bank notes are recognized within Other expense, net in the Consolidated Interim Statements of Operations, and were immaterial for the three months ended </w:t>
      </w:r>
      <w:r>
        <w:rPr>
          <w:rFonts w:ascii="Times New Roman;sans-serif" w:hAnsi="Times New Roman;sans-serif"/>
          <w:b w:val="false"/>
          <w:color w:val="231F20"/>
          <w:sz w:val="20"/>
        </w:rPr>
        <w:t>March 31, 2023 and 2022.</w:t>
      </w:r>
      <w:r>
        <w:rPr>
          <w:color w:val="000000"/>
        </w:rPr>
        <w:t xml:space="preserve"> </w:t>
      </w:r>
    </w:p>
    <w:tbl>
      <w:tblPr>
        <w:tblW w:w="8921" w:type="dxa"/>
        <w:jc w:val="left"/>
        <w:tblInd w:w="0" w:type="dxa"/>
        <w:tblCellMar>
          <w:top w:w="28" w:type="dxa"/>
          <w:left w:w="28" w:type="dxa"/>
          <w:bottom w:w="28" w:type="dxa"/>
          <w:right w:w="28" w:type="dxa"/>
        </w:tblCellMar>
      </w:tblPr>
      <w:tblGrid>
        <w:gridCol w:w="2388"/>
        <w:gridCol w:w="2103"/>
        <w:gridCol w:w="2109"/>
        <w:gridCol w:w="312"/>
        <w:gridCol w:w="379"/>
        <w:gridCol w:w="163"/>
        <w:gridCol w:w="109"/>
        <w:gridCol w:w="109"/>
        <w:gridCol w:w="109"/>
        <w:gridCol w:w="386"/>
        <w:gridCol w:w="470"/>
        <w:gridCol w:w="284"/>
      </w:tblGrid>
      <w:tr>
        <w:trPr/>
        <w:tc>
          <w:tcPr>
            <w:tcW w:w="2388" w:type="dxa"/>
            <w:tcBorders/>
            <w:shd w:fill="auto" w:val="clear"/>
            <w:vAlign w:val="center"/>
          </w:tcPr>
          <w:p>
            <w:pPr>
              <w:pStyle w:val="TableContents"/>
              <w:spacing w:before="0" w:after="283"/>
              <w:rPr>
                <w:sz w:val="4"/>
                <w:szCs w:val="4"/>
              </w:rPr>
            </w:pPr>
            <w:r>
              <w:rPr>
                <w:sz w:val="4"/>
                <w:szCs w:val="4"/>
              </w:rPr>
            </w:r>
          </w:p>
        </w:tc>
        <w:tc>
          <w:tcPr>
            <w:tcW w:w="2103"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6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6600"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sold but not yet collected by the bank from the customer</w:t>
            </w:r>
          </w:p>
        </w:tc>
        <w:tc>
          <w:tcPr>
            <w:tcW w:w="312"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9"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8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bank notes sold but not yet collected by the bank from the customer</w:t>
            </w:r>
          </w:p>
        </w:tc>
        <w:tc>
          <w:tcPr>
            <w:tcW w:w="69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50"/>
        <w:jc w:val="both"/>
        <w:rPr/>
      </w:pPr>
      <w:r>
        <w:rPr>
          <w:rFonts w:ascii="Times New Roman;sans-serif" w:hAnsi="Times New Roman;sans-serif"/>
          <w:b w:val="false"/>
          <w:color w:val="000000"/>
          <w:sz w:val="20"/>
        </w:rPr>
        <w:t xml:space="preserve">As of March 31, 2023 and </w:t>
      </w:r>
      <w:r>
        <w:rPr>
          <w:rFonts w:ascii="Times New Roman;sans-serif" w:hAnsi="Times New Roman;sans-serif"/>
          <w:b w:val="false"/>
          <w:color w:val="000000"/>
          <w:sz w:val="20"/>
          <w:highlight w:val="white"/>
        </w:rPr>
        <w:t>December 31, 2022, the Company has no guaranteed bank notes pledged as collateral</w:t>
      </w:r>
      <w:r>
        <w:rPr>
          <w:rFonts w:ascii="Times New Roman;sans-serif" w:hAnsi="Times New Roman;sans-serif"/>
          <w:b w:val="false"/>
          <w:color w:val="000000"/>
          <w:sz w:val="20"/>
        </w:rPr>
        <w:t>.</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8. Inventories—Net </w:t>
      </w:r>
    </w:p>
    <w:tbl>
      <w:tblPr>
        <w:tblW w:w="3896" w:type="dxa"/>
        <w:jc w:val="left"/>
        <w:tblInd w:w="0" w:type="dxa"/>
        <w:tblCellMar>
          <w:top w:w="28" w:type="dxa"/>
          <w:left w:w="28" w:type="dxa"/>
          <w:bottom w:w="28" w:type="dxa"/>
          <w:right w:w="28" w:type="dxa"/>
        </w:tblCellMar>
      </w:tblPr>
      <w:tblGrid>
        <w:gridCol w:w="570"/>
        <w:gridCol w:w="501"/>
        <w:gridCol w:w="504"/>
        <w:gridCol w:w="229"/>
        <w:gridCol w:w="507"/>
        <w:gridCol w:w="118"/>
        <w:gridCol w:w="109"/>
        <w:gridCol w:w="109"/>
        <w:gridCol w:w="109"/>
        <w:gridCol w:w="289"/>
        <w:gridCol w:w="639"/>
        <w:gridCol w:w="212"/>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157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36"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18"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12"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Less—Reserves</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18"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12"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9. Other Assets</w:t>
      </w:r>
    </w:p>
    <w:tbl>
      <w:tblPr>
        <w:tblW w:w="6191" w:type="dxa"/>
        <w:jc w:val="left"/>
        <w:tblInd w:w="0" w:type="dxa"/>
        <w:tblCellMar>
          <w:top w:w="28" w:type="dxa"/>
          <w:left w:w="28" w:type="dxa"/>
          <w:bottom w:w="28" w:type="dxa"/>
          <w:right w:w="28" w:type="dxa"/>
        </w:tblCellMar>
      </w:tblPr>
      <w:tblGrid>
        <w:gridCol w:w="1400"/>
        <w:gridCol w:w="1233"/>
        <w:gridCol w:w="1237"/>
        <w:gridCol w:w="229"/>
        <w:gridCol w:w="507"/>
        <w:gridCol w:w="118"/>
        <w:gridCol w:w="109"/>
        <w:gridCol w:w="109"/>
        <w:gridCol w:w="109"/>
        <w:gridCol w:w="289"/>
        <w:gridCol w:w="639"/>
        <w:gridCol w:w="212"/>
      </w:tblGrid>
      <w:tr>
        <w:trPr/>
        <w:tc>
          <w:tcPr>
            <w:tcW w:w="1400"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870"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discounts to customers, non-current</w:t>
            </w:r>
          </w:p>
        </w:tc>
        <w:tc>
          <w:tcPr>
            <w:tcW w:w="22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(Note 13)</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73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employee related</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cross-currency swaps</w:t>
            </w:r>
          </w:p>
        </w:tc>
        <w:tc>
          <w:tcPr>
            <w:tcW w:w="73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and undesignated derivatives</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3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10. Supplier Financing</w:t>
      </w:r>
    </w:p>
    <w:p>
      <w:pPr>
        <w:pStyle w:val="TextBody"/>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The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supplier financing obligations and guaranteed bank notes outstanding are recorded within Accounts payable in our Consolidated Interim Balance Sheet.</w:t>
      </w:r>
    </w:p>
    <w:tbl>
      <w:tblPr>
        <w:tblW w:w="8097" w:type="dxa"/>
        <w:jc w:val="left"/>
        <w:tblInd w:w="0" w:type="dxa"/>
        <w:tblCellMar>
          <w:top w:w="28" w:type="dxa"/>
          <w:left w:w="28" w:type="dxa"/>
          <w:bottom w:w="28" w:type="dxa"/>
          <w:right w:w="28" w:type="dxa"/>
        </w:tblCellMar>
      </w:tblPr>
      <w:tblGrid>
        <w:gridCol w:w="2092"/>
        <w:gridCol w:w="1839"/>
        <w:gridCol w:w="1844"/>
        <w:gridCol w:w="265"/>
        <w:gridCol w:w="453"/>
        <w:gridCol w:w="137"/>
        <w:gridCol w:w="109"/>
        <w:gridCol w:w="109"/>
        <w:gridCol w:w="109"/>
        <w:gridCol w:w="331"/>
        <w:gridCol w:w="567"/>
        <w:gridCol w:w="242"/>
      </w:tblGrid>
      <w:tr>
        <w:trPr/>
        <w:tc>
          <w:tcPr>
            <w:tcW w:w="2092"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577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financing obligations outstanding with financial institutions</w:t>
            </w:r>
          </w:p>
        </w:tc>
        <w:tc>
          <w:tcPr>
            <w:tcW w:w="265"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bank notes outstanding</w:t>
            </w:r>
          </w:p>
        </w:tc>
        <w:tc>
          <w:tcPr>
            <w:tcW w:w="71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11. Accrued Liabilities </w:t>
      </w:r>
    </w:p>
    <w:tbl>
      <w:tblPr>
        <w:tblW w:w="8035" w:type="dxa"/>
        <w:jc w:val="left"/>
        <w:tblInd w:w="0" w:type="dxa"/>
        <w:tblCellMar>
          <w:top w:w="28" w:type="dxa"/>
          <w:left w:w="28" w:type="dxa"/>
          <w:bottom w:w="28" w:type="dxa"/>
          <w:right w:w="28" w:type="dxa"/>
        </w:tblCellMar>
      </w:tblPr>
      <w:tblGrid>
        <w:gridCol w:w="2068"/>
        <w:gridCol w:w="1821"/>
        <w:gridCol w:w="1825"/>
        <w:gridCol w:w="229"/>
        <w:gridCol w:w="507"/>
        <w:gridCol w:w="118"/>
        <w:gridCol w:w="109"/>
        <w:gridCol w:w="109"/>
        <w:gridCol w:w="109"/>
        <w:gridCol w:w="289"/>
        <w:gridCol w:w="639"/>
        <w:gridCol w:w="212"/>
      </w:tblGrid>
      <w:tr>
        <w:trPr/>
        <w:tc>
          <w:tcPr>
            <w:tcW w:w="2068"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71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pricing reserve</w:t>
            </w:r>
          </w:p>
        </w:tc>
        <w:tc>
          <w:tcPr>
            <w:tcW w:w="22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benefit and other employee related</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Repositioning</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warranties and performance guarantees - short-term (Note 20)</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discounts from suppliers, current</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spacing w:lineRule="auto" w:line="276" w:before="15" w:after="283"/>
              <w:jc w:val="left"/>
              <w:rPr/>
            </w:pPr>
            <w:r>
              <w:rPr>
                <w:rFonts w:ascii="Times New Roman;sans-serif" w:hAnsi="Times New Roman;sans-serif"/>
                <w:b w:val="false"/>
                <w:color w:val="000000"/>
                <w:sz w:val="20"/>
              </w:rPr>
              <w:t xml:space="preserve">Customer advances and deferred income </w:t>
            </w:r>
            <w:r>
              <w:rPr>
                <w:rFonts w:ascii="Times New Roman;sans-serif" w:hAnsi="Times New Roman;sans-serif"/>
                <w:b w:val="false"/>
                <w:color w:val="000000"/>
                <w:sz w:val="16"/>
              </w:rPr>
              <w:t>(1)</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liability (Note 13)</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 (Note 15)</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r>
              <w:rPr>
                <w:rFonts w:ascii="Times New Roman;sans-serif" w:hAnsi="Times New Roman;sans-serif"/>
                <w:b w:val="false"/>
                <w:color w:val="000000"/>
                <w:sz w:val="20"/>
              </w:rPr>
              <w:t xml:space="preserve">Other (primarily operating expenses) </w:t>
            </w:r>
            <w:r>
              <w:rPr>
                <w:rFonts w:ascii="Times New Roman;sans-serif" w:hAnsi="Times New Roman;sans-serif"/>
                <w:b w:val="false"/>
                <w:color w:val="000000"/>
                <w:sz w:val="16"/>
              </w:rPr>
              <w:t>(2)</w:t>
            </w:r>
          </w:p>
        </w:tc>
        <w:tc>
          <w:tcPr>
            <w:tcW w:w="73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4" w:type="dxa"/>
            <w:gridSpan w:val="3"/>
            <w:tcBorders/>
            <w:shd w:fill="CFF0FC"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 </w:t>
            </w:r>
          </w:p>
        </w:tc>
        <w:tc>
          <w:tcPr>
            <w:tcW w:w="2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hanging="360"/>
        <w:jc w:val="both"/>
        <w:rPr/>
      </w:pPr>
      <w:r>
        <w:rPr>
          <w:rFonts w:ascii="Times New Roman;sans-serif" w:hAnsi="Times New Roman;sans-serif"/>
          <w:b w:val="false"/>
          <w:color w:val="000000"/>
          <w:sz w:val="20"/>
        </w:rPr>
        <w:t>(1)Customer advances and deferred inco</w:t>
      </w:r>
      <w:r>
        <w:rPr>
          <w:rFonts w:ascii="Times New Roman;sans-serif" w:hAnsi="Times New Roman;sans-serif"/>
          <w:b w:val="false"/>
          <w:color w:val="000000"/>
          <w:sz w:val="20"/>
          <w:highlight w:val="white"/>
        </w:rPr>
        <w:t>me include $10 million and $8 million</w:t>
      </w:r>
      <w:r>
        <w:rPr>
          <w:color w:val="000000"/>
          <w:highlight w:val="white"/>
        </w:rPr>
        <w:t xml:space="preserve"> </w:t>
      </w:r>
      <w:r>
        <w:rPr>
          <w:rFonts w:ascii="Times New Roman;sans-serif" w:hAnsi="Times New Roman;sans-serif"/>
          <w:b w:val="false"/>
          <w:color w:val="000000"/>
          <w:sz w:val="20"/>
          <w:highlight w:val="white"/>
        </w:rPr>
        <w:t>of</w:t>
      </w:r>
      <w:r>
        <w:rPr>
          <w:color w:val="000000"/>
        </w:rPr>
        <w:t xml:space="preserve"> </w:t>
      </w:r>
      <w:r>
        <w:rPr>
          <w:rFonts w:ascii="Times New Roman;sans-serif" w:hAnsi="Times New Roman;sans-serif"/>
          <w:b w:val="false"/>
          <w:color w:val="000000"/>
          <w:sz w:val="20"/>
        </w:rPr>
        <w:t xml:space="preserve">contract liabilities as of March 31, 2023 and December 31, 2022, respectively. See Note 3, </w:t>
      </w:r>
      <w:r>
        <w:rPr>
          <w:rFonts w:ascii="Times New Roman;sans-serif" w:hAnsi="Times New Roman;sans-serif"/>
          <w:b w:val="false"/>
          <w:i/>
          <w:color w:val="000000"/>
          <w:sz w:val="20"/>
        </w:rPr>
        <w:t>Revenue Recognition and Contracts with Customers</w:t>
      </w:r>
      <w:r>
        <w:rPr>
          <w:rFonts w:ascii="Times New Roman;sans-serif" w:hAnsi="Times New Roman;sans-serif"/>
          <w:b w:val="false"/>
          <w:color w:val="000000"/>
          <w:sz w:val="20"/>
        </w:rPr>
        <w:t xml:space="preserve">. </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$4 million and $3 million of environmental liabilities as of March 31, 2023 and December 31, 2022, respectively.</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tbl>
      <w:tblPr>
        <w:tblW w:w="6267" w:type="dxa"/>
        <w:jc w:val="left"/>
        <w:tblInd w:w="0" w:type="dxa"/>
        <w:tblCellMar>
          <w:top w:w="28" w:type="dxa"/>
          <w:left w:w="28" w:type="dxa"/>
          <w:bottom w:w="28" w:type="dxa"/>
          <w:right w:w="28" w:type="dxa"/>
        </w:tblCellMar>
      </w:tblPr>
      <w:tblGrid>
        <w:gridCol w:w="940"/>
        <w:gridCol w:w="826"/>
        <w:gridCol w:w="828"/>
        <w:gridCol w:w="408"/>
        <w:gridCol w:w="698"/>
        <w:gridCol w:w="213"/>
        <w:gridCol w:w="109"/>
        <w:gridCol w:w="109"/>
        <w:gridCol w:w="109"/>
        <w:gridCol w:w="283"/>
        <w:gridCol w:w="545"/>
        <w:gridCol w:w="146"/>
        <w:gridCol w:w="109"/>
        <w:gridCol w:w="109"/>
        <w:gridCol w:w="109"/>
        <w:gridCol w:w="211"/>
        <w:gridCol w:w="361"/>
        <w:gridCol w:w="154"/>
      </w:tblGrid>
      <w:tr>
        <w:trPr/>
        <w:tc>
          <w:tcPr>
            <w:tcW w:w="9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Severance Costs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Other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15"/>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408"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11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Usage—cash</w:t>
            </w:r>
          </w:p>
        </w:tc>
        <w:tc>
          <w:tcPr>
            <w:tcW w:w="110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asset write-offs</w:t>
            </w:r>
          </w:p>
        </w:tc>
        <w:tc>
          <w:tcPr>
            <w:tcW w:w="110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267" w:type="dxa"/>
        <w:jc w:val="left"/>
        <w:tblInd w:w="0" w:type="dxa"/>
        <w:tblCellMar>
          <w:top w:w="28" w:type="dxa"/>
          <w:left w:w="28" w:type="dxa"/>
          <w:bottom w:w="28" w:type="dxa"/>
          <w:right w:w="28" w:type="dxa"/>
        </w:tblCellMar>
      </w:tblPr>
      <w:tblGrid>
        <w:gridCol w:w="940"/>
        <w:gridCol w:w="826"/>
        <w:gridCol w:w="828"/>
        <w:gridCol w:w="408"/>
        <w:gridCol w:w="698"/>
        <w:gridCol w:w="213"/>
        <w:gridCol w:w="109"/>
        <w:gridCol w:w="109"/>
        <w:gridCol w:w="109"/>
        <w:gridCol w:w="283"/>
        <w:gridCol w:w="545"/>
        <w:gridCol w:w="146"/>
        <w:gridCol w:w="109"/>
        <w:gridCol w:w="109"/>
        <w:gridCol w:w="109"/>
        <w:gridCol w:w="211"/>
        <w:gridCol w:w="361"/>
        <w:gridCol w:w="154"/>
      </w:tblGrid>
      <w:tr>
        <w:trPr/>
        <w:tc>
          <w:tcPr>
            <w:tcW w:w="94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Severance Costs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Other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15"/>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408"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11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Usage—cash</w:t>
            </w:r>
          </w:p>
        </w:tc>
        <w:tc>
          <w:tcPr>
            <w:tcW w:w="110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4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12. Other Liabilities</w:t>
      </w:r>
    </w:p>
    <w:tbl>
      <w:tblPr>
        <w:tblW w:w="8050" w:type="dxa"/>
        <w:jc w:val="left"/>
        <w:tblInd w:w="0" w:type="dxa"/>
        <w:tblCellMar>
          <w:top w:w="28" w:type="dxa"/>
          <w:left w:w="28" w:type="dxa"/>
          <w:bottom w:w="28" w:type="dxa"/>
          <w:right w:w="28" w:type="dxa"/>
        </w:tblCellMar>
      </w:tblPr>
      <w:tblGrid>
        <w:gridCol w:w="2076"/>
        <w:gridCol w:w="1819"/>
        <w:gridCol w:w="1834"/>
        <w:gridCol w:w="229"/>
        <w:gridCol w:w="507"/>
        <w:gridCol w:w="118"/>
        <w:gridCol w:w="109"/>
        <w:gridCol w:w="109"/>
        <w:gridCol w:w="109"/>
        <w:gridCol w:w="331"/>
        <w:gridCol w:w="567"/>
        <w:gridCol w:w="242"/>
      </w:tblGrid>
      <w:tr>
        <w:trPr/>
        <w:tc>
          <w:tcPr>
            <w:tcW w:w="2076"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83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72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2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auto" w:val="clear"/>
            <w:vAlign w:val="center"/>
          </w:tcPr>
          <w:p>
            <w:pPr>
              <w:pStyle w:val="TableContents"/>
              <w:spacing w:before="0" w:after="283"/>
              <w:rPr>
                <w:sz w:val="4"/>
                <w:szCs w:val="4"/>
              </w:rPr>
            </w:pPr>
            <w:r>
              <w:rPr>
                <w:sz w:val="4"/>
                <w:szCs w:val="4"/>
              </w:rPr>
            </w:r>
          </w:p>
        </w:tc>
        <w:tc>
          <w:tcPr>
            <w:tcW w:w="8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employee related</w:t>
            </w:r>
          </w:p>
        </w:tc>
        <w:tc>
          <w:tcPr>
            <w:tcW w:w="73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liability (Note 13)</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discounts from suppliers</w:t>
            </w:r>
          </w:p>
        </w:tc>
        <w:tc>
          <w:tcPr>
            <w:tcW w:w="73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warranties and performance guarantees – long-term (Note 20)</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remediation – long term</w:t>
            </w:r>
          </w:p>
        </w:tc>
        <w:tc>
          <w:tcPr>
            <w:tcW w:w="73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accounts payable</w:t>
            </w:r>
          </w:p>
        </w:tc>
        <w:tc>
          <w:tcPr>
            <w:tcW w:w="736"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3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4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13. Leases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that primarily consist of real estate, machinery and equipment. Our leases have remaining lease terms of up to 15 years, some of which include options to extend the leases for up to two years, and some of which include options to terminate the leases within the year.</w:t>
      </w:r>
    </w:p>
    <w:p>
      <w:pPr>
        <w:pStyle w:val="TextBody"/>
        <w:spacing w:lineRule="auto" w:line="288" w:before="200" w:after="283"/>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4414" w:type="dxa"/>
        <w:jc w:val="left"/>
        <w:tblInd w:w="0" w:type="dxa"/>
        <w:tblCellMar>
          <w:top w:w="28" w:type="dxa"/>
          <w:left w:w="28" w:type="dxa"/>
          <w:bottom w:w="28" w:type="dxa"/>
          <w:right w:w="28" w:type="dxa"/>
        </w:tblCellMar>
      </w:tblPr>
      <w:tblGrid>
        <w:gridCol w:w="635"/>
        <w:gridCol w:w="558"/>
        <w:gridCol w:w="562"/>
        <w:gridCol w:w="109"/>
        <w:gridCol w:w="109"/>
        <w:gridCol w:w="270"/>
        <w:gridCol w:w="270"/>
        <w:gridCol w:w="523"/>
        <w:gridCol w:w="270"/>
        <w:gridCol w:w="270"/>
        <w:gridCol w:w="109"/>
        <w:gridCol w:w="109"/>
        <w:gridCol w:w="109"/>
        <w:gridCol w:w="227"/>
        <w:gridCol w:w="117"/>
        <w:gridCol w:w="167"/>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838" w:type="dxa"/>
            <w:gridSpan w:val="6"/>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63"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90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755" w:type="dxa"/>
            <w:gridSpan w:val="3"/>
            <w:tcBorders/>
            <w:shd w:fill="CFF0FC"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23"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4"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spacing w:lineRule="auto" w:line="288" w:before="200" w:after="283"/>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is as follows:</w:t>
      </w:r>
    </w:p>
    <w:tbl>
      <w:tblPr>
        <w:tblW w:w="8633" w:type="dxa"/>
        <w:jc w:val="left"/>
        <w:tblInd w:w="0" w:type="dxa"/>
        <w:tblCellMar>
          <w:top w:w="28" w:type="dxa"/>
          <w:left w:w="28" w:type="dxa"/>
          <w:bottom w:w="28" w:type="dxa"/>
          <w:right w:w="28" w:type="dxa"/>
        </w:tblCellMar>
      </w:tblPr>
      <w:tblGrid>
        <w:gridCol w:w="2124"/>
        <w:gridCol w:w="1867"/>
        <w:gridCol w:w="1873"/>
        <w:gridCol w:w="109"/>
        <w:gridCol w:w="109"/>
        <w:gridCol w:w="220"/>
        <w:gridCol w:w="220"/>
        <w:gridCol w:w="426"/>
        <w:gridCol w:w="517"/>
        <w:gridCol w:w="220"/>
        <w:gridCol w:w="109"/>
        <w:gridCol w:w="109"/>
        <w:gridCol w:w="109"/>
        <w:gridCol w:w="211"/>
        <w:gridCol w:w="256"/>
        <w:gridCol w:w="154"/>
      </w:tblGrid>
      <w:tr>
        <w:trPr/>
        <w:tc>
          <w:tcPr>
            <w:tcW w:w="2124"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948" w:type="dxa"/>
            <w:gridSpan w:val="6"/>
            <w:tcBorders/>
            <w:shd w:fill="auto" w:val="clea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63"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1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864" w:type="dxa"/>
            <w:gridSpan w:val="3"/>
            <w:tcBorders/>
            <w:shd w:fill="CFF0FC" w:val="clear"/>
            <w:tcMar>
              <w:top w:w="0" w:type="dxa"/>
              <w:left w:w="0" w:type="dxa"/>
              <w:bottom w:w="0" w:type="dxa"/>
              <w:right w:w="0" w:type="dxa"/>
            </w:tcMar>
            <w:vAlign w:val="center"/>
          </w:tcPr>
          <w:p>
            <w:pPr>
              <w:pStyle w:val="TableContents"/>
              <w:spacing w:lineRule="auto" w:line="276" w:before="15"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6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from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spacing w:lineRule="auto" w:line="276" w:before="15"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6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is as follows:</w:t>
      </w:r>
    </w:p>
    <w:tbl>
      <w:tblPr>
        <w:tblW w:w="3941" w:type="dxa"/>
        <w:jc w:val="left"/>
        <w:tblInd w:w="0" w:type="dxa"/>
        <w:tblCellMar>
          <w:top w:w="28" w:type="dxa"/>
          <w:left w:w="28" w:type="dxa"/>
          <w:bottom w:w="28" w:type="dxa"/>
          <w:right w:w="28" w:type="dxa"/>
        </w:tblCellMar>
      </w:tblPr>
      <w:tblGrid>
        <w:gridCol w:w="586"/>
        <w:gridCol w:w="514"/>
        <w:gridCol w:w="519"/>
        <w:gridCol w:w="265"/>
        <w:gridCol w:w="453"/>
        <w:gridCol w:w="137"/>
        <w:gridCol w:w="109"/>
        <w:gridCol w:w="109"/>
        <w:gridCol w:w="109"/>
        <w:gridCol w:w="331"/>
        <w:gridCol w:w="567"/>
        <w:gridCol w:w="242"/>
      </w:tblGrid>
      <w:tr>
        <w:trPr/>
        <w:tc>
          <w:tcPr>
            <w:tcW w:w="58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61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65"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71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71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983" w:type="dxa"/>
        <w:jc w:val="left"/>
        <w:tblInd w:w="0" w:type="dxa"/>
        <w:tblCellMar>
          <w:top w:w="28" w:type="dxa"/>
          <w:left w:w="28" w:type="dxa"/>
          <w:bottom w:w="28" w:type="dxa"/>
          <w:right w:w="28" w:type="dxa"/>
        </w:tblCellMar>
      </w:tblPr>
      <w:tblGrid>
        <w:gridCol w:w="1495"/>
        <w:gridCol w:w="1312"/>
        <w:gridCol w:w="1317"/>
        <w:gridCol w:w="255"/>
        <w:gridCol w:w="256"/>
        <w:gridCol w:w="476"/>
        <w:gridCol w:w="109"/>
        <w:gridCol w:w="109"/>
        <w:gridCol w:w="109"/>
        <w:gridCol w:w="314"/>
        <w:gridCol w:w="314"/>
        <w:gridCol w:w="917"/>
      </w:tblGrid>
      <w:tr>
        <w:trPr/>
        <w:tc>
          <w:tcPr>
            <w:tcW w:w="1495"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9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2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987" w:type="dxa"/>
            <w:gridSpan w:val="3"/>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4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9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as of March 31, 2023 were as follows:</w:t>
      </w:r>
    </w:p>
    <w:tbl>
      <w:tblPr>
        <w:tblW w:w="3464" w:type="dxa"/>
        <w:jc w:val="left"/>
        <w:tblInd w:w="0" w:type="dxa"/>
        <w:tblCellMar>
          <w:top w:w="28" w:type="dxa"/>
          <w:left w:w="28" w:type="dxa"/>
          <w:bottom w:w="28" w:type="dxa"/>
          <w:right w:w="28" w:type="dxa"/>
        </w:tblCellMar>
      </w:tblPr>
      <w:tblGrid>
        <w:gridCol w:w="667"/>
        <w:gridCol w:w="585"/>
        <w:gridCol w:w="593"/>
        <w:gridCol w:w="469"/>
        <w:gridCol w:w="803"/>
        <w:gridCol w:w="347"/>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184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6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47"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7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4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7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72" w:type="dxa"/>
            <w:gridSpan w:val="2"/>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47"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47"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ind w:left="0" w:right="0" w:firstLine="43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Long-term Debt and Credit Agreements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outstanding and carrying amounts of our long-term debt as of March 31, 2023 and December 31, 2022 are as follows:</w:t>
      </w:r>
    </w:p>
    <w:tbl>
      <w:tblPr>
        <w:tblW w:w="9641" w:type="dxa"/>
        <w:jc w:val="center"/>
        <w:tblInd w:w="0" w:type="dxa"/>
        <w:tblCellMar>
          <w:top w:w="28" w:type="dxa"/>
          <w:left w:w="28" w:type="dxa"/>
          <w:bottom w:w="28" w:type="dxa"/>
          <w:right w:w="28" w:type="dxa"/>
        </w:tblCellMar>
      </w:tblPr>
      <w:tblGrid>
        <w:gridCol w:w="1299"/>
        <w:gridCol w:w="1141"/>
        <w:gridCol w:w="1145"/>
        <w:gridCol w:w="317"/>
        <w:gridCol w:w="317"/>
        <w:gridCol w:w="325"/>
        <w:gridCol w:w="109"/>
        <w:gridCol w:w="109"/>
        <w:gridCol w:w="109"/>
        <w:gridCol w:w="679"/>
        <w:gridCol w:w="679"/>
        <w:gridCol w:w="682"/>
        <w:gridCol w:w="109"/>
        <w:gridCol w:w="109"/>
        <w:gridCol w:w="109"/>
        <w:gridCol w:w="211"/>
        <w:gridCol w:w="616"/>
        <w:gridCol w:w="109"/>
        <w:gridCol w:w="109"/>
        <w:gridCol w:w="109"/>
        <w:gridCol w:w="109"/>
        <w:gridCol w:w="245"/>
        <w:gridCol w:w="716"/>
        <w:gridCol w:w="179"/>
      </w:tblGrid>
      <w:tr>
        <w:trPr/>
        <w:tc>
          <w:tcPr>
            <w:tcW w:w="129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Due</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Interest Rate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Dollar Term Facility</w:t>
            </w:r>
          </w:p>
        </w:tc>
        <w:tc>
          <w:tcPr>
            <w:tcW w:w="959" w:type="dxa"/>
            <w:gridSpan w:val="3"/>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4/30/2028</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LIBOR plus 325 bps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79" w:type="dxa"/>
            <w:tcBorders>
              <w:top w:val="single" w:sz="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Term Facility</w:t>
            </w:r>
          </w:p>
        </w:tc>
        <w:tc>
          <w:tcPr>
            <w:tcW w:w="95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EURIBOR plus 350 bps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outstanding</w:t>
            </w:r>
          </w:p>
        </w:tc>
        <w:tc>
          <w:tcPr>
            <w:tcW w:w="95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59"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7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spacing w:lineRule="auto" w:line="288" w:before="200" w:after="283"/>
        <w:ind w:left="0" w:right="0" w:firstLine="432"/>
        <w:jc w:val="both"/>
        <w:rPr/>
      </w:pPr>
      <w:r>
        <w:rPr>
          <w:rFonts w:ascii="Times New Roman;sans-serif" w:hAnsi="Times New Roman;sans-serif"/>
          <w:b w:val="false"/>
          <w:color w:val="000000"/>
          <w:sz w:val="20"/>
          <w:highlight w:val="white"/>
        </w:rPr>
        <w:t>On April 30, 2021,</w:t>
      </w:r>
      <w:r>
        <w:rPr>
          <w:color w:val="000000"/>
        </w:rPr>
        <w:t xml:space="preserve"> </w:t>
      </w:r>
      <w:r>
        <w:rPr>
          <w:rFonts w:ascii="Times New Roman;sans-serif" w:hAnsi="Times New Roman;sans-serif"/>
          <w:b w:val="false"/>
          <w:color w:val="000000"/>
          <w:sz w:val="20"/>
        </w:rPr>
        <w:t xml:space="preserve">the Company entered into a credit agreement </w:t>
      </w:r>
      <w:r>
        <w:rPr>
          <w:rFonts w:ascii="Times New Roman;sans-serif" w:hAnsi="Times New Roman;sans-serif"/>
          <w:b w:val="false"/>
          <w:color w:val="000000"/>
          <w:sz w:val="20"/>
          <w:highlight w:val="white"/>
        </w:rPr>
        <w:t>(as amended from time to time, the "Credit Agreement")</w:t>
      </w:r>
      <w:r>
        <w:rPr>
          <w:color w:val="000000"/>
        </w:rPr>
        <w:t xml:space="preserve"> </w:t>
      </w:r>
      <w:r>
        <w:rPr>
          <w:rFonts w:ascii="Times New Roman;sans-serif" w:hAnsi="Times New Roman;sans-serif"/>
          <w:b w:val="false"/>
          <w:color w:val="000000"/>
          <w:sz w:val="20"/>
        </w:rPr>
        <w:t>providing for senior secured financing, consisting of a seven-year secured first-lien U.S. Dollar term loan facility initially in the amount of $715 million (the “Dollar Term Facility”), a seven-year secured first-lien Euro term loan facility initially in the amount of €450 million (the “Euro Term Facility,” and together with the Dollar Term Facility, the “Term Loan Facilities”); and a five-year senior secured first-lien revolving credit facility initially in the amount of $300 million providing for multi-currency re</w:t>
      </w:r>
      <w:r>
        <w:rPr>
          <w:rFonts w:ascii="Times New Roman;sans-serif" w:hAnsi="Times New Roman;sans-serif"/>
          <w:b w:val="false"/>
          <w:color w:val="000000"/>
          <w:sz w:val="20"/>
          <w:highlight w:val="white"/>
        </w:rPr>
        <w:t xml:space="preserve">volving loans, (the “Revolving Facility,” and together with the Term Loan Facilities, the “Credit Facilities”). </w:t>
      </w:r>
    </w:p>
    <w:p>
      <w:pPr>
        <w:pStyle w:val="TextBody"/>
        <w:spacing w:lineRule="auto" w:line="288" w:before="200" w:after="283"/>
        <w:ind w:left="0" w:right="0" w:firstLine="432"/>
        <w:jc w:val="both"/>
        <w:rPr/>
      </w:pPr>
      <w:r>
        <w:rPr>
          <w:rFonts w:ascii="Times New Roman;sans-serif" w:hAnsi="Times New Roman;sans-serif"/>
          <w:b w:val="false"/>
          <w:color w:val="000000"/>
          <w:sz w:val="20"/>
          <w:highlight w:val="white"/>
        </w:rPr>
        <w:t xml:space="preserve">Following amendments to the Credit Agreement in 2022, the maximum amount of borrowings available under the Revolving Facility is $475 million, and the </w:t>
      </w:r>
      <w:r>
        <w:rPr>
          <w:rFonts w:ascii="Times New Roman;sans-serif" w:hAnsi="Times New Roman;sans-serif"/>
          <w:b w:val="false"/>
          <w:color w:val="000000"/>
          <w:sz w:val="20"/>
        </w:rPr>
        <w:t xml:space="preserve">Company may use up to $125 million </w:t>
      </w:r>
      <w:r>
        <w:rPr>
          <w:rFonts w:ascii="Times New Roman;sans-serif" w:hAnsi="Times New Roman;sans-serif"/>
          <w:b w:val="false"/>
          <w:color w:val="000000"/>
          <w:sz w:val="20"/>
          <w:highlight w:val="white"/>
        </w:rPr>
        <w:t>for the issuance of letters of credit to its subsidiaries. Letters of credit are available for issuance under the Credit Agreement on terms and conditions customary for financings of this kind, which issuances reduce availability under the Revolving Facility. The Revolving Facility matures on April 30, 2026, with certain extension rights at the discretion of each lender. As of</w:t>
      </w:r>
      <w:r>
        <w:rPr>
          <w:color w:val="000000"/>
        </w:rPr>
        <w:t xml:space="preserve"> </w:t>
      </w:r>
      <w:r>
        <w:rPr>
          <w:rFonts w:ascii="Times New Roman;sans-serif" w:hAnsi="Times New Roman;sans-serif"/>
          <w:b w:val="false"/>
          <w:color w:val="000000"/>
          <w:sz w:val="20"/>
        </w:rPr>
        <w:t>March 31, 2023 the Company had no loans outstanding under the Revolving Facility, no outstanding letters of credit, and available borrowing capacity of approximately $475 million.</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Separate from the Revolving Facility, the Company has a bilateral letter of credit facility, which also matures on April 30, 2026. On September 14, 2022, the Company amended the bilateral letter of credit agreement to reduce the available capacity from $35 million to $15 million. The maturity date and other terms of the amended agreement remained the same. As of March 31, 2023, the Company had $12 million utilized and $3 million of remaining available capacity under such facility.</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Interest Rate and Fees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Dollar Term Facility is subject to an interest rate, at our option, of either (a) an alternate base rate (“ABR”) (which shall not be less than 1.50%) or (b) an adjusted LIBOR rate (“LIBOR”) (which shall not be less than 0.50%), in each case, plus an applicable margin equal to 3.25% in the case of LIBOR loans and 2.25% in the case of ABR loans. The Euro Term Facility is subject to an interest rate equal to an adjusted EURIBOR rate (which shall not be less than zero) plus an applicable margin equal to 3.50%. Interest payments with respect to the Dollar and Euro Term Facilities are required either on a quarterly basis (for ABR loans) or at the end of each interest period (for LIBOR and EURIBOR loans) or, if the duration of the applicable interest period exceeds three months, then every three months.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Facility is subject to an interest rate comprised of an applicable benchmark rate as provided under the Credit Agreement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paying interest on outstanding borrowings under the Revolving Facility, we are also required to pay a quarterly commitment fee based on the average daily unused portion of the Revolving Facility during such quarter, which is determined by our leverage ratio and ranges from 0.25% to 0.50% per annum.</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Prepayments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contains certain mandatory prepayment provisions in the event that we incur certain types of indebtedness, receive net cash proceeds from certain non-ordinary course asset sales or other dispositions of property, or have excess cash flow (calculated on an annual basis with the required prepayment equal to 50%, 25% or 0% of such excess cash flow, subject to compliance with certain leverage ratios), in each case subject to terms and conditions customary for financings of this kind.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Certain Covenants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certain affirmative and negative covenants customary for financings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in effect thereunder on such date. As of March 31, 2023, the Company was in compliance with all covenants.</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Note 15. Series A Preferred Stock</w:t>
      </w:r>
    </w:p>
    <w:p>
      <w:pPr>
        <w:pStyle w:val="TextBody"/>
        <w:spacing w:lineRule="auto" w:line="288" w:before="200" w:after="283"/>
        <w:ind w:left="0" w:right="0" w:firstLine="432"/>
        <w:jc w:val="both"/>
        <w:rPr/>
      </w:pPr>
      <w:r>
        <w:rPr>
          <w:rFonts w:ascii="Times New Roman;sans-serif" w:hAnsi="Times New Roman;sans-serif"/>
          <w:b w:val="false"/>
          <w:color w:val="000000"/>
          <w:sz w:val="20"/>
        </w:rPr>
        <w:t>On March 8, 2023, the Disinterested Directors Committee of the Board of Directors (the "Board") of the Company declared a cash divide</w:t>
      </w:r>
      <w:r>
        <w:rPr>
          <w:rFonts w:ascii="Times New Roman;sans-serif" w:hAnsi="Times New Roman;sans-serif"/>
          <w:b w:val="false"/>
          <w:color w:val="000000"/>
          <w:sz w:val="20"/>
          <w:highlight w:val="white"/>
        </w:rPr>
        <w:t xml:space="preserve">nd of $0.17 per share on the Company's Series A Preferred Stock. As of the record date of March 22, 2023, a total of 245,045,431 shares of Series A Preferred Stock were outstanding, resulting in an aggregate dividend amount of $42 million. Cash was transferred on March </w:t>
      </w:r>
      <w:r>
        <w:rPr>
          <w:rFonts w:ascii="Times New Roman;sans-serif" w:hAnsi="Times New Roman;sans-serif"/>
          <w:b w:val="false"/>
          <w:color w:val="000000"/>
          <w:sz w:val="20"/>
        </w:rPr>
        <w:t xml:space="preserve">29, 2023 to the transfer agent for the Series A Preferred Stock in the amount of $42 million for the settlement of the dividend which occurred on April 3, 2023. As of March 31, 2023, a dividend payable of $42 million was recorded within Accrued liabilities, and the cash held by the transfer agent was recorded within Other current assets. </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As of March 31, 2023, the remaining unpaid cumulative dividends not yet declared on the shares of Series A Preferred Stock outstanding as of that date was </w:t>
      </w:r>
      <w:r>
        <w:rPr>
          <w:rFonts w:ascii="Times New Roman;sans-serif" w:hAnsi="Times New Roman;sans-serif"/>
          <w:b w:val="false"/>
          <w:color w:val="000000"/>
          <w:sz w:val="20"/>
          <w:highlight w:val="white"/>
        </w:rPr>
        <w:t>$169 million</w:t>
      </w:r>
      <w:r>
        <w:rPr>
          <w:rFonts w:ascii="Times New Roman;sans-serif" w:hAnsi="Times New Roman;sans-serif"/>
          <w:b w:val="false"/>
          <w:color w:val="000000"/>
          <w:sz w:val="20"/>
        </w:rPr>
        <w:t>.</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16. Financial Instruments and Fair Value Measures</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Our credit, market and foreign currency risk management policies are described in Note 19, </w:t>
      </w:r>
      <w:r>
        <w:rPr>
          <w:rFonts w:ascii="Times New Roman;sans-serif" w:hAnsi="Times New Roman;sans-serif"/>
          <w:b w:val="false"/>
          <w:i/>
          <w:color w:val="000000"/>
          <w:sz w:val="20"/>
        </w:rPr>
        <w:t>Financial Instruments and Fair Value Measures</w:t>
      </w:r>
      <w:r>
        <w:rPr>
          <w:rFonts w:ascii="Times New Roman;sans-serif" w:hAnsi="Times New Roman;sans-serif"/>
          <w:b w:val="false"/>
          <w:color w:val="000000"/>
          <w:sz w:val="20"/>
        </w:rPr>
        <w:t>, to the Consolidated Financial Statements for the year ended December 31, 2022 included in our 2022 Form 10-K. As of March 31, 2023 and December 31, 2022, we had contracts with aggregate gross notional amounts of $2,734 million and $2,621 million, respectively, to hedge interest rates and foreign currencies, principally the U.S. Dollar, Swiss Franc, British Pound, Euro, Chinese Yuan, Japanese Yen, Mexican Peso, New Romanian Leu, Czech Koruna, Australian Dollar and Korean Won.</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March 31, 2023 and December 31, 2022:</w:t>
      </w:r>
    </w:p>
    <w:tbl>
      <w:tblPr>
        <w:tblW w:w="10205" w:type="dxa"/>
        <w:jc w:val="left"/>
        <w:tblInd w:w="0" w:type="dxa"/>
        <w:tblCellMar>
          <w:top w:w="28" w:type="dxa"/>
          <w:left w:w="28" w:type="dxa"/>
          <w:bottom w:w="28" w:type="dxa"/>
          <w:right w:w="28" w:type="dxa"/>
        </w:tblCellMar>
      </w:tblPr>
      <w:tblGrid>
        <w:gridCol w:w="867"/>
        <w:gridCol w:w="618"/>
        <w:gridCol w:w="622"/>
        <w:gridCol w:w="211"/>
        <w:gridCol w:w="616"/>
        <w:gridCol w:w="109"/>
        <w:gridCol w:w="109"/>
        <w:gridCol w:w="109"/>
        <w:gridCol w:w="109"/>
        <w:gridCol w:w="272"/>
        <w:gridCol w:w="794"/>
        <w:gridCol w:w="140"/>
        <w:gridCol w:w="109"/>
        <w:gridCol w:w="109"/>
        <w:gridCol w:w="109"/>
        <w:gridCol w:w="215"/>
        <w:gridCol w:w="477"/>
        <w:gridCol w:w="111"/>
        <w:gridCol w:w="109"/>
        <w:gridCol w:w="109"/>
        <w:gridCol w:w="109"/>
        <w:gridCol w:w="323"/>
        <w:gridCol w:w="714"/>
        <w:gridCol w:w="168"/>
        <w:gridCol w:w="109"/>
        <w:gridCol w:w="109"/>
        <w:gridCol w:w="109"/>
        <w:gridCol w:w="225"/>
        <w:gridCol w:w="386"/>
        <w:gridCol w:w="116"/>
        <w:gridCol w:w="109"/>
        <w:gridCol w:w="109"/>
        <w:gridCol w:w="109"/>
        <w:gridCol w:w="441"/>
        <w:gridCol w:w="536"/>
        <w:gridCol w:w="228"/>
        <w:gridCol w:w="109"/>
        <w:gridCol w:w="109"/>
        <w:gridCol w:w="163"/>
      </w:tblGrid>
      <w:tr>
        <w:trPr/>
        <w:tc>
          <w:tcPr>
            <w:tcW w:w="86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2" w:type="dxa"/>
            <w:gridSpan w:val="24"/>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5"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81"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Designated instruments: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forward currency exchange contracts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w:t>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r>
      <w:tr>
        <w:trPr/>
        <w:tc>
          <w:tcPr>
            <w:tcW w:w="2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cross-currency swap</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designated instruments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Undesignated instruments: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Undesignated interest rate swap</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6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Undesignated forward currency exchange contracts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w:t>
            </w:r>
          </w:p>
        </w:tc>
        <w:tc>
          <w:tcPr>
            <w:tcW w:w="6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w:t>
            </w:r>
          </w:p>
        </w:tc>
      </w:tr>
      <w:tr>
        <w:trPr/>
        <w:tc>
          <w:tcPr>
            <w:tcW w:w="21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undesignated instruments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designated and undesignated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Recorded within Other current assets</w:t>
      </w:r>
    </w:p>
    <w:p>
      <w:pPr>
        <w:pStyle w:val="TextBody"/>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Recorded within Other assets</w:t>
      </w:r>
    </w:p>
    <w:p>
      <w:pPr>
        <w:pStyle w:val="TextBody"/>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Recorded within Accrued liabilities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outstanding interest rate swaps with an aggregate notional amount of €960 million, with maturities of April 2023, April 2024, April 2025, April 2026, April 2027 and April 2028. The Company uses interest rate swaps specifically to mitigate variable interest risk exposure on its long-term debt portfolio and has not designated them as hedging instruments for accounting purposes.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cross-currency swaps have been designated as net investment hedges of its Euro-denominated operations. As of March 31, 2023, an aggregate notional amount of €606 million was designated as net investment hedges of the Company’s investment in Euro-denominated operations. The cross-currency swaps’ fair values were net assets of $60 million at March 31, 2023. Our Consolidated Interim Statements of Comprehensive Income include Changes in fair value of net investment hedges, net of tax, of $(5) million and $13 million, during the three months ended March 31, 2023 and 2022, respectively, related to these net investment hedges. No ineffectiveness has been recorded on the net investment hedges.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forward currency exchange contracts under our cash flow hedging program are assessed as highly effective and are designated as cash flow hedges. Gains and losses on derivatives qualifying as cash flow hedges are recorded in Accumulated other comprehensive income until the underlying transactions are recognized in earnings.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cash equivalents and restricted cash, Account receivables and Notes and Other receivables contained in the Consolidated Interim Balance Sheet approximates fair value.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and liabilities that were not carried at fair value:</w:t>
      </w:r>
    </w:p>
    <w:tbl>
      <w:tblPr>
        <w:tblW w:w="7187" w:type="dxa"/>
        <w:jc w:val="left"/>
        <w:tblInd w:w="0" w:type="dxa"/>
        <w:tblCellMar>
          <w:top w:w="28" w:type="dxa"/>
          <w:left w:w="28" w:type="dxa"/>
          <w:bottom w:w="28" w:type="dxa"/>
          <w:right w:w="28" w:type="dxa"/>
        </w:tblCellMar>
      </w:tblPr>
      <w:tblGrid>
        <w:gridCol w:w="651"/>
        <w:gridCol w:w="572"/>
        <w:gridCol w:w="576"/>
        <w:gridCol w:w="280"/>
        <w:gridCol w:w="820"/>
        <w:gridCol w:w="145"/>
        <w:gridCol w:w="109"/>
        <w:gridCol w:w="109"/>
        <w:gridCol w:w="109"/>
        <w:gridCol w:w="211"/>
        <w:gridCol w:w="616"/>
        <w:gridCol w:w="109"/>
        <w:gridCol w:w="109"/>
        <w:gridCol w:w="109"/>
        <w:gridCol w:w="109"/>
        <w:gridCol w:w="280"/>
        <w:gridCol w:w="820"/>
        <w:gridCol w:w="145"/>
        <w:gridCol w:w="109"/>
        <w:gridCol w:w="109"/>
        <w:gridCol w:w="109"/>
        <w:gridCol w:w="211"/>
        <w:gridCol w:w="616"/>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9"/>
            <w:tcBorders/>
            <w:shd w:fill="FFFFFF" w:val="clear"/>
            <w:tcMar>
              <w:top w:w="0" w:type="dxa"/>
              <w:left w:w="0" w:type="dxa"/>
              <w:bottom w:w="0" w:type="dxa"/>
              <w:right w:w="0" w:type="dxa"/>
            </w:tcMar>
            <w:vAlign w:val="center"/>
          </w:tcPr>
          <w:p>
            <w:pPr>
              <w:pStyle w:val="TableContents"/>
              <w:spacing w:lineRule="auto" w:line="240" w:before="20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9"/>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8" w:type="dxa"/>
            <w:gridSpan w:val="21"/>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799" w:type="dxa"/>
            <w:gridSpan w:val="3"/>
            <w:tcBorders/>
            <w:shd w:fill="CFF0FC" w:val="clear"/>
            <w:tcMar>
              <w:top w:w="0" w:type="dxa"/>
              <w:left w:w="0" w:type="dxa"/>
              <w:bottom w:w="0" w:type="dxa"/>
              <w:right w:w="0" w:type="dxa"/>
            </w:tcMar>
            <w:vAlign w:val="center"/>
          </w:tcPr>
          <w:p>
            <w:pPr>
              <w:pStyle w:val="TableContents"/>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 Loan Facilities</w:t>
            </w:r>
          </w:p>
        </w:tc>
        <w:tc>
          <w:tcPr>
            <w:tcW w:w="28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certain of its long-term debt and related current maturities utilizing transactions in the listed markets for similar liabilities. As such, the fair value of the long-term debt and related current maturities is considered Level 2.</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17. Accumulated Other Comprehensive Income</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by component are set forth below:</w:t>
      </w:r>
    </w:p>
    <w:tbl>
      <w:tblPr>
        <w:tblW w:w="10205" w:type="dxa"/>
        <w:jc w:val="left"/>
        <w:tblInd w:w="0" w:type="dxa"/>
        <w:tblCellMar>
          <w:top w:w="28" w:type="dxa"/>
          <w:left w:w="28" w:type="dxa"/>
          <w:bottom w:w="28" w:type="dxa"/>
          <w:right w:w="28" w:type="dxa"/>
        </w:tblCellMar>
      </w:tblPr>
      <w:tblGrid>
        <w:gridCol w:w="1239"/>
        <w:gridCol w:w="1031"/>
        <w:gridCol w:w="1034"/>
        <w:gridCol w:w="286"/>
        <w:gridCol w:w="511"/>
        <w:gridCol w:w="149"/>
        <w:gridCol w:w="109"/>
        <w:gridCol w:w="109"/>
        <w:gridCol w:w="109"/>
        <w:gridCol w:w="277"/>
        <w:gridCol w:w="476"/>
        <w:gridCol w:w="144"/>
        <w:gridCol w:w="109"/>
        <w:gridCol w:w="109"/>
        <w:gridCol w:w="109"/>
        <w:gridCol w:w="420"/>
        <w:gridCol w:w="719"/>
        <w:gridCol w:w="218"/>
        <w:gridCol w:w="109"/>
        <w:gridCol w:w="109"/>
        <w:gridCol w:w="109"/>
        <w:gridCol w:w="304"/>
        <w:gridCol w:w="543"/>
        <w:gridCol w:w="159"/>
        <w:gridCol w:w="109"/>
        <w:gridCol w:w="109"/>
        <w:gridCol w:w="109"/>
        <w:gridCol w:w="401"/>
        <w:gridCol w:w="687"/>
        <w:gridCol w:w="299"/>
      </w:tblGrid>
      <w:tr>
        <w:trPr/>
        <w:tc>
          <w:tcPr>
            <w:tcW w:w="1239"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Foreign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Exchange</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Translation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Adjustment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Changes in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Fair Value of</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Effective</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Cash Flow</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Fair Value of</w:t>
              <w:br/>
              <w:t>Net Investment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Pension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Total Accumulated</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Income</w:t>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1" w:type="dxa"/>
            <w:gridSpan w:val="27"/>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3304"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86"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4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79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FF0FC" w:val="clear"/>
            <w:tcMar>
              <w:top w:w="0" w:type="dxa"/>
              <w:left w:w="0" w:type="dxa"/>
              <w:bottom w:w="0" w:type="dxa"/>
              <w:right w:w="0" w:type="dxa"/>
            </w:tcMar>
            <w:vAlign w:val="center"/>
          </w:tcPr>
          <w:p>
            <w:pPr>
              <w:pStyle w:val="TableContents"/>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79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9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w:t>
            </w:r>
          </w:p>
        </w:tc>
        <w:tc>
          <w:tcPr>
            <w:tcW w:w="797"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9"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4"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8"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9"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99"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86"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4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44"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18"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9" w:type="dxa"/>
            <w:tcBorders>
              <w:top w:val="single" w:sz="6"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39"/>
        <w:gridCol w:w="1031"/>
        <w:gridCol w:w="1034"/>
        <w:gridCol w:w="286"/>
        <w:gridCol w:w="511"/>
        <w:gridCol w:w="149"/>
        <w:gridCol w:w="109"/>
        <w:gridCol w:w="109"/>
        <w:gridCol w:w="109"/>
        <w:gridCol w:w="277"/>
        <w:gridCol w:w="476"/>
        <w:gridCol w:w="144"/>
        <w:gridCol w:w="109"/>
        <w:gridCol w:w="109"/>
        <w:gridCol w:w="109"/>
        <w:gridCol w:w="420"/>
        <w:gridCol w:w="719"/>
        <w:gridCol w:w="218"/>
        <w:gridCol w:w="109"/>
        <w:gridCol w:w="109"/>
        <w:gridCol w:w="109"/>
        <w:gridCol w:w="359"/>
        <w:gridCol w:w="461"/>
        <w:gridCol w:w="186"/>
        <w:gridCol w:w="109"/>
        <w:gridCol w:w="109"/>
        <w:gridCol w:w="109"/>
        <w:gridCol w:w="401"/>
        <w:gridCol w:w="687"/>
        <w:gridCol w:w="299"/>
      </w:tblGrid>
      <w:tr>
        <w:trPr/>
        <w:tc>
          <w:tcPr>
            <w:tcW w:w="1239"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Foreign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Exchange</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Translation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Adjustment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Changes in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Fair Value of</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Effective</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Cash Flow</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Fair Value of</w:t>
              <w:br/>
              <w:t>Net Investment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Pension</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bottom w:val="single" w:sz="6" w:space="0" w:color="000000"/>
            </w:tcBorders>
            <w:shd w:fill="FFFFFF" w:val="clear"/>
            <w:tcMar>
              <w:top w:w="0" w:type="dxa"/>
              <w:left w:w="0" w:type="dxa"/>
              <w:bottom w:w="3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Total Accumulated</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Income</w:t>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1" w:type="dxa"/>
            <w:gridSpan w:val="27"/>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3304"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8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reclassifications</w:t>
            </w:r>
          </w:p>
        </w:tc>
        <w:tc>
          <w:tcPr>
            <w:tcW w:w="79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FF0FC" w:val="clear"/>
            <w:tcMar>
              <w:top w:w="0" w:type="dxa"/>
              <w:left w:w="0" w:type="dxa"/>
              <w:bottom w:w="0" w:type="dxa"/>
              <w:right w:w="0" w:type="dxa"/>
            </w:tcMar>
            <w:vAlign w:val="center"/>
          </w:tcPr>
          <w:p>
            <w:pPr>
              <w:pStyle w:val="TableContents"/>
              <w:spacing w:lineRule="auto" w:line="276" w:before="15"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79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income</w:t>
            </w:r>
          </w:p>
        </w:tc>
        <w:tc>
          <w:tcPr>
            <w:tcW w:w="797"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9"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4"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6"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99" w:type="dxa"/>
            <w:tcBorders>
              <w:top w:val="single" w:sz="6"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1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18. Earnings Per Share</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("EPS") is calculated using the two-class method pursuant to the issuance of our Series A Preferred Stock. Our Series A Preferred Stock is considered a participating security because holders of the Series A Preferred Stock will also be entitled to such dividends paid to holders of Common Stock to the same extent on an as-converted basis. The two-class method requires an allocation of earnings to all securities that participate in dividends with common shares, such as our Series A Preferred Stock, to the extent that each security may share in the entity’s earnings. Basic earnings per share are then calculated by dividing undistributed earnings allocated to common stock by the weighted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number of common shares outstanding for the period. The Series A Preferred Stock is not included in the computation of basic earnings per share in periods in which we have a net loss, as the Series A Preferred Stock is not contractually obligated to share in our net losses.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for the three months ended March 31, 2023 and 2022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details of the EPS calculations for the three months ended March 31, 2023 and 2022 are as follows:</w:t>
      </w:r>
    </w:p>
    <w:tbl>
      <w:tblPr>
        <w:tblW w:w="9539" w:type="dxa"/>
        <w:jc w:val="left"/>
        <w:tblInd w:w="0" w:type="dxa"/>
        <w:tblCellMar>
          <w:top w:w="28" w:type="dxa"/>
          <w:left w:w="28" w:type="dxa"/>
          <w:bottom w:w="28" w:type="dxa"/>
          <w:right w:w="28" w:type="dxa"/>
        </w:tblCellMar>
      </w:tblPr>
      <w:tblGrid>
        <w:gridCol w:w="2144"/>
        <w:gridCol w:w="1883"/>
        <w:gridCol w:w="1898"/>
        <w:gridCol w:w="109"/>
        <w:gridCol w:w="109"/>
        <w:gridCol w:w="166"/>
        <w:gridCol w:w="166"/>
        <w:gridCol w:w="366"/>
        <w:gridCol w:w="886"/>
        <w:gridCol w:w="188"/>
        <w:gridCol w:w="123"/>
        <w:gridCol w:w="123"/>
        <w:gridCol w:w="123"/>
        <w:gridCol w:w="315"/>
        <w:gridCol w:w="766"/>
        <w:gridCol w:w="174"/>
      </w:tblGrid>
      <w:tr>
        <w:trPr/>
        <w:tc>
          <w:tcPr>
            <w:tcW w:w="2144" w:type="dxa"/>
            <w:tcBorders/>
            <w:shd w:fill="auto" w:val="clear"/>
            <w:vAlign w:val="center"/>
          </w:tcPr>
          <w:p>
            <w:pPr>
              <w:pStyle w:val="TableContents"/>
              <w:spacing w:before="0" w:after="283"/>
              <w:rPr>
                <w:sz w:val="4"/>
                <w:szCs w:val="4"/>
              </w:rPr>
            </w:pPr>
            <w:r>
              <w:rPr>
                <w:sz w:val="4"/>
                <w:szCs w:val="4"/>
              </w:rPr>
            </w:r>
          </w:p>
        </w:tc>
        <w:tc>
          <w:tcPr>
            <w:tcW w:w="1883"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2" w:type="dxa"/>
            <w:gridSpan w:val="5"/>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24" w:type="dxa"/>
            <w:gridSpan w:val="6"/>
            <w:tcBorders/>
            <w:shd w:fill="auto" w:val="clear"/>
          </w:tcPr>
          <w:p>
            <w:pPr>
              <w:pStyle w:val="TableContents"/>
              <w:spacing w:before="0" w:after="283"/>
              <w:rPr>
                <w:sz w:val="4"/>
                <w:szCs w:val="4"/>
              </w:rPr>
            </w:pPr>
            <w:r>
              <w:rPr>
                <w:sz w:val="4"/>
                <w:szCs w:val="4"/>
              </w:rPr>
            </w:r>
          </w:p>
        </w:tc>
      </w:tr>
      <w:tr>
        <w:trPr/>
        <w:tc>
          <w:tcPr>
            <w:tcW w:w="5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064"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per share)</w:t>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Basic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stock dividend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distribution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88"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4"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participating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color w:val="000000"/>
              </w:rPr>
            </w:pPr>
            <w:r>
              <w:rPr>
                <w:color w:val="000000"/>
              </w:rPr>
              <w:t>     </w:t>
            </w:r>
            <w:r>
              <w:rPr>
                <w:rFonts w:ascii="Times New Roman;sans-serif" w:hAnsi="Times New Roman;sans-serif"/>
                <w:b w:val="false"/>
                <w:color w:val="000000"/>
                <w:sz w:val="20"/>
              </w:rPr>
              <w:t>Net income available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64,896,081 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64,538,527 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6"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88"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74" w:type="dxa"/>
            <w:tcBorders>
              <w:top w:val="single" w:sz="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Method used: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Two-class</w:t>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Two-class</w:t>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64,896,081 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64,538,527 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unvested RSUs and other contingently issuable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1,074,642 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193,563 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65,970,723 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64,732,090 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Note 19. Related Party Transactions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We lease certain facilities and receive property maintenance services from Honeywell, which was the owner of our Series B Preferred Stock that was fully redeemed by the Company on June 28, 2022, is a holder of our common stock and Series A Preferred Stock. We also contract with Honeywell for the occasional purchase of certain goods and services. Lease and service agreements were made at commercial terms prevalent in the market at the time they were executed.</w:t>
      </w:r>
    </w:p>
    <w:tbl>
      <w:tblPr>
        <w:tblW w:w="6474" w:type="dxa"/>
        <w:jc w:val="left"/>
        <w:tblInd w:w="0" w:type="dxa"/>
        <w:tblCellMar>
          <w:top w:w="28" w:type="dxa"/>
          <w:left w:w="28" w:type="dxa"/>
          <w:bottom w:w="28" w:type="dxa"/>
          <w:right w:w="28" w:type="dxa"/>
        </w:tblCellMar>
      </w:tblPr>
      <w:tblGrid>
        <w:gridCol w:w="1341"/>
        <w:gridCol w:w="1180"/>
        <w:gridCol w:w="1184"/>
        <w:gridCol w:w="109"/>
        <w:gridCol w:w="109"/>
        <w:gridCol w:w="220"/>
        <w:gridCol w:w="220"/>
        <w:gridCol w:w="426"/>
        <w:gridCol w:w="517"/>
        <w:gridCol w:w="220"/>
        <w:gridCol w:w="109"/>
        <w:gridCol w:w="109"/>
        <w:gridCol w:w="109"/>
        <w:gridCol w:w="211"/>
        <w:gridCol w:w="256"/>
        <w:gridCol w:w="154"/>
      </w:tblGrid>
      <w:tr>
        <w:trPr/>
        <w:tc>
          <w:tcPr>
            <w:tcW w:w="1341"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948" w:type="dxa"/>
            <w:gridSpan w:val="6"/>
            <w:tcBorders/>
            <w:shd w:fill="auto" w:val="clea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111"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705" w:type="dxa"/>
            <w:gridSpan w:val="3"/>
            <w:tcBorders/>
            <w:shd w:fill="CFF0FC" w:val="clear"/>
            <w:tcMar>
              <w:top w:w="0" w:type="dxa"/>
              <w:left w:w="0" w:type="dxa"/>
              <w:bottom w:w="0" w:type="dxa"/>
              <w:right w:w="0" w:type="dxa"/>
            </w:tcMar>
            <w:vAlign w:val="center"/>
          </w:tcPr>
          <w:p>
            <w:pPr>
              <w:pStyle w:val="TableContents"/>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agreements with Honeywell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Our payments under the agreements with Honeywell were included in Cost of goods sold and Selling, general and administrative expenses in our Consolidated Interim Statements of Operations. Related to the agreements with Honeywell, our Consolidated Interim Balance Sheet at March 31, 2023 and our Consolidated Balance Sheet at December 31, 2022 includes liabilities of $9 million and $10 million, respectively. Liability balances are primarily related to lease contracts of $7 million and $7 million as of March 31, 2023 and December 31, 2022, respectively.</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20. Commitments and Contingencies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Securities Litigation</w:t>
      </w:r>
    </w:p>
    <w:p>
      <w:pPr>
        <w:pStyle w:val="TextBody"/>
        <w:spacing w:lineRule="auto" w:line="288" w:before="200" w:after="283"/>
        <w:ind w:left="0" w:right="0" w:firstLine="432"/>
        <w:jc w:val="both"/>
        <w:rPr/>
      </w:pPr>
      <w:r>
        <w:rPr>
          <w:rFonts w:ascii="Times New Roman;sans-serif" w:hAnsi="Times New Roman;sans-serif"/>
          <w:b w:val="false"/>
          <w:color w:val="000000"/>
          <w:sz w:val="20"/>
        </w:rPr>
        <w:t>On September 25, 2020, a putative securities class action complaint was filed against Garrett Motion Inc. and certain current and former Garrett officers and directors in the United States District Court for the Southern District of New York. The case bears the caption</w:t>
      </w:r>
      <w:r>
        <w:rPr>
          <w:rFonts w:ascii="Times New Roman;sans-serif" w:hAnsi="Times New Roman;sans-serif"/>
          <w:b w:val="false"/>
          <w:i/>
          <w:color w:val="000000"/>
          <w:sz w:val="20"/>
        </w:rPr>
        <w:t>: Steven Husson, Individually and On Behalf of All Others Similarly Situated, v. Garrett Motion Inc., Olivier Rabiller, Alessandro Gili, Peter Bracke, Sean Deason, and Su Ping Lu</w:t>
      </w:r>
      <w:r>
        <w:rPr>
          <w:rFonts w:ascii="Times New Roman;sans-serif" w:hAnsi="Times New Roman;sans-serif"/>
          <w:b w:val="false"/>
          <w:color w:val="000000"/>
          <w:sz w:val="20"/>
        </w:rPr>
        <w:t>, Case No. 1:20-cv-07992-JPC (SDNY) (the “Husson Action”). The Husson Action asserted claims under Sections 10(b) and 20(a) of the Securities Exchange Act of 1934 as amended (the "Exchange Act"), for securities fraud and control person liability. On September 28, 2020, the plaintiff sought to voluntarily dismiss his claim against Garrett Motion Inc. in light of the Company’s bankruptcy; this request was granted.</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On October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sans-serif" w:hAnsi="Times New Roman;sans-serif"/>
          <w:b w:val="false"/>
          <w:i/>
          <w:color w:val="000000"/>
          <w:sz w:val="20"/>
        </w:rPr>
        <w:t>The Gabelli Asset Fund, The Gabelli Dividend &amp; Income Trust, The Gabelli Value 25 Fund Inc., The Gabelli Equity Trust Inc., SM Investors LP and SM Investors II LP, on behalf of themselves and all others similarly situated, v. Su Ping Lu, Olivier Rabiller, Alessandro Gili, Peter Bracke, Sean Deason, Craig Balis, Thierry Mabru, Russell James, Carlos M. Cardoso, Maura J. Clark, Courtney M. Enghauser, Susan L. Main, Carsten Reinhardt, and Scott A. Tozier</w:t>
      </w:r>
      <w:r>
        <w:rPr>
          <w:rFonts w:ascii="Times New Roman;sans-serif" w:hAnsi="Times New Roman;sans-serif"/>
          <w:b w:val="false"/>
          <w:color w:val="000000"/>
          <w:sz w:val="20"/>
        </w:rPr>
        <w:t>, Case No. 1:20-cv-08296-JPC (SDNY) (the “Gabelli Action”). The Gabelli Action also asserted claims under Sections 10(b) and 20(a) of the Exchange Act.</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On November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sans-serif" w:hAnsi="Times New Roman;sans-serif"/>
          <w:b w:val="false"/>
          <w:i/>
          <w:color w:val="000000"/>
          <w:sz w:val="20"/>
        </w:rPr>
        <w:t>Joseph Froehlich, Individually and On Behalf of All Others Similarly Situated, v. Olivier Rabiller, Allesandro Gili, Peter Bracke, Sean Deason, and Su Ping Lu</w:t>
      </w:r>
      <w:r>
        <w:rPr>
          <w:rFonts w:ascii="Times New Roman;sans-serif" w:hAnsi="Times New Roman;sans-serif"/>
          <w:b w:val="false"/>
          <w:color w:val="000000"/>
          <w:sz w:val="20"/>
        </w:rPr>
        <w:t>, Case No. 1:20-cv-09279-JPC (SDNY) (the “Froehlich Action”). The Froehlich Action also asserted claims under Sections 10(b) and 20(a) of the Exchange Act.</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actions were assigned to Judge John P. Cronan. On November 24, 2020, competing motions were filed seeking the appointment of lead plaintiff and lead counsel and the consolidation of the Husson, Gabelli, and Froehlich Actions.</w:t>
      </w:r>
    </w:p>
    <w:p>
      <w:pPr>
        <w:pStyle w:val="TextBody"/>
        <w:spacing w:lineRule="auto" w:line="288" w:before="200" w:after="283"/>
        <w:ind w:left="0" w:right="0" w:firstLine="432"/>
        <w:jc w:val="both"/>
        <w:rPr/>
      </w:pPr>
      <w:r>
        <w:rPr>
          <w:rFonts w:ascii="Times New Roman;sans-serif" w:hAnsi="Times New Roman;sans-serif"/>
          <w:b w:val="false"/>
          <w:color w:val="000000"/>
          <w:sz w:val="20"/>
        </w:rPr>
        <w:t>On December 8, 2020, counsel for the plaintiffs in the Gabelli Action</w:t>
      </w:r>
      <w:r>
        <w:rPr>
          <w:color w:val="000000"/>
        </w:rPr>
        <w:t xml:space="preserve"> — </w:t>
      </w:r>
      <w:r>
        <w:rPr>
          <w:rFonts w:ascii="Times New Roman;sans-serif" w:hAnsi="Times New Roman;sans-serif"/>
          <w:b w:val="false"/>
          <w:color w:val="000000"/>
          <w:sz w:val="20"/>
        </w:rPr>
        <w:t>the Entwistle &amp; Cappucci law firm — filed an unopposed stipulation and proposed order that would (1) appoint the plaintiffs in the Gabelli Action — the “Gabelli Entities” — the lead plaintiffs; (2) would appoint Entwistle &amp; Cappucci as lead counsel for the plaintiff class; and (3) consolidate the Gabelli Action, the Husson Action, and the Froehlich Action (the “Consolidated D&amp;O Action”). On January 21, 2021, the Court granted the motion to consolidate the actions and granted the Gabelli Entities’ motions for appointment as lead plaintiff and for selection of lead counsel. On February 25, 2021, plaintiffs filed a Consolidated Amended Complaint.</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insurer, AIG, has accepted the defense, subject to the customary reservation of rights.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agreed with the Gabelli Entities and their lead counsel to permit a class claim to be recognized in the bankruptcy court and to have securities claims against the Company to be litigated in the district court alongside the Consolidated D&amp;O Action. The Gabelli Entities have agreed that any recoveries against Garrett Motion Inc. on account of securities claims litigated through the class claim are limited to available insurance policy proceeds. On July 2, 2021, the bankruptcy court entered an order approving the joint request from the Company and the Gabelli Entities to handle the securities claims against Garrett Motion Inc. in this manner.</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The Gabelli Entities were authorized, and on July 22, 2021 filed a second amended complaint to add claims against Garrett Motion Inc. On August 11, 2021, Garrett Motion Inc., Olivier Rabiller, Alessandro Gili, Peter Bracke, Sean Deason, Russell James, Carlos Cardoso, Maura Clark, Courtney Enghauser, Susan Main, Carsten Reinhardt, and Scott Tozier filed a motion to dismiss with respect to claims asserted against them. On the same day, Su Ping Lu, who is represented separately, filed a motion to dismiss with respect to the claims asserted against her. Lead plaintiffs’ opposition to the motions </w:t>
      </w:r>
      <w:r>
        <w:rPr>
          <w:rFonts w:ascii="Times New Roman;sans-serif" w:hAnsi="Times New Roman;sans-serif"/>
          <w:b w:val="false"/>
          <w:color w:val="000000"/>
          <w:sz w:val="20"/>
          <w:highlight w:val="white"/>
        </w:rPr>
        <w:t xml:space="preserve">to dismiss was filed on October 26, 2021, and the defendant's </w:t>
      </w:r>
      <w:r>
        <w:rPr>
          <w:rFonts w:ascii="Times New Roman;sans-serif" w:hAnsi="Times New Roman;sans-serif"/>
          <w:b w:val="false"/>
          <w:color w:val="000000"/>
          <w:sz w:val="20"/>
        </w:rPr>
        <w:t>reply briefs were filed on or before December 8, 2021. On March 31, 2022, the judge dismissed the complaints entirely - Su Ping Lu's motion to dismiss was granted with prejudice while the court granted the plaintiffs 30 days to file a third amended complaint against the Company and the other defendants.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2022, the plaintiffs filed a Third Amended Complaint (“TAC”) against all of the foregoing Defendants apart from Alessandro Gili and Su Ping Lu. On June 24, 2022, defendants moved to dismiss the TAC in its entirety, with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prejudice. Plaintiffs filed their opposition on August 16, 2022, and defendants filed their reply brief on September 23, 2022. On September 22, 2022, the action was reassigned from Judge John P. Cronan to Judge Jennifer L. Rochon, who was recently appointed. On March 31, 2023, the action was dismissed with prejudice and the plaintiffs have 30 days to file an appeal.</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Brazilian Tax Matter</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March 31, 2023 was $35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Warranties and Guarantees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pStyle w:val="TextBody"/>
        <w:spacing w:before="0" w:after="0"/>
        <w:ind w:left="0" w:right="0" w:firstLine="432"/>
        <w:jc w:val="both"/>
        <w:rPr/>
      </w:pPr>
      <w:r>
        <w:rPr/>
      </w:r>
    </w:p>
    <w:tbl>
      <w:tblPr>
        <w:tblW w:w="8588" w:type="dxa"/>
        <w:jc w:val="left"/>
        <w:tblInd w:w="0" w:type="dxa"/>
        <w:tblCellMar>
          <w:top w:w="28" w:type="dxa"/>
          <w:left w:w="28" w:type="dxa"/>
          <w:bottom w:w="28" w:type="dxa"/>
          <w:right w:w="28" w:type="dxa"/>
        </w:tblCellMar>
      </w:tblPr>
      <w:tblGrid>
        <w:gridCol w:w="2071"/>
        <w:gridCol w:w="1817"/>
        <w:gridCol w:w="1827"/>
        <w:gridCol w:w="109"/>
        <w:gridCol w:w="109"/>
        <w:gridCol w:w="194"/>
        <w:gridCol w:w="194"/>
        <w:gridCol w:w="376"/>
        <w:gridCol w:w="644"/>
        <w:gridCol w:w="194"/>
        <w:gridCol w:w="109"/>
        <w:gridCol w:w="109"/>
        <w:gridCol w:w="109"/>
        <w:gridCol w:w="211"/>
        <w:gridCol w:w="361"/>
        <w:gridCol w:w="154"/>
      </w:tblGrid>
      <w:tr>
        <w:trPr/>
        <w:tc>
          <w:tcPr>
            <w:tcW w:w="2071"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53" w:type="dxa"/>
            <w:gridSpan w:val="6"/>
            <w:tcBorders/>
            <w:shd w:fill="auto" w:val="clea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267"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and product performance guarantees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warranties/guarantees issued during the year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warranty/guarantee claims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Warranty and product performance guarantees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21. Pension Benefits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We sponsor several funded U.S. and non-U.S. defined benefit pension plans. Significant plans outside the U.S. are in Switzerland and Ireland. Other pension plans outside the U.S. are not material to the Company, either individually or in the aggregate.</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Our general funding policy for qualified defined benefit pension plans is to contribute amounts at least sufficient to satisfy regulatory funding standards. We are not required to make any contributions to our U.S. pension plan in 2023. We expect to make contributions of cash and/or marketable securities of approximately $7 million to our non-U.S. pension plans to satisfy regulatory funding standards in 2023, of which </w:t>
      </w:r>
      <w:r>
        <w:rPr>
          <w:rFonts w:ascii="Times New Roman;sans-serif" w:hAnsi="Times New Roman;sans-serif"/>
          <w:b w:val="false"/>
          <w:color w:val="000000"/>
          <w:sz w:val="20"/>
          <w:highlight w:val="white"/>
        </w:rPr>
        <w:t>$1 million</w:t>
      </w:r>
      <w:r>
        <w:rPr>
          <w:color w:val="000000"/>
        </w:rPr>
        <w:t xml:space="preserve"> </w:t>
      </w:r>
      <w:r>
        <w:rPr>
          <w:rFonts w:ascii="Times New Roman;sans-serif" w:hAnsi="Times New Roman;sans-serif"/>
          <w:b w:val="false"/>
          <w:color w:val="000000"/>
          <w:sz w:val="20"/>
        </w:rPr>
        <w:t>has been contributed as of March 31, 2023.</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for our significant defined benefit plans include the following components:</w:t>
      </w:r>
    </w:p>
    <w:tbl>
      <w:tblPr>
        <w:tblW w:w="9225" w:type="dxa"/>
        <w:jc w:val="left"/>
        <w:tblInd w:w="0" w:type="dxa"/>
        <w:tblCellMar>
          <w:top w:w="28" w:type="dxa"/>
          <w:left w:w="28" w:type="dxa"/>
          <w:bottom w:w="28" w:type="dxa"/>
          <w:right w:w="28" w:type="dxa"/>
        </w:tblCellMar>
      </w:tblPr>
      <w:tblGrid>
        <w:gridCol w:w="1117"/>
        <w:gridCol w:w="982"/>
        <w:gridCol w:w="990"/>
        <w:gridCol w:w="109"/>
        <w:gridCol w:w="109"/>
        <w:gridCol w:w="189"/>
        <w:gridCol w:w="189"/>
        <w:gridCol w:w="295"/>
        <w:gridCol w:w="295"/>
        <w:gridCol w:w="295"/>
        <w:gridCol w:w="189"/>
        <w:gridCol w:w="367"/>
        <w:gridCol w:w="706"/>
        <w:gridCol w:w="18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117"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4" w:type="dxa"/>
            <w:gridSpan w:val="9"/>
            <w:tcBorders>
              <w:bottom w:val="single" w:sz="6"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04" w:type="dxa"/>
            <w:gridSpan w:val="18"/>
            <w:tcBorders/>
            <w:shd w:fill="auto" w:val="clea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8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U.S. Plans </w:t>
            </w:r>
          </w:p>
        </w:tc>
        <w:tc>
          <w:tcPr>
            <w:tcW w:w="189" w:type="dxa"/>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5" w:type="dxa"/>
            <w:gridSpan w:val="9"/>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Non-U.S. Plan </w:t>
            </w:r>
          </w:p>
        </w:tc>
        <w:tc>
          <w:tcPr>
            <w:tcW w:w="2151" w:type="dxa"/>
            <w:gridSpan w:val="12"/>
            <w:tcBorders/>
            <w:shd w:fill="auto" w:val="clea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262"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4466" w:type="dxa"/>
            <w:gridSpan w:val="21"/>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7"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9"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(credit)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7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22. Subsequent Events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2023, the Company entered into separate definitive agreements (the “Agreements”) with each of Centerbridge Partners, L.P. (“Centerbridge”) and funds managed by Oaktree Capital Management, L.P. (“Oaktree”) to effect a series of integrated transactions designed to increase the attractiveness of the Company to investors, including by simplifying the Company’s capital stock by converting all outstanding Series A Preferred Stock into a single class of Common Stock, on or about July 3, 2023, subject to certain conditions.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and subject to the completion of the debt financing described below, the Company’s Series A Preferred Stock will convert into shares of the Company’s Common Stock in a manner similar to the conversion procedures of an Automatic Conversion Event set forth in the existing Certificate of Designations for the Series A Preferred Stock. The conversion will occur pursuant to an amendment and restatement of the Certificate of Designations for the Series A Preferred Stock, which has been approved by the Board of Directors and consented to by Centerbridge and Oaktree as the holders of a majority of the Series A Preferred Stock.</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repurchase approximately $280 million and $290 million of Series A Preferred Stock from Centerbridge and Oaktree, respectively, for a total of $570 million, at a cash price of $8.10 per share which will be adjusted to equal the volume-weighted average price of the Common Stock for the fifteen trading days following the announcement of the transactions, subject to a minimum price of $7.875 per share and a maximum price of $8.50 per share.</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all holders of Series A Preferred Stock will receive an amount equal to:</w:t>
      </w:r>
    </w:p>
    <w:p>
      <w:pPr>
        <w:pStyle w:val="TextBody"/>
        <w:spacing w:lineRule="auto" w:line="288" w:before="200" w:after="283"/>
        <w:ind w:left="0" w:right="0" w:hanging="270"/>
        <w:jc w:val="both"/>
        <w:rPr/>
      </w:pPr>
      <w:r>
        <w:rPr>
          <w:color w:val="000000"/>
        </w:rPr>
        <w:t>•</w:t>
      </w:r>
      <w:r>
        <w:rPr>
          <w:rFonts w:ascii="Times New Roman;sans-serif" w:hAnsi="Times New Roman;sans-serif"/>
          <w:b w:val="false"/>
          <w:color w:val="000000"/>
          <w:sz w:val="20"/>
        </w:rPr>
        <w:t>$0.17 per share, representing the preference dividends that will accrue on the Series A Preferred Stock from April 1, 2023 through June 30, 2023; plus</w:t>
      </w:r>
    </w:p>
    <w:p>
      <w:pPr>
        <w:pStyle w:val="TextBody"/>
        <w:spacing w:lineRule="auto" w:line="288" w:before="0" w:after="0"/>
        <w:ind w:left="0" w:right="0" w:hanging="270"/>
        <w:jc w:val="both"/>
        <w:rPr/>
      </w:pPr>
      <w:r>
        <w:rPr>
          <w:color w:val="000000"/>
        </w:rPr>
        <w:t>•</w:t>
      </w:r>
      <w:r>
        <w:rPr>
          <w:rFonts w:ascii="Times New Roman;sans-serif" w:hAnsi="Times New Roman;sans-serif"/>
          <w:b w:val="false"/>
          <w:color w:val="000000"/>
          <w:sz w:val="20"/>
        </w:rPr>
        <w:t>Approximately $0.6835 per share, representing other accrued and unpaid preference dividends on the Series A Preferred Stock; and</w:t>
      </w:r>
    </w:p>
    <w:p>
      <w:pPr>
        <w:pStyle w:val="TextBody"/>
        <w:spacing w:lineRule="auto" w:line="288" w:before="0" w:after="0"/>
        <w:ind w:left="0" w:right="0" w:hanging="270"/>
        <w:jc w:val="both"/>
        <w:rPr/>
      </w:pPr>
      <w:r>
        <w:rPr>
          <w:color w:val="000000"/>
        </w:rPr>
        <w:t>•</w:t>
      </w:r>
      <w:r>
        <w:rPr>
          <w:rFonts w:ascii="Times New Roman;sans-serif" w:hAnsi="Times New Roman;sans-serif"/>
          <w:b w:val="false"/>
          <w:color w:val="000000"/>
          <w:sz w:val="20"/>
        </w:rPr>
        <w:t>$0.144375 per share, representing the preference dividends that would have accrued on the Series A Preferred Stock from July 1, 2023 through September 30, 2023.</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the preference dividend that would have accrued through September 30, 2023, which will be paid in cash, these amounts may be paid to all holders in cash, stock, or a combination of cash and stock, at the election of the Company, and any stock issued will be valued at the adjusted purchase price paid to Centerbridge and Oaktree.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repurchases will be funded with approximately $700 million of new debt, which is expected to be in the form of a new term loan B under the Company’s existing credit agreement, subject to certain modifications related to the transaction, and is expected to be consummated in Q2 2023.</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repurchase of the shares of Series A Preferred Stock from Centerbridge and Oaktree pursuant to the Agreements is subject to the completion of the debt financing, the effectiveness of the amended and restated Certificate of Designations for the Series A Preferred Stock, and certain other customary conditions. The conversion of the Series A Preferred Stock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into shares of Common Stock pursuant to the amended and restated Certificate of Designations for the Series A Preferred Stock is subject to the completion of the repurchases of the shares of Series A Preferred Stock from Centerbridge and Oaktree.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announced an increase in its share repurchase authorization to $250 million. Under the share repurchase program, the Company may repurchase shares of Series A Preferred Stock or Common Stock in open market transactions, privately negotiated purchases and other transactions from time to time.</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Agreements, Centerbridge and Oaktree have also agreed with the Company to certain changes to their governance rights under the Company’s governance documents, including a reduction of their existing board nomination rights, as well as lock-up restrictions on their equity securities of the Company for up to twelve months, and certain limits on their ability to purchase additional equity securities of the Company and to voting limitations, in each case for a period of up to eighteen months.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88" w:before="200" w:after="283"/>
        <w:ind w:left="0" w:right="0" w:firstLine="432"/>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2022, included in our Annual Report on Form 10-K, as filed with the Securities and Exchange Commission on February 14, 2023 (our “2022 Form 10-K”). Some of the information contained in this MD&amp;A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our 2022 Form 10-K and this Quarterly Report on Form 10-Q, our actual results could differ materially from the results described in, or implied, by these forward-looking statements.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MD&amp;A is intended to help you understand the results of operations and financial condition of Garrett Motion Inc., for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sales were $970 million, an increase compared to prior year of $69 million or 8%, including an unfavorable impact of $47 million or 5% due to foreign currency translation driven by lower Euro-to-US dollar exchange rates. This increase was driven by higher volumes as the industry recovers and the semiconductor shortages experienced in the prior year abate, as well as share of demand gains from new product ramp-ups and launches, and inflation recoveries net of pricing across all product lines.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our light vehicle product sales (which comprise diesel and gasoline products, including products for passenger cars, SUVs, light trucks, and other products) accounted for approximately 69% of our revenues. Commercial vehicle product sales (products for on- and off-highway trucks, construction, agriculture and power-generation machines) accounted for 19% of our revenues. Our OEM sales contributed approximately 88% of our revenues while our aftermarket and other products contributed 12% of our revenues. Approximately 51% of our revenues came from sales to customers located in Europe, 29% from sales to customers located in Asia, 18% from sales to customers in North America, and 2% from sales to customers in other international markets.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we declared a cash dividend of $0.17 per share on our Series A Preferred Stock, payable to shareholders of record as of the close of business on March 22, 2023. On March 29, 2023, we transferred the aggregate dividend amount of $42 million to the transfer agent, for the settlement of the dividend to the shareholders of record, which occurred on April 3, 2023.</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On April 12, 2023, we entered into separate transaction agreements with Centerbridge and Oaktree (collectively, the "Transaction Agreements") to effect a series of integrated transactions designed to increase the attractiveness of the Company to investors, including by simplifying our capital structure through a conversion of all shares of the Series A Preferred Stock into shares of Common Stock on or about July 3, 2023. The transactions contemplated by the Transaction Agreements include, among other things, the cash repurchase of approximately $570 million of shares of Series A Preferred Stock, comprised of approximately $280 million of shares from Centerbridge and approximately $290 million of shares from Oaktree, subject to the successful completion by the Company of a debt financing of approximately $700 million, which the Company currently intends to be in the form of a new $700 million term loan B. The Board of Directors has also approved, and each of Centerbridge and Oaktree have consented to, an amendment and restatement of the Certificate of Designation of the Series A Preferred Stock. In connection with the conversion of the Series A Preferred Stock, holders of Series A Preferred Stock will receive accrued and unpaid dividends on their shares until conversion, as well as certain other dividends and amounts payable in respect of their shares, including an additional amount that represents the dividends that would have accrued on the Series A Preferred Stock through September 30, 2023. As part of the Agreements, Centerbridge and Oaktree have also agreed with the Company to certain changes to their governance rights under the Company’s governance documents, including a reduction of their existing board nomination rights, as well as lock-up restrictions on their equity securities of the Company for up to twelve months, and certain limits on their ability to purchase additional equity securities of the Company and to voting limitations, in each case for a period of up to eighteen months. The foregoing description of the transactions does not purport to be complete and is qualified in its entirety by reference to the full text of the Transaction Agreements, which are incorporated by reference as Exhibits 10.1 and 10.2 to this Quarterly Report on Form 10-Q.</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the Board of Directors also authorized an increase in our share repurchase program, from $100 million to an aggregate amount of $250 million available as of April 12, 2023.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Disaggregated Revenue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our revenues by geographic region and product line for the three months ended March 31, 2023 and 2022, respectively.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By Region</w:t>
      </w:r>
    </w:p>
    <w:tbl>
      <w:tblPr>
        <w:tblW w:w="5893" w:type="dxa"/>
        <w:jc w:val="left"/>
        <w:tblInd w:w="0" w:type="dxa"/>
        <w:tblCellMar>
          <w:top w:w="28" w:type="dxa"/>
          <w:left w:w="28" w:type="dxa"/>
          <w:bottom w:w="28" w:type="dxa"/>
          <w:right w:w="28" w:type="dxa"/>
        </w:tblCellMar>
      </w:tblPr>
      <w:tblGrid>
        <w:gridCol w:w="435"/>
        <w:gridCol w:w="381"/>
        <w:gridCol w:w="383"/>
        <w:gridCol w:w="109"/>
        <w:gridCol w:w="109"/>
        <w:gridCol w:w="121"/>
        <w:gridCol w:w="121"/>
        <w:gridCol w:w="155"/>
        <w:gridCol w:w="155"/>
        <w:gridCol w:w="156"/>
        <w:gridCol w:w="121"/>
        <w:gridCol w:w="235"/>
        <w:gridCol w:w="519"/>
        <w:gridCol w:w="121"/>
        <w:gridCol w:w="109"/>
        <w:gridCol w:w="109"/>
        <w:gridCol w:w="109"/>
        <w:gridCol w:w="160"/>
        <w:gridCol w:w="160"/>
        <w:gridCol w:w="160"/>
        <w:gridCol w:w="109"/>
        <w:gridCol w:w="109"/>
        <w:gridCol w:w="109"/>
        <w:gridCol w:w="211"/>
        <w:gridCol w:w="466"/>
        <w:gridCol w:w="109"/>
        <w:gridCol w:w="109"/>
        <w:gridCol w:w="109"/>
        <w:gridCol w:w="109"/>
        <w:gridCol w:w="154"/>
        <w:gridCol w:w="154"/>
        <w:gridCol w:w="217"/>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4"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2772" w:type="dxa"/>
            <w:gridSpan w:val="18"/>
            <w:tcBorders/>
            <w:shd w:fill="auto" w:val="clea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6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1"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9"/>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965" w:type="dxa"/>
            <w:gridSpan w:val="12"/>
            <w:tcBorders/>
            <w:shd w:fill="auto" w:val="clea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47" w:type="dxa"/>
            <w:gridSpan w:val="21"/>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199"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199"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199"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By Product Line </w:t>
      </w:r>
    </w:p>
    <w:tbl>
      <w:tblPr>
        <w:tblW w:w="6478" w:type="dxa"/>
        <w:jc w:val="left"/>
        <w:tblInd w:w="0" w:type="dxa"/>
        <w:tblCellMar>
          <w:top w:w="28" w:type="dxa"/>
          <w:left w:w="28" w:type="dxa"/>
          <w:bottom w:w="28" w:type="dxa"/>
          <w:right w:w="28" w:type="dxa"/>
        </w:tblCellMar>
      </w:tblPr>
      <w:tblGrid>
        <w:gridCol w:w="644"/>
        <w:gridCol w:w="567"/>
        <w:gridCol w:w="573"/>
        <w:gridCol w:w="109"/>
        <w:gridCol w:w="109"/>
        <w:gridCol w:w="121"/>
        <w:gridCol w:w="121"/>
        <w:gridCol w:w="155"/>
        <w:gridCol w:w="155"/>
        <w:gridCol w:w="156"/>
        <w:gridCol w:w="121"/>
        <w:gridCol w:w="235"/>
        <w:gridCol w:w="519"/>
        <w:gridCol w:w="121"/>
        <w:gridCol w:w="109"/>
        <w:gridCol w:w="109"/>
        <w:gridCol w:w="109"/>
        <w:gridCol w:w="160"/>
        <w:gridCol w:w="160"/>
        <w:gridCol w:w="160"/>
        <w:gridCol w:w="109"/>
        <w:gridCol w:w="109"/>
        <w:gridCol w:w="109"/>
        <w:gridCol w:w="211"/>
        <w:gridCol w:w="466"/>
        <w:gridCol w:w="109"/>
        <w:gridCol w:w="109"/>
        <w:gridCol w:w="109"/>
        <w:gridCol w:w="109"/>
        <w:gridCol w:w="154"/>
        <w:gridCol w:w="154"/>
        <w:gridCol w:w="217"/>
      </w:tblGrid>
      <w:tr>
        <w:trPr/>
        <w:tc>
          <w:tcPr>
            <w:tcW w:w="644"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4"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2772" w:type="dxa"/>
            <w:gridSpan w:val="18"/>
            <w:tcBorders/>
            <w:shd w:fill="auto" w:val="clea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6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1"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965" w:type="dxa"/>
            <w:gridSpan w:val="12"/>
            <w:tcBorders/>
            <w:shd w:fill="auto" w:val="clear"/>
          </w:tcPr>
          <w:p>
            <w:pPr>
              <w:pStyle w:val="TableContents"/>
              <w:spacing w:before="0" w:after="283"/>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47" w:type="dxa"/>
            <w:gridSpan w:val="21"/>
            <w:tcBorders>
              <w:top w:val="single" w:sz="6" w:space="0" w:color="000000"/>
            </w:tcBorders>
            <w:shd w:fill="FFFFFF"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78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Diesel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78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Vehicle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Aftermarket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78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78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Three Months Ended March 31, 2023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Net Sales</w:t>
      </w:r>
    </w:p>
    <w:tbl>
      <w:tblPr>
        <w:tblW w:w="6145" w:type="dxa"/>
        <w:jc w:val="left"/>
        <w:tblInd w:w="0" w:type="dxa"/>
        <w:tblCellMar>
          <w:top w:w="28" w:type="dxa"/>
          <w:left w:w="28" w:type="dxa"/>
          <w:bottom w:w="28" w:type="dxa"/>
          <w:right w:w="28" w:type="dxa"/>
        </w:tblCellMar>
      </w:tblPr>
      <w:tblGrid>
        <w:gridCol w:w="1144"/>
        <w:gridCol w:w="1002"/>
        <w:gridCol w:w="1019"/>
        <w:gridCol w:w="109"/>
        <w:gridCol w:w="109"/>
        <w:gridCol w:w="150"/>
        <w:gridCol w:w="150"/>
        <w:gridCol w:w="290"/>
        <w:gridCol w:w="641"/>
        <w:gridCol w:w="373"/>
        <w:gridCol w:w="109"/>
        <w:gridCol w:w="109"/>
        <w:gridCol w:w="109"/>
        <w:gridCol w:w="211"/>
        <w:gridCol w:w="466"/>
        <w:gridCol w:w="154"/>
      </w:tblGrid>
      <w:tr>
        <w:trPr/>
        <w:tc>
          <w:tcPr>
            <w:tcW w:w="1144"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FFFFFF"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462"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6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37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 compared with prior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73"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drawing>
          <wp:inline distT="0" distB="63500" distL="0" distR="0">
            <wp:extent cx="6286500" cy="1304925"/>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6286500" cy="1304925"/>
                    </a:xfrm>
                    <a:prstGeom prst="rect">
                      <a:avLst/>
                    </a:prstGeom>
                  </pic:spPr>
                </pic:pic>
              </a:graphicData>
            </a:graphic>
          </wp:inline>
        </w:drawing>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sales increased compared to prior year by $69 million or 8%, including an unfavorable impact of $47 million or 5% due to foreign currency translation driven by lower Euro-to-US dollar exchange rates. This increase was driven by volume upside as the industry recovers and the semiconductor shortages experienced in the prior year abate, as well as share of demand gains from new product ramp-ups and launches, and inflation recoveries net of pricing across all product lines.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5" name="Frame2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Gasoline product sales increased by $40 million or 11% (including an unfavorable impact of $21 million or 6% due to foreign currency translation), primarily driven by industry recovery including reduced semiconductor shortages versus prior year, as well as new product launches in Europe, Asia and North America.</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Diesel product sales increased by $8 million or 3% (including an unfavorable impact of $13 million or 5% due to foreign currency translation), primarily driven by industry recovery in Europe, Korea and North America, balanced by soft light commercial vehicle demand in China affected by ripple effects from the end of their zero COVID policy.</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Commercial vehicle sales increased by $17 million or 10% (including an unfavorable impact of $9 million or 5% due to foreign currency translation), primarily driven by strong demand in Europe, Japan and North America in a less disruptive environment for both on and off-highway products combined with the ramp up to peak volumes on new programs.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Aftermarket sales improved by $5 million or 5% (including an unfavorable impact of $3 million or 3% due to foreign currency translation), primarily due to strong demand in Europe and Asia Pacific related to favorable aftermarket conditions such as continued high demand for replacement parts, recovery in China from the end of their zero COVID policy, as well as growth through new product introductions, favorable pricing impacts and improved shipment performance.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tbl>
      <w:tblPr>
        <w:tblW w:w="6306" w:type="dxa"/>
        <w:jc w:val="left"/>
        <w:tblInd w:w="0" w:type="dxa"/>
        <w:tblCellMar>
          <w:top w:w="28" w:type="dxa"/>
          <w:left w:w="28" w:type="dxa"/>
          <w:bottom w:w="28" w:type="dxa"/>
          <w:right w:w="28" w:type="dxa"/>
        </w:tblCellMar>
      </w:tblPr>
      <w:tblGrid>
        <w:gridCol w:w="1146"/>
        <w:gridCol w:w="1006"/>
        <w:gridCol w:w="1012"/>
        <w:gridCol w:w="109"/>
        <w:gridCol w:w="109"/>
        <w:gridCol w:w="150"/>
        <w:gridCol w:w="150"/>
        <w:gridCol w:w="290"/>
        <w:gridCol w:w="641"/>
        <w:gridCol w:w="373"/>
        <w:gridCol w:w="109"/>
        <w:gridCol w:w="109"/>
        <w:gridCol w:w="109"/>
        <w:gridCol w:w="211"/>
        <w:gridCol w:w="466"/>
        <w:gridCol w:w="316"/>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20" w:type="dxa"/>
            <w:gridSpan w:val="6"/>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0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624"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6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37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 compared with prior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73"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percentage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73"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9298" w:type="dxa"/>
        <w:jc w:val="left"/>
        <w:tblInd w:w="0" w:type="dxa"/>
        <w:tblCellMar>
          <w:top w:w="28" w:type="dxa"/>
          <w:left w:w="28" w:type="dxa"/>
          <w:bottom w:w="28" w:type="dxa"/>
          <w:right w:w="28" w:type="dxa"/>
        </w:tblCellMar>
      </w:tblPr>
      <w:tblGrid>
        <w:gridCol w:w="2291"/>
        <w:gridCol w:w="2010"/>
        <w:gridCol w:w="2028"/>
        <w:gridCol w:w="402"/>
        <w:gridCol w:w="889"/>
        <w:gridCol w:w="208"/>
        <w:gridCol w:w="140"/>
        <w:gridCol w:w="140"/>
        <w:gridCol w:w="141"/>
        <w:gridCol w:w="266"/>
        <w:gridCol w:w="589"/>
        <w:gridCol w:w="194"/>
      </w:tblGrid>
      <w:tr>
        <w:trPr/>
        <w:tc>
          <w:tcPr>
            <w:tcW w:w="2291"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2028"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Cost of Goods Sold</w:t>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Gross Profit</w:t>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9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6329" w:type="dxa"/>
            <w:gridSpan w:val="3"/>
            <w:tcBorders/>
            <w:shd w:fill="CFF0FC"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 Gross Profit for the three months ended March 31, 2022</w:t>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Increase/(decrease) due to:</w:t>
            </w:r>
          </w:p>
        </w:tc>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mix</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net of inflation pass-through</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transportation &amp; energy inflation</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Productivity, net</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&amp; development</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 impacts</w:t>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 / Gross Profit for the three months ended March 31, 2023</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cost of goods sold increased by $55 million, primarily driven by our higher sales volumes and product mix, which contributed to increases of $41 million and $34 million, respectively. Cost of goods sold further increased due to $26 million of inflation on commodities, energy and transportation, as well as a $3 million increase in Research and development ("R&amp;D") costs which reflects our shift in investment in new technologies and headcount increase year-over-year. Our continued focus on productivity, net of labor inflation, contributed to a decrease in cost of goods sold of $13 million. Foreign currency impacts from transactional, translational and hedging effects also contributed to decreases of $36 million.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increased by $14 million, mainly driven by the higher sales volumes of $18 million and $23 million of inflation recoveries from customer pass-through agreements net of pricing reductions. Furthermore, gross profit increased $8 million from higher productivity net of labor inflation and $4 million of favorable product mix. These increases were partially offset by $26 million inflation on commodities, energy costs and transportation, as discussed above, and $3 million of higher R&amp;D costs. Foreign currency impacts from transactional, translational and hedging effects also contributed to decreases of $10 million.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6" name="Frame2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tbl>
      <w:tblPr>
        <w:tblW w:w="6696" w:type="dxa"/>
        <w:jc w:val="left"/>
        <w:tblInd w:w="0" w:type="dxa"/>
        <w:tblCellMar>
          <w:top w:w="28" w:type="dxa"/>
          <w:left w:w="28" w:type="dxa"/>
          <w:bottom w:w="28" w:type="dxa"/>
          <w:right w:w="28" w:type="dxa"/>
        </w:tblCellMar>
      </w:tblPr>
      <w:tblGrid>
        <w:gridCol w:w="1327"/>
        <w:gridCol w:w="1165"/>
        <w:gridCol w:w="1168"/>
        <w:gridCol w:w="109"/>
        <w:gridCol w:w="109"/>
        <w:gridCol w:w="164"/>
        <w:gridCol w:w="164"/>
        <w:gridCol w:w="319"/>
        <w:gridCol w:w="546"/>
        <w:gridCol w:w="410"/>
        <w:gridCol w:w="109"/>
        <w:gridCol w:w="109"/>
        <w:gridCol w:w="109"/>
        <w:gridCol w:w="211"/>
        <w:gridCol w:w="361"/>
        <w:gridCol w:w="316"/>
      </w:tblGrid>
      <w:tr>
        <w:trPr/>
        <w:tc>
          <w:tcPr>
            <w:tcW w:w="1327"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15" w:type="dxa"/>
            <w:gridSpan w:val="6"/>
            <w:tcBorders/>
            <w:shd w:fill="auto" w:val="clea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7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490"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660"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65"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10"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(“SG&amp;A”) expenses for the three months ended March 31, 2023 increased by $3 million compared with the prior year, primarily due to $3 million of lower incentive compensation expense in 2022 and $2 million of consultant fees related to our capital structure transformation, partially offset by $2 million of favorable impacts from foreign exchange rates.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tbl>
      <w:tblPr>
        <w:tblW w:w="4297" w:type="dxa"/>
        <w:jc w:val="left"/>
        <w:tblInd w:w="0" w:type="dxa"/>
        <w:tblCellMar>
          <w:top w:w="28" w:type="dxa"/>
          <w:left w:w="28" w:type="dxa"/>
          <w:bottom w:w="28" w:type="dxa"/>
          <w:right w:w="28" w:type="dxa"/>
        </w:tblCellMar>
      </w:tblPr>
      <w:tblGrid>
        <w:gridCol w:w="516"/>
        <w:gridCol w:w="452"/>
        <w:gridCol w:w="456"/>
        <w:gridCol w:w="109"/>
        <w:gridCol w:w="109"/>
        <w:gridCol w:w="194"/>
        <w:gridCol w:w="194"/>
        <w:gridCol w:w="376"/>
        <w:gridCol w:w="644"/>
        <w:gridCol w:w="194"/>
        <w:gridCol w:w="109"/>
        <w:gridCol w:w="109"/>
        <w:gridCol w:w="109"/>
        <w:gridCol w:w="211"/>
        <w:gridCol w:w="361"/>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53" w:type="dxa"/>
            <w:gridSpan w:val="6"/>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267"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2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9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interest expense increased by $5 million compared to the prior year, primarily due to $7 million of interest expense recorded from unrealized marked-to-market losses on our interest rate swaps.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Non-operating income</w:t>
      </w:r>
    </w:p>
    <w:tbl>
      <w:tblPr>
        <w:tblW w:w="5037" w:type="dxa"/>
        <w:jc w:val="left"/>
        <w:tblInd w:w="0" w:type="dxa"/>
        <w:tblCellMar>
          <w:top w:w="28" w:type="dxa"/>
          <w:left w:w="28" w:type="dxa"/>
          <w:bottom w:w="28" w:type="dxa"/>
          <w:right w:w="28" w:type="dxa"/>
        </w:tblCellMar>
      </w:tblPr>
      <w:tblGrid>
        <w:gridCol w:w="706"/>
        <w:gridCol w:w="621"/>
        <w:gridCol w:w="622"/>
        <w:gridCol w:w="109"/>
        <w:gridCol w:w="109"/>
        <w:gridCol w:w="201"/>
        <w:gridCol w:w="201"/>
        <w:gridCol w:w="389"/>
        <w:gridCol w:w="611"/>
        <w:gridCol w:w="201"/>
        <w:gridCol w:w="155"/>
        <w:gridCol w:w="155"/>
        <w:gridCol w:w="156"/>
        <w:gridCol w:w="211"/>
        <w:gridCol w:w="436"/>
        <w:gridCol w:w="154"/>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67" w:type="dxa"/>
            <w:gridSpan w:val="6"/>
            <w:tcBorders/>
            <w:shd w:fill="auto" w:val="clea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02" w:type="dxa"/>
            <w:gridSpan w:val="4"/>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6" w:type="dxa"/>
            <w:gridSpan w:val="3"/>
            <w:tcBorders>
              <w:top w:val="single" w:sz="8"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801" w:type="dxa"/>
            <w:gridSpan w:val="3"/>
            <w:tcBorders/>
            <w:shd w:fill="auto" w:val="clea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468"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94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8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0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non-operating income decreased by $24 million from $28 million in the prior year period, primarily related to $27 million of interest income recorded in 2022 from unrealized marked-to-market gains on our interest rate swaps.</w:t>
      </w:r>
    </w:p>
    <w:p>
      <w:pPr>
        <w:pStyle w:val="TextBody"/>
        <w:spacing w:lineRule="auto" w:line="288" w:before="200" w:after="20"/>
        <w:jc w:val="both"/>
        <w:rPr>
          <w:rFonts w:ascii="Times New Roman;sans-serif" w:hAnsi="Times New Roman;sans-serif"/>
          <w:b/>
          <w:i/>
          <w:color w:val="000000"/>
          <w:sz w:val="20"/>
        </w:rPr>
      </w:pPr>
      <w:r>
        <w:rPr>
          <w:rFonts w:ascii="Times New Roman;sans-serif" w:hAnsi="Times New Roman;sans-serif"/>
          <w:b/>
          <w:i/>
          <w:color w:val="000000"/>
          <w:sz w:val="20"/>
        </w:rPr>
        <w:t xml:space="preserve">Tax Expense </w:t>
      </w:r>
    </w:p>
    <w:tbl>
      <w:tblPr>
        <w:tblW w:w="4535" w:type="dxa"/>
        <w:jc w:val="left"/>
        <w:tblInd w:w="0" w:type="dxa"/>
        <w:tblCellMar>
          <w:top w:w="28" w:type="dxa"/>
          <w:left w:w="28" w:type="dxa"/>
          <w:bottom w:w="28" w:type="dxa"/>
          <w:right w:w="28" w:type="dxa"/>
        </w:tblCellMar>
      </w:tblPr>
      <w:tblGrid>
        <w:gridCol w:w="543"/>
        <w:gridCol w:w="476"/>
        <w:gridCol w:w="480"/>
        <w:gridCol w:w="109"/>
        <w:gridCol w:w="109"/>
        <w:gridCol w:w="164"/>
        <w:gridCol w:w="164"/>
        <w:gridCol w:w="319"/>
        <w:gridCol w:w="546"/>
        <w:gridCol w:w="410"/>
        <w:gridCol w:w="109"/>
        <w:gridCol w:w="109"/>
        <w:gridCol w:w="109"/>
        <w:gridCol w:w="211"/>
        <w:gridCol w:w="361"/>
        <w:gridCol w:w="316"/>
      </w:tblGrid>
      <w:tr>
        <w:trPr/>
        <w:tc>
          <w:tcPr>
            <w:tcW w:w="54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15" w:type="dxa"/>
            <w:gridSpan w:val="6"/>
            <w:tcBorders/>
            <w:shd w:fill="auto" w:val="clea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7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490"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99"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65"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10"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31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the effective tax rate for the three months ended March 31, 2023 compared to the prior period is primarily related to a decrease in tax reserve true ups and additional global research and development benefits.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Net Income</w:t>
      </w:r>
    </w:p>
    <w:tbl>
      <w:tblPr>
        <w:tblW w:w="4700" w:type="dxa"/>
        <w:jc w:val="left"/>
        <w:tblInd w:w="0" w:type="dxa"/>
        <w:tblCellMar>
          <w:top w:w="28" w:type="dxa"/>
          <w:left w:w="28" w:type="dxa"/>
          <w:bottom w:w="28" w:type="dxa"/>
          <w:right w:w="28" w:type="dxa"/>
        </w:tblCellMar>
      </w:tblPr>
      <w:tblGrid>
        <w:gridCol w:w="603"/>
        <w:gridCol w:w="528"/>
        <w:gridCol w:w="533"/>
        <w:gridCol w:w="109"/>
        <w:gridCol w:w="109"/>
        <w:gridCol w:w="164"/>
        <w:gridCol w:w="164"/>
        <w:gridCol w:w="319"/>
        <w:gridCol w:w="546"/>
        <w:gridCol w:w="410"/>
        <w:gridCol w:w="109"/>
        <w:gridCol w:w="109"/>
        <w:gridCol w:w="109"/>
        <w:gridCol w:w="211"/>
        <w:gridCol w:w="361"/>
        <w:gridCol w:w="316"/>
      </w:tblGrid>
      <w:tr>
        <w:trPr/>
        <w:tc>
          <w:tcPr>
            <w:tcW w:w="6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15" w:type="dxa"/>
            <w:gridSpan w:val="6"/>
            <w:tcBorders/>
            <w:shd w:fill="auto" w:val="clea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75"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490"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66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65"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10"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7" name="Frame2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March 31, 2023 decreased by $7 million compared with the prior year, primarily due to $24 million of lower non-operating income and $5 million of higher interest expense, partially offset by $14 million increase in gross profit and $10 million of lower tax expense, as discussed in the above sections.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Non-GAAP Measures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 analysis of the Company’s operating results as reported under GAAP.</w:t>
      </w:r>
    </w:p>
    <w:p>
      <w:pPr>
        <w:pStyle w:val="TextBody"/>
        <w:spacing w:lineRule="auto" w:line="288" w:before="200" w:after="283"/>
        <w:rPr/>
      </w:pPr>
      <w:r>
        <w:rPr>
          <w:rFonts w:ascii="Times New Roman;sans-serif" w:hAnsi="Times New Roman;sans-serif"/>
          <w:b/>
          <w:i/>
          <w:color w:val="000000"/>
          <w:sz w:val="20"/>
        </w:rPr>
        <w:t xml:space="preserve">EBITDA and Adjusted EBITDA </w:t>
      </w:r>
      <w:r>
        <w:rPr>
          <w:rFonts w:ascii="Times New Roman;sans-serif" w:hAnsi="Times New Roman;sans-serif"/>
          <w:b/>
          <w:i/>
          <w:color w:val="000000"/>
          <w:sz w:val="16"/>
        </w:rPr>
        <w:t>(1)</w:t>
      </w:r>
    </w:p>
    <w:tbl>
      <w:tblPr>
        <w:tblW w:w="6340" w:type="dxa"/>
        <w:jc w:val="left"/>
        <w:tblInd w:w="0" w:type="dxa"/>
        <w:tblCellMar>
          <w:top w:w="28" w:type="dxa"/>
          <w:left w:w="28" w:type="dxa"/>
          <w:bottom w:w="28" w:type="dxa"/>
          <w:right w:w="28" w:type="dxa"/>
        </w:tblCellMar>
      </w:tblPr>
      <w:tblGrid>
        <w:gridCol w:w="1216"/>
        <w:gridCol w:w="1068"/>
        <w:gridCol w:w="1076"/>
        <w:gridCol w:w="109"/>
        <w:gridCol w:w="109"/>
        <w:gridCol w:w="174"/>
        <w:gridCol w:w="174"/>
        <w:gridCol w:w="337"/>
        <w:gridCol w:w="745"/>
        <w:gridCol w:w="174"/>
        <w:gridCol w:w="109"/>
        <w:gridCol w:w="109"/>
        <w:gridCol w:w="109"/>
        <w:gridCol w:w="211"/>
        <w:gridCol w:w="466"/>
        <w:gridCol w:w="154"/>
      </w:tblGrid>
      <w:tr>
        <w:trPr/>
        <w:tc>
          <w:tcPr>
            <w:tcW w:w="1216"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414"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60"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(GAAP)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7"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 (Non-GAAP)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4"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6" w:space="0" w:color="000000"/>
            </w:tcBorders>
            <w:shd w:fill="CFF0FC"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single" w:sz="6"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73" w:before="15" w:after="283"/>
              <w:jc w:val="left"/>
              <w:rPr/>
            </w:pPr>
            <w:r>
              <w:rPr>
                <w:rFonts w:ascii="Times New Roman;sans-serif" w:hAnsi="Times New Roman;sans-serif"/>
                <w:b w:val="false"/>
                <w:color w:val="000000"/>
                <w:sz w:val="20"/>
              </w:rPr>
              <w:t xml:space="preserve">Reorganization items, net </w:t>
            </w:r>
            <w:r>
              <w:rPr>
                <w:rFonts w:ascii="Times New Roman;sans-serif" w:hAnsi="Times New Roman;sans-serif"/>
                <w:b w:val="false"/>
                <w:color w:val="000000"/>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CFF0FC" w:val="clear"/>
            <w:tcMar>
              <w:top w:w="0" w:type="dxa"/>
              <w:left w:w="0" w:type="dxa"/>
              <w:bottom w:w="0" w:type="dxa"/>
              <w:right w:w="0" w:type="dxa"/>
            </w:tcMar>
            <w:vAlign w:val="center"/>
          </w:tcPr>
          <w:p>
            <w:pPr>
              <w:pStyle w:val="TableContents"/>
              <w:spacing w:lineRule="auto" w:line="273" w:before="15" w:after="283"/>
              <w:jc w:val="left"/>
              <w:rPr/>
            </w:pPr>
            <w:r>
              <w:rPr>
                <w:rFonts w:ascii="Times New Roman;sans-serif" w:hAnsi="Times New Roman;sans-serif"/>
                <w:b w:val="false"/>
                <w:color w:val="000000"/>
                <w:sz w:val="20"/>
              </w:rPr>
              <w:t xml:space="preserve">Stock compensation expense </w:t>
            </w:r>
            <w:r>
              <w:rPr>
                <w:rFonts w:ascii="Times New Roman;sans-serif" w:hAnsi="Times New Roman;sans-serif"/>
                <w:b w:val="false"/>
                <w:color w:val="000000"/>
                <w:sz w:val="16"/>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73" w:before="15" w:after="283"/>
              <w:jc w:val="left"/>
              <w:rPr/>
            </w:pPr>
            <w:r>
              <w:rPr>
                <w:rFonts w:ascii="Times New Roman;sans-serif" w:hAnsi="Times New Roman;sans-serif"/>
                <w:b w:val="false"/>
                <w:color w:val="000000"/>
                <w:sz w:val="20"/>
              </w:rPr>
              <w:t xml:space="preserve">Repositioning costs </w:t>
            </w:r>
            <w:r>
              <w:rPr>
                <w:rFonts w:ascii="Times New Roman;sans-serif" w:hAnsi="Times New Roman;sans-serif"/>
                <w:b w:val="false"/>
                <w:color w:val="000000"/>
                <w:sz w:val="16"/>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CFF0FC" w:val="clear"/>
            <w:tcMar>
              <w:top w:w="0" w:type="dxa"/>
              <w:left w:w="0" w:type="dxa"/>
              <w:bottom w:w="0" w:type="dxa"/>
              <w:right w:w="0" w:type="dxa"/>
            </w:tcMar>
            <w:vAlign w:val="center"/>
          </w:tcPr>
          <w:p>
            <w:pPr>
              <w:pStyle w:val="TableContents"/>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costs on factoring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76" w:before="15" w:after="283"/>
              <w:jc w:val="left"/>
              <w:rPr/>
            </w:pPr>
            <w:r>
              <w:rPr>
                <w:rFonts w:ascii="Times New Roman;sans-serif" w:hAnsi="Times New Roman;sans-serif"/>
                <w:b w:val="false"/>
                <w:color w:val="000000"/>
                <w:sz w:val="20"/>
              </w:rPr>
              <w:t xml:space="preserve">Other non-operating income </w:t>
            </w:r>
            <w:r>
              <w:rPr>
                <w:rFonts w:ascii="Times New Roman;sans-serif" w:hAnsi="Times New Roman;sans-serif"/>
                <w:b w:val="false"/>
                <w:color w:val="000000"/>
                <w:sz w:val="16"/>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CFF0FC" w:val="clear"/>
            <w:tcMar>
              <w:top w:w="0" w:type="dxa"/>
              <w:left w:w="0" w:type="dxa"/>
              <w:bottom w:w="0" w:type="dxa"/>
              <w:right w:w="0" w:type="dxa"/>
            </w:tcMar>
            <w:vAlign w:val="center"/>
          </w:tcPr>
          <w:p>
            <w:pPr>
              <w:pStyle w:val="TableContents"/>
              <w:spacing w:lineRule="auto" w:line="276" w:before="15" w:after="283"/>
              <w:jc w:val="left"/>
              <w:rPr/>
            </w:pPr>
            <w:r>
              <w:rPr>
                <w:rFonts w:ascii="Times New Roman;sans-serif" w:hAnsi="Times New Roman;sans-serif"/>
                <w:b w:val="false"/>
                <w:color w:val="000000"/>
                <w:sz w:val="20"/>
              </w:rPr>
              <w:t xml:space="preserve">Capital structure transformation costs </w:t>
            </w:r>
            <w:r>
              <w:rPr>
                <w:rFonts w:ascii="Times New Roman;sans-serif" w:hAnsi="Times New Roman;sans-serif"/>
                <w:b w:val="false"/>
                <w:color w:val="000000"/>
                <w:sz w:val="16"/>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(Non-GAAP)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(1)We evaluate performance on the basis of EBITDA and Adjusted EBITDA. We define “EBITDA” as our net income calculated in accordance with U.S. GAAP, plus the sum of net interest expense, tax expense and depreciation. We define “Adjusted EBITDA” as EBITDA, plus the sum of net reorganization items, stock compensation expense, repositioning costs, discounting costs on factoring, other non-operating income and capital structure transformation costs. We believe that EBITDA and Adjusted EBITDA are important indicators of operating performance and provide useful information for investors because: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certain adjustment items, while periodically affecting our results, may vary significantly from period to period and have disproportionate effect in a given period, which affects the comparability of our results.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management may use Adjusted EBITDA in setting performance incentive targets to align performance measurement with operational performance.</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Company applied ASC 852 for periods subsequent to September 20, 2020, the date the Company and certain of its subsidiaries each filed a voluntary petition for relief under Chapter 11 of title 11 of the United States Code, to distinguish transactions and events that were directly associated with the Company’s reorganization from the ongoing operations of the business. Accordingly, certain expenses and gains incurred related to these transactions and events were recorded within Reorganization items, net in the Consolidated Interim Statements of Operations.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8" name="Frame27"/>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(3)Stock compensation expense includes only non-cash expenses.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(4)Repositioning costs includes severance costs related to restructuring projects to improve future productivity.</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(5)Reflects the non-service component of net periodic pension costs and other income that are non-recurring or not considered directly related to the Company's operations.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(6)Reflects the third-party incremental costs that are directly attributable to the transformation of the Company's capital structure through the partial redemption and subsequent conversion of remaining outstanding Series A Preferred Stock into a single class of common stock. </w:t>
      </w:r>
    </w:p>
    <w:p>
      <w:pPr>
        <w:pStyle w:val="TextBody"/>
        <w:spacing w:before="0" w:after="0"/>
        <w:ind w:left="0" w:right="0" w:hanging="556"/>
        <w:rPr/>
      </w:pPr>
      <w:r>
        <w:rPr/>
      </w:r>
    </w:p>
    <w:p>
      <w:pPr>
        <w:pStyle w:val="TextBody"/>
        <w:spacing w:lineRule="auto" w:line="288" w:before="200" w:after="283"/>
        <w:ind w:left="0" w:right="0" w:hanging="556"/>
        <w:rPr>
          <w:rFonts w:ascii="Times New Roman;sans-serif" w:hAnsi="Times New Roman;sans-serif"/>
          <w:b/>
          <w:i/>
          <w:color w:val="000000"/>
          <w:sz w:val="20"/>
        </w:rPr>
      </w:pPr>
      <w:r>
        <w:rPr>
          <w:rFonts w:ascii="Times New Roman;sans-serif" w:hAnsi="Times New Roman;sans-serif"/>
          <w:b/>
          <w:i/>
          <w:color w:val="000000"/>
          <w:sz w:val="20"/>
        </w:rPr>
        <w:t xml:space="preserve">Adjusted EBITDA for the Three Months Ended March 31, 2023 </w:t>
      </w:r>
    </w:p>
    <w:p>
      <w:pPr>
        <w:pStyle w:val="TextBody"/>
        <w:spacing w:before="120" w:after="283"/>
        <w:ind w:left="0" w:right="0" w:hanging="556"/>
        <w:rPr/>
      </w:pPr>
      <w:r>
        <w:rPr/>
      </w:r>
    </w:p>
    <w:p>
      <w:pPr>
        <w:pStyle w:val="TextBody"/>
        <w:spacing w:before="0" w:after="0"/>
        <w:jc w:val="both"/>
        <w:rPr/>
      </w:pPr>
      <w:r>
        <w:rPr/>
        <w:drawing>
          <wp:inline distT="0" distB="63500" distL="0" distR="0">
            <wp:extent cx="6286500" cy="18669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286500" cy="1866900"/>
                    </a:xfrm>
                    <a:prstGeom prst="rect">
                      <a:avLst/>
                    </a:prstGeom>
                  </pic:spPr>
                </pic:pic>
              </a:graphicData>
            </a:graphic>
          </wp:inline>
        </w:drawing>
      </w:r>
    </w:p>
    <w:p>
      <w:pPr>
        <w:pStyle w:val="TextBody"/>
        <w:spacing w:lineRule="auto" w:line="288" w:before="200" w:after="283"/>
        <w:ind w:left="0" w:right="0" w:firstLine="432"/>
        <w:jc w:val="both"/>
        <w:rPr>
          <w:rFonts w:ascii="Times New Roman;sans-serif" w:hAnsi="Times New Roman;sans-serif"/>
          <w:b w:val="false"/>
          <w:color w:val="231F20"/>
          <w:sz w:val="20"/>
        </w:rPr>
      </w:pPr>
      <w:r>
        <w:rPr>
          <w:rFonts w:ascii="Times New Roman;sans-serif" w:hAnsi="Times New Roman;sans-serif"/>
          <w:b w:val="false"/>
          <w:color w:val="231F20"/>
          <w:sz w:val="20"/>
        </w:rPr>
        <w:t>For the three months ended March 31, 2023, net income decreased by $7 million versus the prior year as discussed above within the Results of Operations for the Three Months Ended March 31, 2023 section.</w:t>
      </w:r>
    </w:p>
    <w:p>
      <w:pPr>
        <w:pStyle w:val="TextBody"/>
        <w:spacing w:lineRule="auto" w:line="288" w:before="200" w:after="283"/>
        <w:ind w:left="0" w:right="0" w:firstLine="432"/>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Adjusted EBITDA increased by $22 million compared to the prior year, mainly due to volume increases, increased productivity and inflation pass-through net of pricing. These increases in Adjusted EBITDA were partially offset by inflation on commodities, energy and transportation, as well as unfavorable foreign exchange impacts. </w:t>
      </w:r>
    </w:p>
    <w:p>
      <w:pPr>
        <w:pStyle w:val="TextBody"/>
        <w:spacing w:lineRule="auto" w:line="288" w:before="200" w:after="283"/>
        <w:ind w:left="0" w:right="0" w:firstLine="432"/>
        <w:jc w:val="both"/>
        <w:rPr>
          <w:rFonts w:ascii="Times New Roman;sans-serif" w:hAnsi="Times New Roman;sans-serif"/>
          <w:b w:val="false"/>
          <w:color w:val="231F20"/>
          <w:sz w:val="20"/>
        </w:rPr>
      </w:pPr>
      <w:r>
        <w:rPr>
          <w:rFonts w:ascii="Times New Roman;sans-serif" w:hAnsi="Times New Roman;sans-serif"/>
          <w:b w:val="false"/>
          <w:color w:val="231F20"/>
          <w:sz w:val="20"/>
        </w:rPr>
        <w:t>During the three months ended March 31, 2023, we saw strong customer demand increases in all verticals, in a less disruptive environment, as the industry recovers and the semiconductor shortages experienced in the prior year abate, as well as favorable impacts from new product launches in gasoline. We also saw ramp up to peak volumes on programs in commercial vehicles and favorable aftermarket conditions such as continued high demand for replacement parts, recovery in China from the end of their zero COVID policy, as well as growth through new product introductions, favorable pricing impacts and improved shipment performance.</w:t>
      </w:r>
    </w:p>
    <w:p>
      <w:pPr>
        <w:pStyle w:val="TextBody"/>
        <w:spacing w:lineRule="auto" w:line="288" w:before="200" w:after="283"/>
        <w:ind w:left="0" w:right="0" w:firstLine="432"/>
        <w:jc w:val="both"/>
        <w:rPr>
          <w:rFonts w:ascii="Times New Roman;sans-serif" w:hAnsi="Times New Roman;sans-serif"/>
          <w:b w:val="false"/>
          <w:color w:val="231F20"/>
          <w:sz w:val="20"/>
        </w:rPr>
      </w:pPr>
      <w:r>
        <w:rPr>
          <w:rFonts w:ascii="Times New Roman;sans-serif" w:hAnsi="Times New Roman;sans-serif"/>
          <w:b w:val="false"/>
          <w:color w:val="231F20"/>
          <w:sz w:val="20"/>
        </w:rPr>
        <w:t>We maintained our focus on productivity in the current year as rising commodity prices led to higher raw material costs, particularly for nickel, aluminum and steel alloys. We recovered a majority of the increases from our customer pass-through agreements, especially for nickel, and continue to negotiate with our customers for further pass-through while actively managing our supply base and cost recovery mechanisms to minimize the impact of materials cost inflation. The increased productivity was partially offset by year-over-year labor inflation and increases in our SG&amp;A expenses due primarily to lower incentive compensation expense in the prior year.</w:t>
      </w:r>
    </w:p>
    <w:p>
      <w:pPr>
        <w:pStyle w:val="TextBody"/>
        <w:spacing w:before="0" w:after="0"/>
        <w:ind w:left="0" w:right="0" w:firstLine="432"/>
        <w:jc w:val="both"/>
        <w:rPr/>
      </w:pPr>
      <w:r>
        <w:rPr/>
      </w:r>
    </w:p>
    <w:p>
      <w:pPr>
        <w:pStyle w:val="TextBody"/>
        <w:spacing w:lineRule="auto" w:line="276" w:before="0" w:after="0"/>
        <w:ind w:left="0" w:right="0" w:firstLine="432"/>
        <w:jc w:val="both"/>
        <w:rPr>
          <w:rFonts w:ascii="Times New Roman;sans-serif" w:hAnsi="Times New Roman;sans-serif"/>
          <w:b w:val="false"/>
          <w:color w:val="231F20"/>
          <w:sz w:val="20"/>
        </w:rPr>
      </w:pPr>
      <w:r>
        <w:rPr>
          <w:rFonts w:ascii="Times New Roman;sans-serif" w:hAnsi="Times New Roman;sans-serif"/>
          <w:b w:val="false"/>
          <w:color w:val="231F20"/>
          <w:sz w:val="20"/>
        </w:rPr>
        <w:t>R&amp;D expenses increased $3 million which reflects our shift in investment in new technologies, increased hiring to accelerate growth in the new technologies and year-over-year labor inflation.</w:t>
      </w:r>
    </w:p>
    <w:p>
      <w:pPr>
        <w:pStyle w:val="TextBody"/>
        <w:spacing w:before="0" w:after="0"/>
        <w:ind w:left="0" w:right="0" w:firstLine="432"/>
        <w:jc w:val="both"/>
        <w:rPr/>
      </w:pPr>
      <w:r>
        <w:rPr/>
      </w:r>
    </w:p>
    <w:p>
      <w:pPr>
        <w:pStyle w:val="TextBody"/>
        <w:spacing w:lineRule="auto" w:line="276" w:before="0" w:after="0"/>
        <w:ind w:left="0" w:right="0" w:firstLine="432"/>
        <w:jc w:val="both"/>
        <w:rPr>
          <w:rFonts w:ascii="Times New Roman;sans-serif" w:hAnsi="Times New Roman;sans-serif"/>
          <w:b w:val="false"/>
          <w:color w:val="231F20"/>
          <w:sz w:val="20"/>
        </w:rPr>
      </w:pPr>
      <w:r>
        <w:rPr>
          <w:rFonts w:ascii="Times New Roman;sans-serif" w:hAnsi="Times New Roman;sans-serif"/>
          <w:b w:val="false"/>
          <w:color w:val="231F20"/>
          <w:sz w:val="20"/>
        </w:rPr>
        <w:t>Losses in foreign currency from translational, transactional and hedging effects in the three months ended March 31, 2023, primarily driven by a lower Euro-to-US dollar exchange rate versus the prior-year period, also accounted for a $6 million decrease in Adjusted EBITDA.</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30" name="Frame28"/>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Liquidity and Capital Resources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employ several means to manage our liquidity, and our sources of financing include cash flows from operations, cash and cash equivalents, our Term Loan Facilities, and Revolving Facility.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reported a cash and cash equivalents position of $291 million (not including $1 million in restricted cash as of March 31, 2023) as compared to $246 million as of December 31, 2022 (not including $2 million in restricted cash as of December 31, 2022). The Company had no borrowings or letters of credit outstanding under the Revolving Facility, and available borrowing capacity of $475 million. In addition, as of March 31, 2023, the Company had $1,193 million of principal outstanding on its Term Loan Facilities and had utilized $12 million of the bilateral letter of credit facilities with $3 million of remaining available capacity. </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During the three months ended March 31, 2023, we repaid $2 million on our Dollar Facility. Additionally, holders of our Series A Preferred Stock are entitled to receive, when, as and if declared by a committee of disinterested directors of the Board out of funds legally available for such dividend, cumulative cash dividends at an annual rate of 11% on the stated amount per share plus the amount of any accrued and unpaid dividends on such share. These dividends accumulate whether or not declared. During the three months ended March 31, 2023, we declared a cash dividend of $0.17 per share on our Series A Preferred Stock for a total aggregate dividend of $42 million. As of March 31, 2023, the aggregate accumulated undeclared and unpaid dividend was approximately </w:t>
      </w:r>
      <w:r>
        <w:rPr>
          <w:rFonts w:ascii="Times New Roman;sans-serif" w:hAnsi="Times New Roman;sans-serif"/>
          <w:b w:val="false"/>
          <w:color w:val="000000"/>
          <w:sz w:val="20"/>
          <w:highlight w:val="white"/>
        </w:rPr>
        <w:t>$169 million</w:t>
      </w:r>
      <w:r>
        <w:rPr>
          <w:rFonts w:ascii="Times New Roman;sans-serif" w:hAnsi="Times New Roman;sans-serif"/>
          <w:b w:val="false"/>
          <w:color w:val="000000"/>
          <w:sz w:val="20"/>
        </w:rPr>
        <w:t>.</w:t>
      </w:r>
    </w:p>
    <w:p>
      <w:pPr>
        <w:pStyle w:val="TextBody"/>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our 2022 Form 10-K, we expect to continue investing in our facilities as we expand our manufacturing capacity for new product launches and invest in strategic growth opportunities, in particular in the electrification of drivetrains. We believe the combination of expected cash flows, the term loan borrowings, and the Revolving Facility being committed until 2026, will provide us with adequate liquidity to support the Company's operations. </w:t>
      </w:r>
    </w:p>
    <w:p>
      <w:pPr>
        <w:pStyle w:val="TextBody"/>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definitive agreements entered into with Centerbridge and Oaktree to simplify the Company’s capital stock by converting all outstanding Series A Preferred Stock into a single class of Common Stock as previously discussed, we furthermore expect to enter into a new term loan B under our existing Credit Facilities for approximately $700 million in Q2 2023. We further expect to utilize the borrowings from the new term loan B to fund the repurchases of Series A Preferred Stock from Centerbridge and Oaktree, as well as cash payment of some or all of the preference dividends due to holders of Series A Preferred Stock upon conversion of the Series A Preferred Stock into Common Stock.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spacing w:lineRule="auto" w:line="288" w:before="200" w:after="283"/>
        <w:ind w:left="0" w:right="0" w:firstLine="432"/>
        <w:jc w:val="both"/>
        <w:rPr/>
      </w:pPr>
      <w:r>
        <w:rPr>
          <w:rFonts w:ascii="Times New Roman;sans-serif" w:hAnsi="Times New Roman;sans-serif"/>
          <w:b w:val="false"/>
          <w:color w:val="000000"/>
          <w:sz w:val="20"/>
        </w:rPr>
        <w:t>On November 16, 2021, the Board of Directors authorized a $100 million share repurchase program for one year, providing for the purchase of shares of Series A Preferred Stock and Common Stock. The share repurchase program was subsequently extended until November 15, 2023. As of March 31, 2023, the Company had repurchas</w:t>
      </w:r>
      <w:r>
        <w:rPr>
          <w:rFonts w:ascii="Times New Roman;sans-serif" w:hAnsi="Times New Roman;sans-serif"/>
          <w:b w:val="false"/>
          <w:color w:val="000000"/>
          <w:sz w:val="20"/>
          <w:highlight w:val="white"/>
        </w:rPr>
        <w:t>ed $26 million</w:t>
      </w:r>
      <w:r>
        <w:rPr>
          <w:color w:val="000000"/>
        </w:rPr>
        <w:t xml:space="preserve"> </w:t>
      </w:r>
      <w:r>
        <w:rPr>
          <w:rFonts w:ascii="Times New Roman;sans-serif" w:hAnsi="Times New Roman;sans-serif"/>
          <w:b w:val="false"/>
          <w:color w:val="000000"/>
          <w:sz w:val="20"/>
        </w:rPr>
        <w:t xml:space="preserve">of Series A Preferred Stock and Common Stock, with $74 million remaining under the share repurchase program. </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On April 12, 2023, the Board of Directors authorized an increase in the share repurchase program to an aggregate amount of $250 million available as of that date. For more information, see Item 2. </w:t>
      </w:r>
      <w:r>
        <w:rPr>
          <w:rFonts w:ascii="Times New Roman;sans-serif" w:hAnsi="Times New Roman;sans-serif"/>
          <w:b w:val="false"/>
          <w:i/>
          <w:color w:val="000000"/>
          <w:sz w:val="20"/>
        </w:rPr>
        <w:t>Unregistered Sales of Equity Securities and Use of Proceeds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Summary for the Three Months Ended March 31, 2023 </w:t>
      </w:r>
    </w:p>
    <w:tbl>
      <w:tblPr>
        <w:tblW w:w="7479" w:type="dxa"/>
        <w:jc w:val="left"/>
        <w:tblInd w:w="0" w:type="dxa"/>
        <w:tblCellMar>
          <w:top w:w="28" w:type="dxa"/>
          <w:left w:w="28" w:type="dxa"/>
          <w:bottom w:w="28" w:type="dxa"/>
          <w:right w:w="28" w:type="dxa"/>
        </w:tblCellMar>
      </w:tblPr>
      <w:tblGrid>
        <w:gridCol w:w="2016"/>
        <w:gridCol w:w="1768"/>
        <w:gridCol w:w="1781"/>
        <w:gridCol w:w="211"/>
        <w:gridCol w:w="361"/>
        <w:gridCol w:w="109"/>
        <w:gridCol w:w="109"/>
        <w:gridCol w:w="109"/>
        <w:gridCol w:w="109"/>
        <w:gridCol w:w="211"/>
        <w:gridCol w:w="541"/>
        <w:gridCol w:w="154"/>
      </w:tblGrid>
      <w:tr>
        <w:trPr/>
        <w:tc>
          <w:tcPr>
            <w:tcW w:w="2016"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tcMar>
              <w:top w:w="0" w:type="dxa"/>
              <w:left w:w="0" w:type="dxa"/>
              <w:bottom w:w="0" w:type="dxa"/>
              <w:right w:w="0" w:type="dxa"/>
            </w:tcMar>
            <w:vAlign w:val="center"/>
          </w:tcPr>
          <w:p>
            <w:pPr>
              <w:pStyle w:val="TableContents"/>
              <w:spacing w:lineRule="auto" w:line="276" w:before="15" w:after="283"/>
              <w:jc w:val="center"/>
              <w:rPr>
                <w:color w:val="000000"/>
                <w:highlight w:val="white"/>
              </w:rPr>
            </w:pPr>
            <w:r>
              <w:rPr>
                <w:color w:val="000000"/>
                <w:highlight w:val="white"/>
              </w:rPr>
              <w:t> </w:t>
            </w:r>
          </w:p>
          <w:p>
            <w:pPr>
              <w:pStyle w:val="TableContents"/>
              <w:spacing w:lineRule="auto" w:line="276" w:before="15" w:after="283"/>
              <w:jc w:val="center"/>
              <w:rPr>
                <w:color w:val="000000"/>
                <w:highlight w:val="white"/>
              </w:rPr>
            </w:pPr>
            <w:r>
              <w:rPr>
                <w:color w:val="000000"/>
                <w:highlight w:val="white"/>
              </w:rPr>
              <w:t> </w:t>
            </w:r>
          </w:p>
        </w:tc>
        <w:tc>
          <w:tcPr>
            <w:tcW w:w="1914" w:type="dxa"/>
            <w:gridSpan w:val="9"/>
            <w:tcBorders/>
            <w:shd w:fill="FFFFFF"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5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68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06" w:type="dxa"/>
            <w:gridSpan w:val="3"/>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1914" w:type="dxa"/>
            <w:gridSpan w:val="9"/>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(Dollars in millions) </w:t>
            </w:r>
          </w:p>
        </w:tc>
      </w:tr>
      <w:tr>
        <w:trPr/>
        <w:tc>
          <w:tcPr>
            <w:tcW w:w="556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w:t>
            </w:r>
          </w:p>
        </w:tc>
        <w:tc>
          <w:tcPr>
            <w:tcW w:w="681" w:type="dxa"/>
            <w:gridSpan w:val="3"/>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06" w:type="dxa"/>
            <w:gridSpan w:val="3"/>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55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681" w:type="dxa"/>
            <w:gridSpan w:val="3"/>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55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68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r>
      <w:tr>
        <w:trPr/>
        <w:tc>
          <w:tcPr>
            <w:tcW w:w="5565"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restricted cash</w:t>
            </w:r>
          </w:p>
        </w:tc>
        <w:tc>
          <w:tcPr>
            <w:tcW w:w="681" w:type="dxa"/>
            <w:gridSpan w:val="3"/>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top w:val="single" w:sz="6"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increased by $19 million for the three months ended March 31, 2023 versus the prior year, primarily due to an increase of $31 million in net income excluding non-cash charges and favorable impacts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31" name="Frame29"/>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other assets and liabilities of $26 million, partially offset by unfavorable impacts from changes in working capital of $38 million.</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 decreased by $21 million for the three months ended March 31, 2023 versus the prior year due to decreased expenditures for property, plant and equipment.</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financing activities decreased by $152 million for the three months ended March 31, 2023 compared with the prior year. The change was driven by $186 million paid in the prior year period for the final early redemption of our Series B Preferred Stock (exclusive of $11 million attributable to interest and included in cash from operating activities). Additionally, in the prior year period, there were payments of $2 million for repurchases of Series A Preferred Stock and Common Stock pursuant to the Company's share repurchase program, and $6 million incurred as debt financing costs, mainly on our Revolving Facility. During the three months ended March 31, 2023, $42 million of cash was transferred to the transfer agent for settlement of our Series A Preferred Stock dividend declared on March 8, 2023.</w:t>
      </w:r>
    </w:p>
    <w:p>
      <w:pPr>
        <w:pStyle w:val="TextBody"/>
        <w:spacing w:before="200" w:after="283"/>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 </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spacing w:lineRule="auto" w:line="288" w:before="200" w:after="283"/>
        <w:ind w:left="0" w:right="0" w:firstLine="432"/>
        <w:jc w:val="both"/>
        <w:rPr/>
      </w:pPr>
      <w:r>
        <w:rPr>
          <w:rFonts w:ascii="Times New Roman;sans-serif" w:hAnsi="Times New Roman;sans-serif"/>
          <w:b w:val="false"/>
          <w:color w:val="000000"/>
          <w:sz w:val="20"/>
        </w:rPr>
        <w:t>The preparation of our Consolidated Interim Financial Statements in accordance with generally accepted accounting principles is based on the selection and application of accounting policies that require us to make significant estimates and assumptions about the effects of matters that are inherently uncertain. Actual results could differ from our estimates and assumptions, and any such differences could be material to our financial statements.</w:t>
      </w:r>
      <w:r>
        <w:rPr>
          <w:color w:val="000000"/>
        </w:rPr>
        <w:t xml:space="preserve"> </w:t>
      </w:r>
      <w:r>
        <w:rPr>
          <w:rFonts w:ascii="Times New Roman;sans-serif" w:hAnsi="Times New Roman;sans-serif"/>
          <w:b w:val="false"/>
          <w:color w:val="000000"/>
          <w:sz w:val="20"/>
        </w:rPr>
        <w:t xml:space="preserve">Our critical accounting policies are summarized in the “Management’s Discussion and Analysis of Financial Condition and Results of Operations” section of our 2022 Form 10-K.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Recent Accounting Pronouncements </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the Notes to the Consolidated Interim Financial Statements for further discussion of recent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the following, are forward-looking statements: </w:t>
      </w:r>
      <w:r>
        <w:rPr>
          <w:rFonts w:ascii="Times New Roman;sans-serif" w:hAnsi="Times New Roman;sans-serif"/>
          <w:b w:val="false"/>
          <w:color w:val="000000"/>
          <w:sz w:val="20"/>
          <w:highlight w:val="white"/>
        </w:rPr>
        <w:t>statements regarding our future results of operations and financial position,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w:t>
      </w:r>
      <w:r>
        <w:rPr>
          <w:rFonts w:ascii="Times New Roman;sans-serif" w:hAnsi="Times New Roman;sans-serif"/>
          <w:b w:val="false"/>
          <w:color w:val="000000"/>
          <w:sz w:val="20"/>
        </w:rPr>
        <w:t>.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2" name="Frame30"/>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increases in the costs and availability of raw materials, components, energy and transportation and our ability to offset inflation;</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sales to major customers as well as a network of independent dealers to manage the distribution of our products, and we could be adversely impacted by the loss of any of our such major customers or dealers, changes in their requirements for our products or changes in their financial condition.</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the negotiating positions of our customers and our ability to negotiate favorable pricing terms;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risks associated with changes in the automotive industry and our inability, or a perception that we are unable, to respond appropriately to such changes, our financial condition and results of operations could be adversely impacted; </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risks associated with any program launch difficulties and inaccuracies in estimates of volumes of awarded business; </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changes in the automotive industry and economic or competitive conditions;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risks related to economic, political, regulatory and foreign exchange;</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geopolitical conditions, such as the ongoing conflict between Russia and Ukraine, and catastrophic events, such as the Covid-19 pandemic; </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risks related to international operations and our investment in foreign markets; </w:t>
      </w:r>
    </w:p>
    <w:p>
      <w:pPr>
        <w:pStyle w:val="TextBody"/>
        <w:spacing w:lineRule="auto" w:line="288" w:before="200" w:after="283"/>
        <w:ind w:left="0" w:right="0" w:hanging="360"/>
        <w:jc w:val="both"/>
        <w:rPr/>
      </w:pPr>
      <w:r>
        <w:rPr>
          <w:color w:val="231F20"/>
          <w:highlight w:val="white"/>
        </w:rPr>
        <w:t>•</w:t>
      </w:r>
      <w:r>
        <w:rPr>
          <w:rFonts w:ascii="Times New Roman;sans-serif" w:hAnsi="Times New Roman;sans-serif"/>
          <w:b w:val="false"/>
          <w:color w:val="000000"/>
          <w:sz w:val="20"/>
          <w:highlight w:val="white"/>
        </w:rPr>
        <w:t>risks of increased scrutiny from customers, investors, regulators and others regarding sustainability/ESG practices, as well as the climate-related risks we may face, each of which could expose us to liabilities, including reputational harm, impact demand for our products, lead to increased costs and have other adverse effects on our business, supply chain and results of operations;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risks associated with joint venture partnerships and joint development projects;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any failure to protect our intellectual property or allegations that we have infringed the intellectual property of others; and our ability to license necessary intellectual property from third parties;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work stoppages, other disruptions or the need to relocate any of our facilities; </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inability to recruit and retain qualified personnel; </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any failure to increase productivity or successfully execute repositioning projects or manage our workforce;</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potential material losses and costs as a result of any warranty claims and product liability actions brought against us;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the commencement of any lawsuits, investigations and disputes arising out of our current and historical businesses, and the consequences thereof;</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potential material environmental liabilities and hazards;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risks of changes in the effective tax rates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the effects of any deterioration on industry, economic or financial conditions on our ability to access the capital markets on favorable terms;</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quality control and creditworthiness of the suppliers on which we rely;</w:t>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 xml:space="preserve">risks for system or service failures, including cyber or other security incidents, each of which could disrupt business operations, result in loss of critical and confidential information and adversely impact our reputation and results of operations;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3" name="Frame31"/>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hanging="360"/>
        <w:jc w:val="both"/>
        <w:rPr/>
      </w:pPr>
      <w:r>
        <w:rPr>
          <w:color w:val="000000"/>
          <w:highlight w:val="white"/>
        </w:rPr>
        <w:t>•</w:t>
      </w:r>
      <w:r>
        <w:rPr>
          <w:rFonts w:ascii="Times New Roman;sans-serif" w:hAnsi="Times New Roman;sans-serif"/>
          <w:b w:val="false"/>
          <w:color w:val="000000"/>
          <w:sz w:val="20"/>
          <w:highlight w:val="white"/>
        </w:rPr>
        <w:t>risks associated with the Company’s ability to complete its recently announced capital transformation transactions including on the timelines the Company anticipates, the anticipated impacts to the Company of such transactions including on the Company’s stock price, cash flows and anticipated future investments, the availability of debt financing in amounts and on terms acceptable to the Company, and risks relating to potential purchases by the Company of shares of Common Stock and Series A Preferred Stock under the Company’s share repurchase program</w:t>
      </w:r>
      <w:r>
        <w:rPr>
          <w:rFonts w:ascii="Times New Roman;sans-serif" w:hAnsi="Times New Roman;sans-serif"/>
          <w:b w:val="false"/>
          <w:color w:val="000000"/>
          <w:sz w:val="20"/>
        </w:rPr>
        <w:t>;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highlight w:val="white"/>
        </w:rPr>
        <w:t>the other factors described under the caption “Risk Factors” in our 2022 Form 10-K, as updated in this Quarterly Report on Form 10-Q, and our other filings with the SEC.</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spacing w:before="0" w:after="0"/>
        <w:ind w:left="0" w:right="0" w:firstLine="432"/>
        <w:jc w:val="both"/>
        <w:rPr/>
      </w:pPr>
      <w:r>
        <w:rPr/>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quantitative and qualitative disclosures about currency, interest rate or commodity price risks as disclosed in Part II, Item 7A, Quantitative and Qualitative Disclosures About Market Risks, in our 2022 Form 10-K.</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March 31, 2023.</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the quarter ended March 31, 2023 that have materially affected, or are reasonably likely to materially affect, our internal control over financial reporting.</w:t>
      </w:r>
    </w:p>
    <w:p>
      <w:pPr>
        <w:pStyle w:val="TextBody"/>
        <w:spacing w:before="200" w:after="283"/>
        <w:ind w:left="0" w:right="0" w:firstLine="432"/>
        <w:jc w:val="both"/>
        <w:rPr/>
      </w:pPr>
      <w:r>
        <w:rPr/>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4" name="Frame32"/>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For additional information regarding our legal proceedings, see Note 20,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231F20"/>
          <w:sz w:val="20"/>
        </w:rPr>
        <w:t>of the Notes to the Consolidated Interim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the risks described under "Risk Factors” in our 2022 Form 10-K. In addition to the other information set forth in this Quarterly Report on Form 10-Q, you should carefully consider the factors discussed under “Risk Factors” in our 2022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231F20"/>
          <w:sz w:val="20"/>
        </w:rPr>
        <w:t>three months ended March 31, 2023,</w:t>
      </w:r>
      <w:r>
        <w:rPr>
          <w:color w:val="000000"/>
        </w:rPr>
        <w:t xml:space="preserve"> </w:t>
      </w:r>
      <w:r>
        <w:rPr>
          <w:rFonts w:ascii="Times New Roman;sans-serif" w:hAnsi="Times New Roman;sans-serif"/>
          <w:b w:val="false"/>
          <w:color w:val="000000"/>
          <w:sz w:val="20"/>
        </w:rPr>
        <w:t xml:space="preserve">there were no conversions of our Series A Preferred Stock into Common Stock pursuant to the terms of the Certificate of Designations for the Series A Preferred Stock. </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16, 2021, the Board of Directors authorized a $100 million share repurchase program for one year, providing for the purchase of shares of Series A Preferred Stock and Common Stock. The validity of the share repurchase program was subsequently extended until November 15, 2023. On April 12, 2023, the Board of Directors authorized an increase in the share repurchase program to an aggregate amount of $250 million as of that date.</w:t>
      </w:r>
    </w:p>
    <w:p>
      <w:pPr>
        <w:pStyle w:val="TextBody"/>
        <w:spacing w:lineRule="auto" w:line="288" w:before="200" w:after="283"/>
        <w:ind w:left="0" w:right="0" w:firstLine="432"/>
        <w:jc w:val="both"/>
        <w:rPr/>
      </w:pPr>
      <w:r>
        <w:rPr>
          <w:rFonts w:ascii="Times New Roman;sans-serif" w:hAnsi="Times New Roman;sans-serif"/>
          <w:b w:val="false"/>
          <w:color w:val="000000"/>
          <w:sz w:val="20"/>
        </w:rPr>
        <w:t xml:space="preserve">The following table summarizes our share repurchase activity for the </w:t>
      </w:r>
      <w:r>
        <w:rPr>
          <w:rFonts w:ascii="Times New Roman;sans-serif" w:hAnsi="Times New Roman;sans-serif"/>
          <w:b w:val="false"/>
          <w:color w:val="231F20"/>
          <w:sz w:val="20"/>
        </w:rPr>
        <w:t>three months ended March 31, 2023</w:t>
      </w:r>
      <w:r>
        <w:rPr>
          <w:color w:val="000000"/>
        </w:rPr>
        <w:t xml:space="preserve"> </w:t>
      </w:r>
      <w:r>
        <w:rPr>
          <w:rFonts w:ascii="Times New Roman;sans-serif" w:hAnsi="Times New Roman;sans-serif"/>
          <w:b w:val="false"/>
          <w:color w:val="000000"/>
          <w:sz w:val="20"/>
        </w:rPr>
        <w:t>and additional information regarding our share repurchase program:</w:t>
      </w:r>
    </w:p>
    <w:tbl>
      <w:tblPr>
        <w:tblW w:w="10205" w:type="dxa"/>
        <w:jc w:val="left"/>
        <w:tblInd w:w="0" w:type="dxa"/>
        <w:tblCellMar>
          <w:top w:w="28" w:type="dxa"/>
          <w:left w:w="28" w:type="dxa"/>
          <w:bottom w:w="28" w:type="dxa"/>
          <w:right w:w="28" w:type="dxa"/>
        </w:tblCellMar>
      </w:tblPr>
      <w:tblGrid>
        <w:gridCol w:w="463"/>
        <w:gridCol w:w="333"/>
        <w:gridCol w:w="338"/>
        <w:gridCol w:w="109"/>
        <w:gridCol w:w="109"/>
        <w:gridCol w:w="109"/>
        <w:gridCol w:w="339"/>
        <w:gridCol w:w="339"/>
        <w:gridCol w:w="340"/>
        <w:gridCol w:w="109"/>
        <w:gridCol w:w="109"/>
        <w:gridCol w:w="109"/>
        <w:gridCol w:w="240"/>
        <w:gridCol w:w="462"/>
        <w:gridCol w:w="124"/>
        <w:gridCol w:w="109"/>
        <w:gridCol w:w="109"/>
        <w:gridCol w:w="109"/>
        <w:gridCol w:w="481"/>
        <w:gridCol w:w="340"/>
        <w:gridCol w:w="341"/>
        <w:gridCol w:w="109"/>
        <w:gridCol w:w="109"/>
        <w:gridCol w:w="109"/>
        <w:gridCol w:w="234"/>
        <w:gridCol w:w="569"/>
        <w:gridCol w:w="121"/>
        <w:gridCol w:w="109"/>
        <w:gridCol w:w="109"/>
        <w:gridCol w:w="109"/>
        <w:gridCol w:w="524"/>
        <w:gridCol w:w="420"/>
        <w:gridCol w:w="421"/>
        <w:gridCol w:w="109"/>
        <w:gridCol w:w="109"/>
        <w:gridCol w:w="109"/>
        <w:gridCol w:w="263"/>
        <w:gridCol w:w="1349"/>
        <w:gridCol w:w="202"/>
      </w:tblGrid>
      <w:tr>
        <w:trPr/>
        <w:tc>
          <w:tcPr>
            <w:tcW w:w="46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1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Common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Preferred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 or Program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 or Program</w:t>
            </w:r>
          </w:p>
        </w:tc>
      </w:tr>
      <w:tr>
        <w:trPr/>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1, 2023 – January 31, 2023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38,574 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38,574 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73,521,928 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73,521,928 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73,521,928 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38,574 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38,574 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73,521,928 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amounts repurchased as part of our share repurchase program, there were no purchases of equity securities by the issuer or affiliated purchasers during the quarter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Series A Preferred Stock will be entitled to receive, when, as and if declared by a committee of disinterested directors of the Board (which committee initially consisted of Daniel Ninivaggi, Julia Steyn, Robert Shanks and D’aun Norman) out of funds legally available for such dividend, cumulative cash dividends at an annual rate of 11% on the stated amount per share plus the amount of any accrued and unpaid dividends on such share, accumulating daily and payable quarterly on January 1, April 1, July 1 and October 1, respectively, in each year. Cash dividends in the aggregate amount of $42 million were declared in respect of the period ended March 31, 2023. As of April 24, 2023, there were $180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5" name="Frame33"/>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of unpaid and undeclared cumulative preference dividends on the shares of Series A Preferred Stock outstanding as of that date. </w:t>
      </w:r>
    </w:p>
    <w:p>
      <w:pPr>
        <w:pStyle w:val="TextBody"/>
        <w:spacing w:lineRule="auto" w:line="288" w:before="200" w:after="283"/>
        <w:ind w:left="0" w:right="0" w:firstLine="432"/>
        <w:jc w:val="both"/>
        <w:rPr/>
      </w:pPr>
      <w:r>
        <w:rPr>
          <w:rFonts w:ascii="Times New Roman;sans-serif" w:hAnsi="Times New Roman;sans-serif"/>
          <w:b w:val="false"/>
          <w:color w:val="000000"/>
          <w:sz w:val="20"/>
          <w:highlight w:val="white"/>
        </w:rPr>
        <w:t>Except as otherwise disclosed in this Quarterly Report on Form 10-Q or reported previously in a Current Report on Form 8-K by the Company, none.</w:t>
      </w:r>
      <w:r>
        <w:rPr>
          <w:color w:val="000000"/>
        </w:rPr>
        <w:t xml:space="preserve"> </w:t>
      </w:r>
    </w:p>
    <w:p>
      <w:pPr>
        <w:pStyle w:val="TextBody"/>
        <w:spacing w:before="0" w:after="0"/>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83"/>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before="0" w:after="0"/>
        <w:ind w:left="0" w:right="0" w:firstLine="43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00" w:after="283"/>
        <w:ind w:left="0" w:right="0" w:firstLine="432"/>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200" w:after="283"/>
        <w:ind w:left="0" w:right="0" w:firstLine="432"/>
        <w:jc w:val="both"/>
        <w:rPr/>
      </w:pPr>
      <w:r>
        <w:rPr/>
      </w:r>
    </w:p>
    <w:p>
      <w:pPr>
        <w:pStyle w:val="TextBody"/>
        <w:spacing w:before="200" w:after="283"/>
        <w:ind w:left="0" w:right="0" w:firstLine="432"/>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4"/>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62"/>
        <w:gridCol w:w="231"/>
        <w:gridCol w:w="233"/>
        <w:gridCol w:w="109"/>
        <w:gridCol w:w="109"/>
        <w:gridCol w:w="109"/>
        <w:gridCol w:w="1455"/>
        <w:gridCol w:w="1312"/>
        <w:gridCol w:w="1325"/>
        <w:gridCol w:w="109"/>
        <w:gridCol w:w="109"/>
        <w:gridCol w:w="109"/>
        <w:gridCol w:w="170"/>
        <w:gridCol w:w="170"/>
        <w:gridCol w:w="171"/>
        <w:gridCol w:w="109"/>
        <w:gridCol w:w="109"/>
        <w:gridCol w:w="109"/>
        <w:gridCol w:w="238"/>
        <w:gridCol w:w="238"/>
        <w:gridCol w:w="203"/>
        <w:gridCol w:w="109"/>
        <w:gridCol w:w="109"/>
        <w:gridCol w:w="109"/>
        <w:gridCol w:w="210"/>
        <w:gridCol w:w="210"/>
        <w:gridCol w:w="211"/>
        <w:gridCol w:w="109"/>
        <w:gridCol w:w="109"/>
        <w:gridCol w:w="109"/>
        <w:gridCol w:w="118"/>
        <w:gridCol w:w="118"/>
        <w:gridCol w:w="118"/>
        <w:gridCol w:w="118"/>
        <w:gridCol w:w="118"/>
        <w:gridCol w:w="118"/>
        <w:gridCol w:w="109"/>
        <w:gridCol w:w="109"/>
        <w:gridCol w:w="109"/>
        <w:gridCol w:w="261"/>
        <w:gridCol w:w="261"/>
        <w:gridCol w:w="374"/>
      </w:tblGrid>
      <w:tr>
        <w:trPr/>
        <w:tc>
          <w:tcPr>
            <w:tcW w:w="26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510" w:type="dxa"/>
            <w:gridSpan w:val="24"/>
            <w:tcBorders>
              <w:bottom w:val="single" w:sz="6"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6" w:before="15"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Exhibit</w:t>
            </w:r>
          </w:p>
          <w:p>
            <w:pPr>
              <w:pStyle w:val="TableContents"/>
              <w:spacing w:lineRule="auto" w:line="276" w:before="15" w:after="283"/>
              <w:jc w:val="center"/>
              <w:rPr>
                <w:rFonts w:ascii="Times New Roman;sans-serif" w:hAnsi="Times New Roman;sans-serif"/>
                <w:b/>
                <w:color w:val="000000"/>
                <w:sz w:val="16"/>
                <w:highlight w:val="white"/>
              </w:rPr>
            </w:pPr>
            <w:r>
              <w:rPr>
                <w:rFonts w:ascii="Times New Roman;sans-serif" w:hAnsi="Times New Roman;sans-serif"/>
                <w:b/>
                <w:color w:val="000000"/>
                <w:sz w:val="16"/>
                <w:highlight w:val="white"/>
              </w:rP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51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67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63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708" w:type="dxa"/>
            <w:gridSpan w:val="6"/>
            <w:tcBorders>
              <w:top w:val="single" w:sz="6" w:space="0" w:color="000000"/>
              <w:bottom w:val="single" w:sz="6" w:space="0" w:color="000000"/>
            </w:tcBorders>
            <w:shd w:fill="auto" w:val="clear"/>
            <w:tcMar>
              <w:top w:w="30" w:type="dxa"/>
              <w:left w:w="0" w:type="dxa"/>
              <w:bottom w:w="3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Filing</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89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 Furnished</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Herewith</w:t>
            </w:r>
          </w:p>
        </w:tc>
      </w:tr>
      <w:tr>
        <w:trPr/>
        <w:tc>
          <w:tcPr>
            <w:tcW w:w="726"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top w:val="single" w:sz="6" w:space="0" w:color="000000"/>
            </w:tcBorders>
            <w:shd w:fill="FFFFFF" w:val="clear"/>
            <w:tcMar>
              <w:top w:w="30" w:type="dxa"/>
              <w:left w:w="0" w:type="dxa"/>
              <w:bottom w:w="0" w:type="dxa"/>
              <w:right w:w="0" w:type="dxa"/>
            </w:tcMar>
            <w:vAlign w:val="center"/>
          </w:tcPr>
          <w:p>
            <w:pPr>
              <w:pStyle w:val="TableContents"/>
              <w:spacing w:lineRule="auto" w:line="268" w:before="0" w:after="0"/>
              <w:jc w:val="left"/>
              <w:rPr/>
            </w:pPr>
            <w:hyperlink r:id="rId4">
              <w:r>
                <w:rPr>
                  <w:rStyle w:val="InternetLink"/>
                  <w:rFonts w:ascii="Times New Roman;sans-serif" w:hAnsi="Times New Roman;sans-serif"/>
                  <w:b w:val="false"/>
                  <w:color w:val="0000FF"/>
                  <w:sz w:val="20"/>
                  <w:u w:val="single"/>
                </w:rPr>
                <w:t>Second Amended and Restated Certificate of Incorporation of Garrett Motion Inc., dated April 30,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001-38636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04/30/2021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5">
              <w:r>
                <w:rPr>
                  <w:rStyle w:val="InternetLink"/>
                  <w:rFonts w:ascii="Times New Roman;sans-serif" w:hAnsi="Times New Roman;sans-serif"/>
                  <w:b w:val="false"/>
                  <w:color w:val="0000FF"/>
                  <w:sz w:val="20"/>
                  <w:u w:val="single"/>
                </w:rPr>
                <w:t xml:space="preserve">Amended and Restated Certificate of Designations of Series A Cumulative Convertible Preferred Stock of Garrett Motion Inc.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001-38636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04/28/2022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6">
              <w:r>
                <w:rPr>
                  <w:rStyle w:val="InternetLink"/>
                  <w:rFonts w:ascii="Times New Roman;sans-serif" w:hAnsi="Times New Roman;sans-serif"/>
                  <w:b w:val="false"/>
                  <w:color w:val="0000FF"/>
                  <w:sz w:val="20"/>
                  <w:u w:val="single"/>
                </w:rPr>
                <w:t>Third Amended and Restated Bylaws of Garrett Motion Inc., dated October 27,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001-38636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7">
              <w:r>
                <w:rPr>
                  <w:rStyle w:val="InternetLink"/>
                  <w:rFonts w:ascii="Times New Roman;sans-serif" w:hAnsi="Times New Roman;sans-serif"/>
                  <w:b w:val="false"/>
                  <w:color w:val="0000FF"/>
                  <w:sz w:val="20"/>
                  <w:u w:val="single"/>
                </w:rPr>
                <w:t>Transaction Agreement, dated April 12, 2023, by and among Garrett Motion Inc. and Centerbridge Credit Partners Master, L.P. and Centerbridge Special Credit Partners III-Flex, L.P.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001-38636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04/14/2023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8">
              <w:r>
                <w:rPr>
                  <w:rStyle w:val="InternetLink"/>
                  <w:rFonts w:ascii="Times New Roman;sans-serif" w:hAnsi="Times New Roman;sans-serif"/>
                  <w:b w:val="false"/>
                  <w:color w:val="0000FF"/>
                  <w:sz w:val="20"/>
                  <w:u w:val="single"/>
                </w:rPr>
                <w:t>Transaction Agreement, dated April 12, 2023, by and among Garrett Motion Inc. and Oaktree Value Opportunities Fund Holdings, L.P., OCM Opps GTM Holdings, LLC, Oaktree Phoenix Investment Fund LP and Oaktree Opportunities Fund Xb Holdings (Delaware) L.P.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001-38636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04/14/2023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092" w:type="dxa"/>
            <w:gridSpan w:val="3"/>
            <w:tcBorders/>
            <w:shd w:fill="FFFFFF" w:val="clear"/>
            <w:tcMar>
              <w:top w:w="0" w:type="dxa"/>
              <w:left w:w="0" w:type="dxa"/>
              <w:bottom w:w="0" w:type="dxa"/>
              <w:right w:w="0" w:type="dxa"/>
            </w:tcMar>
            <w:vAlign w:val="center"/>
          </w:tcPr>
          <w:p>
            <w:pPr>
              <w:pStyle w:val="TableContents"/>
              <w:spacing w:lineRule="auto" w:line="276" w:before="15" w:after="283"/>
              <w:jc w:val="left"/>
              <w:rPr/>
            </w:pPr>
            <w:hyperlink w:anchor="exhibit31_1-exx3112023q1.htm">
              <w:r>
                <w:rPr>
                  <w:rStyle w:val="InternetLink"/>
                  <w:rFonts w:ascii="Times New Roman;sans-serif" w:hAnsi="Times New Roman;sans-serif"/>
                  <w:b w:val="false"/>
                  <w:color w:val="000000"/>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67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63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08" w:type="dxa"/>
            <w:gridSpan w:val="6"/>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092" w:type="dxa"/>
            <w:gridSpan w:val="3"/>
            <w:tcBorders/>
            <w:shd w:fill="FFFFFF" w:val="clear"/>
            <w:tcMar>
              <w:top w:w="0" w:type="dxa"/>
              <w:left w:w="0" w:type="dxa"/>
              <w:bottom w:w="0" w:type="dxa"/>
              <w:right w:w="0" w:type="dxa"/>
            </w:tcMar>
            <w:vAlign w:val="center"/>
          </w:tcPr>
          <w:p>
            <w:pPr>
              <w:pStyle w:val="TableContents"/>
              <w:spacing w:lineRule="auto" w:line="276" w:before="15" w:after="283"/>
              <w:jc w:val="left"/>
              <w:rPr/>
            </w:pPr>
            <w:hyperlink w:anchor="exhibit31_2-exx3122023q1.htm">
              <w:r>
                <w:rPr>
                  <w:rStyle w:val="InternetLink"/>
                  <w:rFonts w:ascii="Times New Roman;sans-serif" w:hAnsi="Times New Roman;sans-serif"/>
                  <w:b w:val="false"/>
                  <w:color w:val="000000"/>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67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63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08" w:type="dxa"/>
            <w:gridSpan w:val="6"/>
            <w:tcBorders/>
            <w:shd w:fill="auto" w:val="clear"/>
            <w:tcMar>
              <w:top w:w="0" w:type="dxa"/>
              <w:left w:w="0" w:type="dxa"/>
              <w:bottom w:w="0" w:type="dxa"/>
              <w:right w:w="0" w:type="dxa"/>
            </w:tcMar>
            <w:vAlign w:val="center"/>
          </w:tcPr>
          <w:p>
            <w:pPr>
              <w:pStyle w:val="TableContents"/>
              <w:spacing w:lineRule="auto" w:line="273"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FFFFFF" w:val="clear"/>
            <w:tcMar>
              <w:top w:w="0" w:type="dxa"/>
              <w:left w:w="0" w:type="dxa"/>
              <w:bottom w:w="0" w:type="dxa"/>
              <w:right w:w="0" w:type="dxa"/>
            </w:tcMar>
            <w:vAlign w:val="center"/>
          </w:tcPr>
          <w:p>
            <w:pPr>
              <w:pStyle w:val="TableContents"/>
              <w:spacing w:lineRule="auto" w:line="276" w:before="15" w:after="283"/>
              <w:jc w:val="left"/>
              <w:rPr/>
            </w:pPr>
            <w:hyperlink w:anchor="exhibit32_1-exx3212023q1.htm">
              <w:r>
                <w:rPr>
                  <w:rStyle w:val="InternetLink"/>
                  <w:rFonts w:ascii="Times New Roman;sans-serif" w:hAnsi="Times New Roman;sans-serif"/>
                  <w:b w:val="false"/>
                  <w:color w:val="000000"/>
                  <w:sz w:val="20"/>
                  <w:u w:val="single"/>
                </w:rPr>
                <w:t>Certification of Principal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FFFFFF" w:val="clear"/>
            <w:tcMar>
              <w:top w:w="0" w:type="dxa"/>
              <w:left w:w="0" w:type="dxa"/>
              <w:bottom w:w="0" w:type="dxa"/>
              <w:right w:w="0" w:type="dxa"/>
            </w:tcMar>
            <w:vAlign w:val="center"/>
          </w:tcPr>
          <w:p>
            <w:pPr>
              <w:pStyle w:val="TableContents"/>
              <w:spacing w:lineRule="auto" w:line="276" w:before="15" w:after="283"/>
              <w:jc w:val="left"/>
              <w:rPr/>
            </w:pPr>
            <w:hyperlink w:anchor="exhibit32_2-exx3222023q1.htm">
              <w:r>
                <w:rPr>
                  <w:rStyle w:val="InternetLink"/>
                  <w:rFonts w:ascii="Times New Roman;sans-serif" w:hAnsi="Times New Roman;sans-serif"/>
                  <w:b w:val="false"/>
                  <w:color w:val="000000"/>
                  <w:sz w:val="20"/>
                  <w:u w:val="single"/>
                </w:rPr>
                <w:t>Certification of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752" w:type="dxa"/>
        <w:jc w:val="left"/>
        <w:tblInd w:w="0" w:type="dxa"/>
        <w:tblCellMar>
          <w:top w:w="28" w:type="dxa"/>
          <w:left w:w="28" w:type="dxa"/>
          <w:bottom w:w="28" w:type="dxa"/>
          <w:right w:w="28" w:type="dxa"/>
        </w:tblCellMar>
      </w:tblPr>
      <w:tblGrid>
        <w:gridCol w:w="124"/>
        <w:gridCol w:w="109"/>
        <w:gridCol w:w="109"/>
        <w:gridCol w:w="413"/>
        <w:gridCol w:w="413"/>
        <w:gridCol w:w="5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Filed herewith. </w:t>
            </w:r>
          </w:p>
        </w:tc>
      </w:tr>
    </w:tbl>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5"/>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tbl>
      <w:tblPr>
        <w:tblW w:w="5399" w:type="dxa"/>
        <w:jc w:val="left"/>
        <w:tblInd w:w="0" w:type="dxa"/>
        <w:tblCellMar>
          <w:top w:w="28" w:type="dxa"/>
          <w:left w:w="28" w:type="dxa"/>
          <w:bottom w:w="28" w:type="dxa"/>
          <w:right w:w="28" w:type="dxa"/>
        </w:tblCellMar>
      </w:tblPr>
      <w:tblGrid>
        <w:gridCol w:w="136"/>
        <w:gridCol w:w="119"/>
        <w:gridCol w:w="119"/>
        <w:gridCol w:w="1469"/>
        <w:gridCol w:w="1469"/>
        <w:gridCol w:w="2087"/>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r>
      <w:tr>
        <w:trPr/>
        <w:tc>
          <w:tcPr>
            <w:tcW w:w="37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tc>
        <w:tc>
          <w:tcPr>
            <w:tcW w:w="5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7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6"/>
                <a:graphic xmlns:a="http://schemas.openxmlformats.org/drawingml/2006/main">
                  <a:graphicData uri="http://schemas.microsoft.com/office/word/2010/wordprocessingShape">
                    <wps:wsp>
                      <wps:cNvSpPr txBox="1"/>
                      <wps:spPr>
                        <a:xfrm>
                          <a:off x="0" y="0"/>
                          <a:ext cx="6480175" cy="34353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ind w:left="0" w:right="0" w:firstLine="43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spacing w:before="0" w:after="0"/>
                        <w:ind w:left="0" w:right="0" w:firstLine="432"/>
                        <w:jc w:val="center"/>
                        <w:rPr/>
                      </w:pPr>
                      <w:r>
                        <w:rPr/>
                      </w:r>
                    </w:p>
                  </w:txbxContent>
                </v:textbox>
              </v:rect>
            </w:pict>
          </mc:Fallback>
        </mc:AlternateContent>
      </w:r>
    </w:p>
    <w:p>
      <w:pPr>
        <w:pStyle w:val="TextBody"/>
        <w:spacing w:before="0" w:after="0"/>
        <w:ind w:left="0" w:right="0" w:firstLine="432"/>
        <w:rPr/>
      </w:pPr>
      <w:r>
        <w:rPr/>
      </w:r>
    </w:p>
    <w:p>
      <w:pPr>
        <w:pStyle w:val="TextBody"/>
        <w:spacing w:lineRule="auto" w:line="288" w:before="200" w:after="283"/>
        <w:ind w:left="0" w:right="0" w:firstLine="432"/>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99" w:type="dxa"/>
        <w:jc w:val="left"/>
        <w:tblInd w:w="0" w:type="dxa"/>
        <w:tblCellMar>
          <w:top w:w="28" w:type="dxa"/>
          <w:left w:w="28" w:type="dxa"/>
          <w:bottom w:w="28" w:type="dxa"/>
          <w:right w:w="28" w:type="dxa"/>
        </w:tblCellMar>
      </w:tblPr>
      <w:tblGrid>
        <w:gridCol w:w="645"/>
        <w:gridCol w:w="568"/>
        <w:gridCol w:w="571"/>
        <w:gridCol w:w="265"/>
        <w:gridCol w:w="265"/>
        <w:gridCol w:w="265"/>
        <w:gridCol w:w="1256"/>
        <w:gridCol w:w="1256"/>
        <w:gridCol w:w="1808"/>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5" w:type="dxa"/>
            <w:gridSpan w:val="6"/>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Garrett Motion Inc.</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24, 2023</w:t>
            </w:r>
          </w:p>
        </w:tc>
        <w:tc>
          <w:tcPr>
            <w:tcW w:w="79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Olivier Rabiller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Olivier Rabiller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24, 2023</w:t>
            </w:r>
          </w:p>
        </w:tc>
        <w:tc>
          <w:tcPr>
            <w:tcW w:w="79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Sean Deason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Sean Deason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Senior Vice 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7"/>
                <a:graphic xmlns:a="http://schemas.openxmlformats.org/drawingml/2006/main">
                  <a:graphicData uri="http://schemas.microsoft.com/office/word/2010/wordprocessingShape">
                    <wps:wsp>
                      <wps:cNvSpPr txBox="1"/>
                      <wps:spPr>
                        <a:xfrm>
                          <a:off x="0" y="0"/>
                          <a:ext cx="6480175" cy="299085"/>
                        </a:xfrm>
                        <a:prstGeom prst="rect"/>
                      </wps:spPr>
                      <wps:txbx>
                        <w:txbxContent>
                          <w:p>
                            <w:pPr>
                              <w:pStyle w:val="TextBody"/>
                              <w:spacing w:lineRule="auto" w:line="276" w:before="240" w:after="283"/>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240" w:after="283"/>
                        <w:ind w:left="0" w:right="0" w:firstLine="432"/>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31.1</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CERTIFICATION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Olivier Rabiller, certify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Garrett Motion Inc.;</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rPr/>
      </w:pPr>
      <w:r>
        <w:rPr/>
      </w:r>
    </w:p>
    <w:tbl>
      <w:tblPr>
        <w:tblW w:w="5398" w:type="dxa"/>
        <w:jc w:val="left"/>
        <w:tblInd w:w="0" w:type="dxa"/>
        <w:tblCellMar>
          <w:top w:w="28" w:type="dxa"/>
          <w:left w:w="28" w:type="dxa"/>
          <w:bottom w:w="28" w:type="dxa"/>
          <w:right w:w="28" w:type="dxa"/>
        </w:tblCellMar>
      </w:tblPr>
      <w:tblGrid>
        <w:gridCol w:w="645"/>
        <w:gridCol w:w="568"/>
        <w:gridCol w:w="571"/>
        <w:gridCol w:w="134"/>
        <w:gridCol w:w="134"/>
        <w:gridCol w:w="136"/>
        <w:gridCol w:w="939"/>
        <w:gridCol w:w="939"/>
        <w:gridCol w:w="1332"/>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Olivier Rabiller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Olivier Rabiller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lineRule="auto" w:line="288" w:before="0" w:after="120"/>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31.2</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CERTIFICATION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Sean Deason, certify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Garrett Motion Inc.;</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rPr/>
      </w:pPr>
      <w:r>
        <w:rPr/>
      </w:r>
    </w:p>
    <w:tbl>
      <w:tblPr>
        <w:tblW w:w="6327" w:type="dxa"/>
        <w:jc w:val="left"/>
        <w:tblInd w:w="0" w:type="dxa"/>
        <w:tblCellMar>
          <w:top w:w="28" w:type="dxa"/>
          <w:left w:w="28" w:type="dxa"/>
          <w:bottom w:w="28" w:type="dxa"/>
          <w:right w:w="28" w:type="dxa"/>
        </w:tblCellMar>
      </w:tblPr>
      <w:tblGrid>
        <w:gridCol w:w="645"/>
        <w:gridCol w:w="568"/>
        <w:gridCol w:w="571"/>
        <w:gridCol w:w="134"/>
        <w:gridCol w:w="134"/>
        <w:gridCol w:w="136"/>
        <w:gridCol w:w="1208"/>
        <w:gridCol w:w="1208"/>
        <w:gridCol w:w="1723"/>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24,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Sean Deason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Sean Deason</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32.1</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Garrett Motion Inc. (the “Company”) for the period ended March 31, 2023 as filed with the Securities and Exchange Commission on the date hereof (the “Report”), I certify, pursuant to 18 U.S.C. § 1350, as adopted pursuant to § 906 of the Sarbanes-Oxley Act of 2002, that: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lineRule="auto" w:line="288" w:before="0" w:after="0"/>
        <w:rPr>
          <w:color w:val="000000"/>
        </w:rPr>
      </w:pPr>
      <w:r>
        <w:rPr>
          <w:color w:val="000000"/>
        </w:rPr>
        <w:t> </w:t>
      </w:r>
    </w:p>
    <w:tbl>
      <w:tblPr>
        <w:tblW w:w="5769" w:type="dxa"/>
        <w:jc w:val="left"/>
        <w:tblInd w:w="0" w:type="dxa"/>
        <w:tblCellMar>
          <w:top w:w="28" w:type="dxa"/>
          <w:left w:w="28" w:type="dxa"/>
          <w:bottom w:w="28" w:type="dxa"/>
          <w:right w:w="28" w:type="dxa"/>
        </w:tblCellMar>
      </w:tblPr>
      <w:tblGrid>
        <w:gridCol w:w="645"/>
        <w:gridCol w:w="568"/>
        <w:gridCol w:w="571"/>
        <w:gridCol w:w="109"/>
        <w:gridCol w:w="109"/>
        <w:gridCol w:w="109"/>
        <w:gridCol w:w="134"/>
        <w:gridCol w:w="134"/>
        <w:gridCol w:w="136"/>
        <w:gridCol w:w="950"/>
        <w:gridCol w:w="950"/>
        <w:gridCol w:w="1354"/>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Olivier Rabiller</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Olivier Rabiller</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5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p>
            <w:pPr>
              <w:pStyle w:val="TableContents"/>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Exhibit 32.2</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Garrett Motion Inc. (the “Company”) for the period ended March 31, 2023 as filed with the Securities and Exchange Commission on the date hereof (the “Report”), I certify, pursuant to 18 U.S.C. § 1350, as adopted pursuant to § 906 of the Sarbanes-Oxley Act of 2002, that: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before="0" w:after="0"/>
        <w:rPr/>
      </w:pPr>
      <w:r>
        <w:rPr/>
      </w:r>
    </w:p>
    <w:tbl>
      <w:tblPr>
        <w:tblW w:w="6654" w:type="dxa"/>
        <w:jc w:val="left"/>
        <w:tblInd w:w="0" w:type="dxa"/>
        <w:tblCellMar>
          <w:top w:w="28" w:type="dxa"/>
          <w:left w:w="28" w:type="dxa"/>
          <w:bottom w:w="28" w:type="dxa"/>
          <w:right w:w="28" w:type="dxa"/>
        </w:tblCellMar>
      </w:tblPr>
      <w:tblGrid>
        <w:gridCol w:w="645"/>
        <w:gridCol w:w="568"/>
        <w:gridCol w:w="571"/>
        <w:gridCol w:w="109"/>
        <w:gridCol w:w="109"/>
        <w:gridCol w:w="109"/>
        <w:gridCol w:w="134"/>
        <w:gridCol w:w="134"/>
        <w:gridCol w:w="136"/>
        <w:gridCol w:w="1208"/>
        <w:gridCol w:w="1208"/>
        <w:gridCol w:w="1723"/>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Sean Deason</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9"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Sean Deason</w:t>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ableContents"/>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hyperlink" Target="http://www.sec.gov/Archives/edgar/data/1735707/000119312521145249/d172869dex31.htm" TargetMode="External"/><Relationship Id="rId5" Type="http://schemas.openxmlformats.org/officeDocument/2006/relationships/hyperlink" Target="https://www.sec.gov/Archives/edgar/data/1735707/000173570722000042/exhibit3_1-exx31.htm" TargetMode="External"/><Relationship Id="rId6" Type="http://schemas.openxmlformats.org/officeDocument/2006/relationships/hyperlink" Target="https://www.sec.gov/Archives/edgar/data/1735707/000173570721000015/exhibit3_5-exx35.htm" TargetMode="External"/><Relationship Id="rId7" Type="http://schemas.openxmlformats.org/officeDocument/2006/relationships/hyperlink" Target="https://www.sec.gov/Archives/edgar/data/1735707/000095014223001084/eh230348725_ex1001.htm" TargetMode="External"/><Relationship Id="rId8" Type="http://schemas.openxmlformats.org/officeDocument/2006/relationships/hyperlink" Target="https://www.sec.gov/Archives/edgar/data/1735707/000095014223001084/eh230348725_ex100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16178</Words>
  <CharactersWithSpaces>103054</CharactersWithSpaces>
  <Paragraphs>2264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