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686435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711200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53"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14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880" w:hanging="488"/>
        <w:spacing w:after="0"/>
        <w:tabs>
          <w:tab w:leader="none" w:pos="8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82"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178"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0" w:lineRule="exact"/>
        <w:rPr>
          <w:sz w:val="24"/>
          <w:szCs w:val="24"/>
          <w:color w:val="auto"/>
        </w:rPr>
      </w:pPr>
    </w:p>
    <w:p>
      <w:pPr>
        <w:ind w:left="880" w:hanging="488"/>
        <w:spacing w:after="0"/>
        <w:tabs>
          <w:tab w:leader="none" w:pos="8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8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 to ______</w:t>
      </w:r>
    </w:p>
    <w:p>
      <w:pPr>
        <w:spacing w:after="0" w:line="114"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color w:val="222222"/>
        </w:rPr>
        <w:t>001-38636</w:t>
      </w:r>
    </w:p>
    <w:p>
      <w:pPr>
        <w:spacing w:after="0" w:line="3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15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41"/>
          <w:szCs w:val="41"/>
          <w:b w:val="1"/>
          <w:bCs w:val="1"/>
          <w:color w:val="auto"/>
        </w:rPr>
        <w:t>Garrett Motion Inc.</w:t>
      </w:r>
    </w:p>
    <w:p>
      <w:pPr>
        <w:spacing w:after="0" w:line="5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209" w:lineRule="exact"/>
        <w:rPr>
          <w:sz w:val="24"/>
          <w:szCs w:val="24"/>
          <w:color w:val="auto"/>
        </w:rPr>
      </w:pPr>
    </w:p>
    <w:tbl>
      <w:tblPr>
        <w:tblLayout w:type="fixed"/>
        <w:tblInd w:w="390" w:type="dxa"/>
        <w:tblCellMar>
          <w:top w:w="0" w:type="dxa"/>
          <w:left w:w="0" w:type="dxa"/>
          <w:bottom w:w="0" w:type="dxa"/>
          <w:right w:w="0" w:type="dxa"/>
        </w:tblCellMar>
      </w:tblPr>
      <w:tr>
        <w:trPr>
          <w:trHeight w:val="227"/>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tcPr>
          <w:p>
            <w:pPr>
              <w:jc w:val="right"/>
              <w:ind w:right="2125"/>
              <w:spacing w:after="0"/>
              <w:rPr>
                <w:sz w:val="20"/>
                <w:szCs w:val="20"/>
                <w:color w:val="auto"/>
              </w:rPr>
            </w:pPr>
            <w:r>
              <w:rPr>
                <w:rFonts w:ascii="Times New Roman" w:cs="Times New Roman" w:eastAsia="Times New Roman" w:hAnsi="Times New Roman"/>
                <w:sz w:val="17"/>
                <w:szCs w:val="17"/>
                <w:b w:val="1"/>
                <w:bCs w:val="1"/>
                <w:color w:val="auto"/>
              </w:rPr>
              <w:t>82-4873189</w:t>
            </w:r>
          </w:p>
        </w:tc>
      </w:tr>
      <w:tr>
        <w:trPr>
          <w:trHeight w:val="138"/>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20" w:type="dxa"/>
            <w:vAlign w:val="bottom"/>
          </w:tcPr>
          <w:p>
            <w:pPr>
              <w:jc w:val="center"/>
              <w:ind w:right="1425"/>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90"/>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7"/>
                <w:szCs w:val="17"/>
                <w:b w:val="1"/>
                <w:bCs w:val="1"/>
                <w:color w:val="auto"/>
              </w:rPr>
              <w:t>La Pièce 16, Rolle, Switzerland</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jc w:val="right"/>
              <w:ind w:right="2365"/>
              <w:spacing w:after="0"/>
              <w:rPr>
                <w:sz w:val="20"/>
                <w:szCs w:val="20"/>
                <w:color w:val="auto"/>
              </w:rPr>
            </w:pPr>
            <w:r>
              <w:rPr>
                <w:rFonts w:ascii="Times New Roman" w:cs="Times New Roman" w:eastAsia="Times New Roman" w:hAnsi="Times New Roman"/>
                <w:sz w:val="17"/>
                <w:szCs w:val="17"/>
                <w:b w:val="1"/>
                <w:bCs w:val="1"/>
                <w:color w:val="auto"/>
              </w:rPr>
              <w:t>1180</w:t>
            </w:r>
          </w:p>
        </w:tc>
      </w:tr>
      <w:tr>
        <w:trPr>
          <w:trHeight w:val="177"/>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20" w:type="dxa"/>
            <w:vAlign w:val="bottom"/>
          </w:tcPr>
          <w:p>
            <w:pPr>
              <w:jc w:val="center"/>
              <w:ind w:right="1445"/>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473"/>
        </w:trPr>
        <w:tc>
          <w:tcPr>
            <w:tcW w:w="4440" w:type="dxa"/>
            <w:vAlign w:val="bottom"/>
          </w:tcPr>
          <w:p>
            <w:pPr>
              <w:spacing w:after="0"/>
              <w:rPr>
                <w:sz w:val="24"/>
                <w:szCs w:val="24"/>
                <w:color w:val="auto"/>
              </w:rPr>
            </w:pPr>
          </w:p>
        </w:tc>
        <w:tc>
          <w:tcPr>
            <w:tcW w:w="2380" w:type="dxa"/>
            <w:vAlign w:val="bottom"/>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+41 21 695 30 00</w:t>
            </w: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9"/>
        </w:trPr>
        <w:tc>
          <w:tcPr>
            <w:tcW w:w="7240" w:type="dxa"/>
            <w:vAlign w:val="bottom"/>
            <w:gridSpan w:val="3"/>
          </w:tcPr>
          <w:p>
            <w:pPr>
              <w:jc w:val="center"/>
              <w:ind w:left="354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3720" w:type="dxa"/>
            <w:vAlign w:val="bottom"/>
          </w:tcPr>
          <w:p>
            <w:pPr>
              <w:spacing w:after="0"/>
              <w:rPr>
                <w:sz w:val="13"/>
                <w:szCs w:val="13"/>
                <w:color w:val="auto"/>
              </w:rPr>
            </w:pPr>
          </w:p>
        </w:tc>
      </w:tr>
      <w:tr>
        <w:trPr>
          <w:trHeight w:val="369"/>
        </w:trPr>
        <w:tc>
          <w:tcPr>
            <w:tcW w:w="4440" w:type="dxa"/>
            <w:vAlign w:val="bottom"/>
          </w:tcPr>
          <w:p>
            <w:pPr>
              <w:spacing w:after="0"/>
              <w:rPr>
                <w:sz w:val="24"/>
                <w:szCs w:val="24"/>
                <w:color w:val="auto"/>
              </w:rPr>
            </w:pPr>
          </w:p>
        </w:tc>
        <w:tc>
          <w:tcPr>
            <w:tcW w:w="28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N/A</w:t>
            </w:r>
          </w:p>
        </w:tc>
        <w:tc>
          <w:tcPr>
            <w:tcW w:w="3720" w:type="dxa"/>
            <w:vAlign w:val="bottom"/>
          </w:tcPr>
          <w:p>
            <w:pPr>
              <w:spacing w:after="0"/>
              <w:rPr>
                <w:sz w:val="24"/>
                <w:szCs w:val="24"/>
                <w:color w:val="auto"/>
              </w:rPr>
            </w:pPr>
          </w:p>
        </w:tc>
      </w:tr>
      <w:tr>
        <w:trPr>
          <w:trHeight w:val="142"/>
        </w:trPr>
        <w:tc>
          <w:tcPr>
            <w:tcW w:w="7240" w:type="dxa"/>
            <w:vAlign w:val="bottom"/>
            <w:gridSpan w:val="3"/>
          </w:tcPr>
          <w:p>
            <w:pPr>
              <w:jc w:val="center"/>
              <w:ind w:left="3546"/>
              <w:spacing w:after="0"/>
              <w:rPr>
                <w:sz w:val="20"/>
                <w:szCs w:val="20"/>
                <w:color w:val="auto"/>
              </w:rPr>
            </w:pPr>
            <w:r>
              <w:rPr>
                <w:rFonts w:ascii="Times New Roman" w:cs="Times New Roman" w:eastAsia="Times New Roman" w:hAnsi="Times New Roman"/>
                <w:sz w:val="12"/>
                <w:szCs w:val="12"/>
                <w:b w:val="1"/>
                <w:bCs w:val="1"/>
                <w:color w:val="auto"/>
                <w:w w:val="99"/>
              </w:rPr>
              <w:t>(Former Name, Former Address and Former Fiscal Year,</w:t>
            </w:r>
          </w:p>
        </w:tc>
        <w:tc>
          <w:tcPr>
            <w:tcW w:w="3720" w:type="dxa"/>
            <w:vAlign w:val="bottom"/>
          </w:tcPr>
          <w:p>
            <w:pPr>
              <w:spacing w:after="0"/>
              <w:rPr>
                <w:sz w:val="12"/>
                <w:szCs w:val="12"/>
                <w:color w:val="auto"/>
              </w:rPr>
            </w:pPr>
          </w:p>
        </w:tc>
      </w:tr>
      <w:tr>
        <w:trPr>
          <w:trHeight w:val="159"/>
        </w:trPr>
        <w:tc>
          <w:tcPr>
            <w:tcW w:w="4440" w:type="dxa"/>
            <w:vAlign w:val="bottom"/>
          </w:tcPr>
          <w:p>
            <w:pPr>
              <w:spacing w:after="0"/>
              <w:rPr>
                <w:sz w:val="13"/>
                <w:szCs w:val="13"/>
                <w:color w:val="auto"/>
              </w:rPr>
            </w:pPr>
          </w:p>
        </w:tc>
        <w:tc>
          <w:tcPr>
            <w:tcW w:w="280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if Changed Since Last Report)</w:t>
            </w:r>
          </w:p>
        </w:tc>
        <w:tc>
          <w:tcPr>
            <w:tcW w:w="3720" w:type="dxa"/>
            <w:vAlign w:val="bottom"/>
          </w:tcPr>
          <w:p>
            <w:pPr>
              <w:spacing w:after="0"/>
              <w:rPr>
                <w:sz w:val="13"/>
                <w:szCs w:val="13"/>
                <w:color w:val="auto"/>
              </w:rPr>
            </w:pPr>
          </w:p>
        </w:tc>
      </w:tr>
      <w:tr>
        <w:trPr>
          <w:trHeight w:val="371"/>
        </w:trPr>
        <w:tc>
          <w:tcPr>
            <w:tcW w:w="4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86"/>
        </w:trPr>
        <w:tc>
          <w:tcPr>
            <w:tcW w:w="44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r>
      <w:tr>
        <w:trPr>
          <w:trHeight w:val="197"/>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20" w:type="dxa"/>
            <w:vAlign w:val="bottom"/>
          </w:tcPr>
          <w:p>
            <w:pPr>
              <w:spacing w:after="0"/>
              <w:rPr>
                <w:sz w:val="17"/>
                <w:szCs w:val="17"/>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8"/>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2"/>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GTX</w:t>
            </w:r>
          </w:p>
        </w:tc>
        <w:tc>
          <w:tcPr>
            <w:tcW w:w="4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02"/>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Series A Cumulative Convertible Preferred Stock, par value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GTXAP</w:t>
            </w:r>
          </w:p>
        </w:tc>
        <w:tc>
          <w:tcPr>
            <w:tcW w:w="420" w:type="dxa"/>
            <w:vAlign w:val="bottom"/>
          </w:tcPr>
          <w:p>
            <w:pPr>
              <w:spacing w:after="0"/>
              <w:rPr>
                <w:sz w:val="17"/>
                <w:szCs w:val="17"/>
                <w:color w:val="auto"/>
              </w:rPr>
            </w:pPr>
          </w:p>
        </w:tc>
        <w:tc>
          <w:tcPr>
            <w:tcW w:w="3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$0.001 per share</w:t>
            </w:r>
          </w:p>
        </w:tc>
        <w:tc>
          <w:tcPr>
            <w:tcW w:w="238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bl>
    <w:p>
      <w:pPr>
        <w:spacing w:after="0" w:line="246" w:lineRule="exact"/>
        <w:rPr>
          <w:sz w:val="24"/>
          <w:szCs w:val="24"/>
          <w:color w:val="auto"/>
        </w:rPr>
      </w:pPr>
    </w:p>
    <w:p>
      <w:pPr>
        <w:ind w:right="240" w:firstLine="371"/>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30" w:lineRule="exact"/>
        <w:rPr>
          <w:sz w:val="24"/>
          <w:szCs w:val="24"/>
          <w:color w:val="auto"/>
        </w:rPr>
      </w:pPr>
    </w:p>
    <w:p>
      <w:pPr>
        <w:ind w:right="460" w:firstLine="371"/>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30" w:lineRule="exact"/>
        <w:rPr>
          <w:sz w:val="24"/>
          <w:szCs w:val="24"/>
          <w:color w:val="auto"/>
        </w:rPr>
      </w:pPr>
    </w:p>
    <w:p>
      <w:pPr>
        <w:jc w:val="both"/>
        <w:ind w:right="420" w:firstLine="387"/>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400" w:type="dxa"/>
        <w:tblCellMar>
          <w:top w:w="0" w:type="dxa"/>
          <w:left w:w="0" w:type="dxa"/>
          <w:bottom w:w="0" w:type="dxa"/>
          <w:right w:w="0" w:type="dxa"/>
        </w:tblCellMar>
      </w:tblPr>
      <w:tr>
        <w:trPr>
          <w:trHeight w:val="24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Accelerated filer</w:t>
            </w:r>
          </w:p>
        </w:tc>
      </w:tr>
      <w:tr>
        <w:trPr>
          <w:trHeight w:val="37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Smaller reporting company</w:t>
            </w:r>
          </w:p>
        </w:tc>
      </w:tr>
      <w:tr>
        <w:trPr>
          <w:trHeight w:val="37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spacing w:after="0"/>
              <w:rPr>
                <w:sz w:val="24"/>
                <w:szCs w:val="24"/>
                <w:color w:val="auto"/>
              </w:rPr>
            </w:pPr>
          </w:p>
        </w:tc>
      </w:tr>
    </w:tbl>
    <w:p>
      <w:pPr>
        <w:spacing w:after="0" w:line="259" w:lineRule="exact"/>
        <w:rPr>
          <w:sz w:val="24"/>
          <w:szCs w:val="24"/>
          <w:color w:val="auto"/>
        </w:rPr>
      </w:pPr>
    </w:p>
    <w:p>
      <w:pPr>
        <w:ind w:right="200" w:firstLine="387"/>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18" w:lineRule="exact"/>
        <w:rPr>
          <w:sz w:val="24"/>
          <w:szCs w:val="24"/>
          <w:color w:val="auto"/>
        </w:rPr>
      </w:pPr>
    </w:p>
    <w:p>
      <w:pPr>
        <w:ind w:left="3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1" w:lineRule="exact"/>
        <w:rPr>
          <w:sz w:val="24"/>
          <w:szCs w:val="24"/>
          <w:color w:val="auto"/>
        </w:rPr>
      </w:pPr>
    </w:p>
    <w:p>
      <w:pPr>
        <w:ind w:right="520" w:firstLine="371"/>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5"/>
          <w:szCs w:val="15"/>
          <w:color w:val="auto"/>
        </w:rPr>
        <w:t>As of July 22, 2022, the registrant had 64,804,160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wp:posOffset>
            </wp:positionH>
            <wp:positionV relativeFrom="paragraph">
              <wp:posOffset>160020</wp:posOffset>
            </wp:positionV>
            <wp:extent cx="696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184785</wp:posOffset>
            </wp:positionV>
            <wp:extent cx="6961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1505" cy="8255"/>
                    </a:xfrm>
                    <a:prstGeom prst="rect">
                      <a:avLst/>
                    </a:prstGeom>
                    <a:noFill/>
                  </pic:spPr>
                </pic:pic>
              </a:graphicData>
            </a:graphic>
          </wp:anchor>
        </w:drawing>
      </w:r>
    </w:p>
    <w:p>
      <w:pPr>
        <w:sectPr>
          <w:pgSz w:w="11900" w:h="16838" w:orient="portrait"/>
          <w:cols w:equalWidth="0" w:num="1">
            <w:col w:w="11340"/>
          </w:cols>
          <w:pgMar w:left="320" w:top="1203" w:right="239" w:bottom="43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330200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140" w:type="dxa"/>
            <w:vAlign w:val="bottom"/>
            <w:gridSpan w:val="13"/>
          </w:tcPr>
          <w:p>
            <w:pPr>
              <w:ind w:left="96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431"/>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3"/>
        </w:trPr>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PART I.</w:t>
            </w:r>
          </w:p>
        </w:tc>
        <w:tc>
          <w:tcPr>
            <w:tcW w:w="216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7"/>
                <w:szCs w:val="17"/>
                <w:color w:val="0000FF"/>
                <w:w w:val="99"/>
              </w:rPr>
              <w:t>FINANCIAL INFORMATION</w:t>
            </w:r>
          </w:p>
        </w:tc>
        <w:tc>
          <w:tcPr>
            <w:tcW w:w="7280" w:type="dxa"/>
            <w:vAlign w:val="bottom"/>
            <w:gridSpan w:val="15"/>
          </w:tcPr>
          <w:p>
            <w:pPr>
              <w:spacing w:after="0"/>
              <w:rPr>
                <w:sz w:val="16"/>
                <w:szCs w:val="16"/>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Consolidated Interim Statements of Operations (Unaudited)</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Consolidated Interim Statements of Comprehensive Income (Unaudited)</w:t>
            </w:r>
          </w:p>
        </w:tc>
        <w:tc>
          <w:tcPr>
            <w:tcW w:w="4440" w:type="dxa"/>
            <w:vAlign w:val="bottom"/>
            <w:gridSpan w:val="3"/>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Consolidated Interim Balance Sheets (Unaudited)</w:t>
            </w:r>
          </w:p>
        </w:tc>
        <w:tc>
          <w:tcPr>
            <w:tcW w:w="6020" w:type="dxa"/>
            <w:vAlign w:val="bottom"/>
            <w:gridSpan w:val="12"/>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Interim Statements of Cash Flows (Unaudited)</w:t>
            </w:r>
          </w:p>
        </w:tc>
        <w:tc>
          <w:tcPr>
            <w:tcW w:w="5240" w:type="dxa"/>
            <w:vAlign w:val="bottom"/>
            <w:gridSpan w:val="6"/>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Consolidated Interim Statements of Equity (Deficit) (Unaudited)</w:t>
            </w: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 xml:space="preserve">Notes to Consolidated Interim Financial Statements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Unaudited</w:t>
            </w:r>
            <w:r>
              <w:rPr>
                <w:rFonts w:ascii="Times New Roman" w:cs="Times New Roman" w:eastAsia="Times New Roman" w:hAnsi="Times New Roman"/>
                <w:sz w:val="17"/>
                <w:szCs w:val="17"/>
                <w:color w:val="000000"/>
              </w:rPr>
              <w:t>)</w:t>
            </w:r>
          </w:p>
        </w:tc>
        <w:tc>
          <w:tcPr>
            <w:tcW w:w="5000" w:type="dxa"/>
            <w:vAlign w:val="bottom"/>
            <w:gridSpan w:val="4"/>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5"/>
          </w:tcPr>
          <w:p>
            <w:pPr>
              <w:spacing w:after="0"/>
              <w:rPr>
                <w:sz w:val="19"/>
                <w:szCs w:val="19"/>
                <w:color w:val="auto"/>
              </w:rPr>
            </w:pPr>
          </w:p>
        </w:tc>
        <w:tc>
          <w:tcPr>
            <w:tcW w:w="3280" w:type="dxa"/>
            <w:vAlign w:val="bottom"/>
            <w:gridSpan w:val="2"/>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740" w:type="dxa"/>
            <w:vAlign w:val="bottom"/>
            <w:gridSpan w:val="17"/>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640" w:type="dxa"/>
            <w:vAlign w:val="bottom"/>
            <w:gridSpan w:val="16"/>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8160" w:type="dxa"/>
            <w:vAlign w:val="bottom"/>
            <w:gridSpan w:val="19"/>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4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280" w:type="dxa"/>
            <w:vAlign w:val="bottom"/>
            <w:gridSpan w:val="8"/>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7220" w:type="dxa"/>
            <w:vAlign w:val="bottom"/>
            <w:gridSpan w:val="14"/>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20" w:type="dxa"/>
            <w:vAlign w:val="bottom"/>
            <w:tcBorders>
              <w:top w:val="single" w:sz="8" w:color="0000FF"/>
            </w:tcBorders>
            <w:gridSpan w:val="2"/>
          </w:tcPr>
          <w:p>
            <w:pPr>
              <w:spacing w:after="0"/>
              <w:rPr>
                <w:sz w:val="19"/>
                <w:szCs w:val="19"/>
                <w:color w:val="auto"/>
              </w:rPr>
            </w:pPr>
          </w:p>
        </w:tc>
        <w:tc>
          <w:tcPr>
            <w:tcW w:w="7760" w:type="dxa"/>
            <w:vAlign w:val="bottom"/>
            <w:gridSpan w:val="18"/>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Exhibits</w:t>
            </w:r>
          </w:p>
        </w:tc>
      </w:tr>
      <w:tr>
        <w:trPr>
          <w:trHeight w:val="225"/>
        </w:trPr>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7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62865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720" w:top="893" w:right="239" w:bottom="1440" w:gutter="0" w:footer="0" w:header="0"/>
        </w:sectPr>
      </w:pPr>
    </w:p>
    <w:bookmarkStart w:id="3" w:name="page4"/>
    <w:bookmarkEnd w:id="3"/>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9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OPERATIONS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82"/>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35"/>
        </w:trPr>
        <w:tc>
          <w:tcPr>
            <w:tcW w:w="46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sales (Note 3)</w:t>
            </w: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1,932</w:t>
            </w:r>
          </w:p>
        </w:tc>
      </w:tr>
      <w:tr>
        <w:trPr>
          <w:trHeight w:val="239"/>
        </w:trPr>
        <w:tc>
          <w:tcPr>
            <w:tcW w:w="4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r>
      <w:tr>
        <w:trPr>
          <w:trHeight w:val="24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Non-operating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items, net (Note 1)</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3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4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(Note 5)</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4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preferred stock dividend (Note 17)</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available for distribution</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6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0.95</w:t>
            </w:r>
          </w:p>
        </w:tc>
      </w:tr>
      <w:tr>
        <w:trPr>
          <w:trHeight w:val="264"/>
        </w:trPr>
        <w:tc>
          <w:tcPr>
            <w:tcW w:w="4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64,839,157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69,667,651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64,689,673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72,862,102</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65,102,162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317,436,613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64,907,289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320,631,084</w:t>
            </w:r>
          </w:p>
        </w:tc>
      </w:tr>
    </w:tbl>
    <w:p>
      <w:pPr>
        <w:spacing w:after="0" w:line="2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COMPREHENSIVE INCOME</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4"/>
                <w:szCs w:val="14"/>
                <w:color w:val="auto"/>
              </w:rPr>
            </w:pPr>
          </w:p>
        </w:tc>
      </w:tr>
      <w:tr>
        <w:trPr>
          <w:trHeight w:val="182"/>
        </w:trPr>
        <w:tc>
          <w:tcPr>
            <w:tcW w:w="4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r>
      <w:tr>
        <w:trPr>
          <w:trHeight w:val="22"/>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4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4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translation adjustment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of effective cash flow hedges, net of tax (Note</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15)</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of net investment hedges, net of tax (Note 15)</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 net of tax</w:t>
            </w: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2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5"/>
        </w:trPr>
        <w:tc>
          <w:tcPr>
            <w:tcW w:w="4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BALANCE SHEETS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7980" w:type="dxa"/>
            <w:vAlign w:val="bottom"/>
          </w:tcPr>
          <w:p>
            <w:pPr>
              <w:spacing w:after="0"/>
              <w:rPr>
                <w:sz w:val="15"/>
                <w:szCs w:val="15"/>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notes and other receivables – net (Note 6)</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 – net (Note 8)</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2"/>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Investments and long-term receivables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 net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assets (Note 9)</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2"/>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 (Note 13)</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Mandatorily redeemable Series B Preferred Stock (Note 14)</w:t>
            </w: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9"/>
        </w:trPr>
        <w:tc>
          <w:tcPr>
            <w:tcW w:w="79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Accrued liabilities (Note 10)</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44"/>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(Note 13)</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Mandatorily redeemable Series B Preferred Stock – long-term (Note 14)</w:t>
            </w: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liabilities (Note 11)</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3,174</w:t>
            </w:r>
          </w:p>
        </w:tc>
        <w:tc>
          <w:tcPr>
            <w:tcW w:w="0" w:type="dxa"/>
            <w:vAlign w:val="bottom"/>
          </w:tcPr>
          <w:p>
            <w:pPr>
              <w:spacing w:after="0"/>
              <w:rPr>
                <w:sz w:val="1"/>
                <w:szCs w:val="1"/>
                <w:color w:val="auto"/>
              </w:rPr>
            </w:pPr>
          </w:p>
        </w:tc>
      </w:tr>
      <w:tr>
        <w:trPr>
          <w:trHeight w:val="244"/>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(Note 19)</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Series A Preferred Stock, par value $0.001; 245,594,670 and 245,921,617 shares issued and outstanding as of</w:t>
            </w:r>
          </w:p>
        </w:tc>
        <w:tc>
          <w:tcPr>
            <w:tcW w:w="1040" w:type="dxa"/>
            <w:vAlign w:val="bottom"/>
            <w:vMerge w:val="restart"/>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1040" w:type="dxa"/>
            <w:vAlign w:val="bottom"/>
            <w:vMerge w:val="continue"/>
            <w:shd w:val="clear" w:color="auto" w:fill="CFF0FC"/>
          </w:tcPr>
          <w:p>
            <w:pPr>
              <w:spacing w:after="0"/>
              <w:rPr>
                <w:sz w:val="19"/>
                <w:szCs w:val="19"/>
                <w:color w:val="auto"/>
              </w:rPr>
            </w:pPr>
          </w:p>
        </w:tc>
        <w:tc>
          <w:tcPr>
            <w:tcW w:w="64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par value $0.001; 1,000,000,000 and 1,000,000,000 shares authorized, 64,906,270 and 64,570,950</w:t>
            </w:r>
          </w:p>
        </w:tc>
        <w:tc>
          <w:tcPr>
            <w:tcW w:w="1040" w:type="dxa"/>
            <w:vAlign w:val="bottom"/>
          </w:tcPr>
          <w:p>
            <w:pPr>
              <w:spacing w:after="0"/>
              <w:rPr>
                <w:sz w:val="18"/>
                <w:szCs w:val="18"/>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issued and 64,804,051 and 64,570,950 outstanding as of June 30, 2022 and December 31, 2021, respectively</w:t>
            </w:r>
          </w:p>
        </w:tc>
        <w:tc>
          <w:tcPr>
            <w:tcW w:w="10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Retained deficit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 (loss) (Note 16)</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 deficit</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 and deficit</w:t>
            </w:r>
          </w:p>
        </w:tc>
        <w:tc>
          <w:tcPr>
            <w:tcW w:w="1040" w:type="dxa"/>
            <w:vAlign w:val="bottom"/>
            <w:tcBorders>
              <w:bottom w:val="single" w:sz="8" w:color="auto"/>
            </w:tcBorders>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CASH FLOWS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51"/>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for) operating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51"/>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51"/>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Amortization of deferred issuance costs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payments, net of debt discount accretion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exchange gain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Pension expense</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derivatives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notes and other receivables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3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Obligations payable to Honeywell</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39"/>
        </w:trPr>
        <w:tc>
          <w:tcPr>
            <w:tcW w:w="8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4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for) operating activities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Expenditures for property, plant and equipment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5"/>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Series A Preferred Stock</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long-term debt, net of deferred financing costs</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long-term debt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revolving credit facility</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debtor-in-possession financing</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Redemption of Series B Preferred stock</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for Cash-Out election</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share repurchases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financing costs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for) provided by financing activities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the period</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the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disclosure: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paid</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3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Reorganization items paid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5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Issuance of Series B Preferred Stock</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4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EQUITY (DEFICIT)</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8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940" w:type="dxa"/>
            <w:vAlign w:val="bottom"/>
          </w:tcPr>
          <w:p>
            <w:pPr>
              <w:spacing w:after="0"/>
              <w:rPr>
                <w:sz w:val="5"/>
                <w:szCs w:val="5"/>
                <w:color w:val="auto"/>
              </w:rPr>
            </w:pPr>
          </w:p>
        </w:tc>
        <w:tc>
          <w:tcPr>
            <w:tcW w:w="18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7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720" w:type="dxa"/>
            <w:vAlign w:val="bottom"/>
            <w:vMerge w:val="restart"/>
          </w:tcPr>
          <w:p>
            <w:pPr>
              <w:jc w:val="center"/>
              <w:ind w:right="97"/>
              <w:spacing w:after="0" w:line="12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(Loss)/Income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center"/>
              <w:ind w:left="437"/>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1"/>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FF0FC"/>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March 31, 2021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center"/>
              <w:ind w:left="437"/>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51"/>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Cash-out election</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center"/>
              <w:ind w:left="417"/>
              <w:spacing w:after="0"/>
              <w:rPr>
                <w:sz w:val="20"/>
                <w:szCs w:val="20"/>
                <w:color w:val="auto"/>
              </w:rPr>
            </w:pPr>
            <w:r>
              <w:rPr>
                <w:rFonts w:ascii="Times New Roman" w:cs="Times New Roman" w:eastAsia="Times New Roman" w:hAnsi="Times New Roman"/>
                <w:sz w:val="17"/>
                <w:szCs w:val="17"/>
                <w:color w:val="auto"/>
                <w:w w:val="98"/>
              </w:rPr>
              <w:t>(11)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Series A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51"/>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FF0FC"/>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8"/>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center"/>
              <w:ind w:left="437"/>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940" w:type="dxa"/>
            <w:vAlign w:val="bottom"/>
          </w:tcPr>
          <w:p>
            <w:pPr>
              <w:spacing w:after="0"/>
              <w:rPr>
                <w:sz w:val="24"/>
                <w:szCs w:val="24"/>
                <w:color w:val="auto"/>
              </w:rPr>
            </w:pPr>
          </w:p>
        </w:tc>
        <w:tc>
          <w:tcPr>
            <w:tcW w:w="18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940" w:type="dxa"/>
            <w:vAlign w:val="bottom"/>
          </w:tcPr>
          <w:p>
            <w:pPr>
              <w:spacing w:after="0"/>
              <w:rPr>
                <w:sz w:val="5"/>
                <w:szCs w:val="5"/>
                <w:color w:val="auto"/>
              </w:rPr>
            </w:pPr>
          </w:p>
        </w:tc>
        <w:tc>
          <w:tcPr>
            <w:tcW w:w="18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7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720" w:type="dxa"/>
            <w:vAlign w:val="bottom"/>
            <w:vMerge w:val="restart"/>
          </w:tcPr>
          <w:p>
            <w:pPr>
              <w:jc w:val="center"/>
              <w:ind w:right="97"/>
              <w:spacing w:after="0" w:line="12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(Loss)/Income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1"/>
        </w:trPr>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center"/>
              <w:ind w:left="437"/>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repurchases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4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center"/>
              <w:ind w:left="437"/>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repurchases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center"/>
              <w:ind w:left="437"/>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231F20"/>
        </w:rPr>
        <w:t>The Notes to the Consolidated Interim Financial Statements are an integral part of this statement.</w:t>
      </w:r>
    </w:p>
    <w:p>
      <w:pPr>
        <w:spacing w:after="0" w:line="3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893" w:right="839" w:bottom="1440" w:gutter="0" w:footer="0" w:header="0"/>
        </w:sectPr>
      </w:pPr>
    </w:p>
    <w:bookmarkStart w:id="8" w:name="page9"/>
    <w:bookmarkEnd w:id="8"/>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Background and Basis of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Background</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Garrett Motion Inc., (the “Company” or “Garrett”)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 trains. These products are key enablers for fuel economy and emission standards compliance.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84"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2021 included in our Annual Report on Form 10-K, as filed with the Securities and Exchange Commission on February 14, 2022 (our “2021 Form 10-K”). The results of operations for the three and six months ended June 30, 2022 and cash flows for the six months ended June 30, 2022 should not necessarily be taken as indicative of the entire year. All amounts presented are in millions, except per share amounts.</w:t>
      </w:r>
    </w:p>
    <w:p>
      <w:pPr>
        <w:spacing w:after="0" w:line="13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have been adjusted for the three months ended June 30, 2022. Our actual closing dates for the three months ended June 30, 2022 and 2021 were July 2, 2022 and July 3, 2021, respectively.</w:t>
      </w:r>
    </w:p>
    <w:p>
      <w:pPr>
        <w:spacing w:after="0" w:line="149"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including considerations for the impact of the outbreak of the COVID-19 pandemic on the Company's business due to various global macroeconomic, operational and supply-chain risks as a result of COVID-19. Actual results could differ from the original estimates, requiring adjustments to these balances in future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Voluntary Filing Under Chapter 11</w:t>
      </w:r>
    </w:p>
    <w:p>
      <w:pPr>
        <w:spacing w:after="0" w:line="184"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On September 20, 2020 (the “Petition Date”), the Company and certain of its subsidiaries (collectively, the “Debtors”) each filed a voluntary petition for relief under chapter 11 of title 11 of the United States Code in the United States Bankruptcy Court for the Southern District of New York (the “Bankruptcy Court”). The Debtors’ chapter 11 cases (the “Chapter 11 Cases”) were jointly administered under the caption “In re: Garrett Motion Inc., 20-12212.” On April 20, 2021, the Debtors filed the Revised Amended Plan of Reorganization (the “Plan”). On April 26, 2021, the Bankruptcy Court entered an order among other things, confirming the Plan. On April 30, 2021 (the “Effective Date”), the conditions to the effectiveness of the Plan were satisfied or waived and the Company emerged from bankruptcy (“Emergence”).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Emergence from Chapter 11</w:t>
      </w:r>
    </w:p>
    <w:p>
      <w:pPr>
        <w:spacing w:after="0" w:line="184"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Upon Emergence or shortly thereafter, amounts recorded as liabilities subject to compromise were either settled, or such amounts have been reinstated to current or non-current liabilities in the Consolidated Interim Balance Sheet, based upon management’s judgment as to the timing for settlement of such claims.</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ind w:firstLine="371"/>
        <w:spacing w:after="0" w:line="287" w:lineRule="auto"/>
        <w:rPr>
          <w:sz w:val="20"/>
          <w:szCs w:val="20"/>
          <w:color w:val="auto"/>
        </w:rPr>
      </w:pPr>
      <w:r>
        <w:rPr>
          <w:rFonts w:ascii="Times New Roman" w:cs="Times New Roman" w:eastAsia="Times New Roman" w:hAnsi="Times New Roman"/>
          <w:sz w:val="17"/>
          <w:szCs w:val="17"/>
          <w:color w:val="auto"/>
        </w:rPr>
        <w:t>Reorganization items, net represent amounts incurred after the Petition Date as a direct result of the Chapter 11 Cases and are comprised of the following for the three and six months ended June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35"/>
        </w:trPr>
        <w:tc>
          <w:tcPr>
            <w:tcW w:w="46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8"/>
        </w:trPr>
        <w:tc>
          <w:tcPr>
            <w:tcW w:w="466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17"/>
                <w:szCs w:val="17"/>
                <w:color w:val="auto"/>
              </w:rPr>
              <w:t>Gain on settlement of Honeywell claims</w:t>
            </w:r>
            <w:r>
              <w:rPr>
                <w:rFonts w:ascii="Times New Roman" w:cs="Times New Roman" w:eastAsia="Times New Roman" w:hAnsi="Times New Roman"/>
                <w:sz w:val="26"/>
                <w:szCs w:val="26"/>
                <w:color w:val="auto"/>
                <w:vertAlign w:val="superscript"/>
              </w:rPr>
              <w:t>(1)</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Advisor fees</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Bid termination and expense reimbursement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 and officers insurance</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4"/>
        </w:trPr>
        <w:tc>
          <w:tcPr>
            <w:tcW w:w="466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7"/>
                <w:szCs w:val="17"/>
                <w:color w:val="auto"/>
              </w:rPr>
              <w:t>Expenses related to Senior Notes</w:t>
            </w:r>
            <w:r>
              <w:rPr>
                <w:rFonts w:ascii="Times New Roman" w:cs="Times New Roman" w:eastAsia="Times New Roman" w:hAnsi="Times New Roman"/>
                <w:sz w:val="26"/>
                <w:szCs w:val="26"/>
                <w:color w:val="auto"/>
                <w:vertAlign w:val="superscript"/>
              </w:rPr>
              <w:t>(2)</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 off pre-petition debt issuance cost</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Employee stock cash out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Debtor in Possession ("DIP") financing fees</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reorganization items, net</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left="620" w:hanging="307"/>
        <w:spacing w:after="0" w:line="270" w:lineRule="auto"/>
        <w:tabs>
          <w:tab w:leader="none" w:pos="87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on settlement of Honeywell claims of $502 million is comprised of the pre-emergence Honeywell claims of $1,459 million, less the $375 million payment to Honeywell, less the Series B Preferred Stock issued to Honeywell which was recorded at $577 million, less a currency translation adjustment of $5 million.</w:t>
      </w:r>
    </w:p>
    <w:p>
      <w:pPr>
        <w:spacing w:after="0" w:line="12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7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 million in connection with a complaint in the Bankruptcy Court against the trustee of the indenture governing the Company's previously-issued 5.125% senior notes due 2026, and $13 million related to post-petition interest thereon. The obligations of the Debtors under the indenture were canceled at Emergence.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accounting policies of the Company are set forth in Note 3 to the Consolidated Financial Statements for the year ended December 31, 2021 included in our 2021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80" w:lineRule="exact"/>
        <w:rPr>
          <w:sz w:val="20"/>
          <w:szCs w:val="20"/>
          <w:color w:val="auto"/>
        </w:rPr>
      </w:pPr>
    </w:p>
    <w:p>
      <w:pPr>
        <w:jc w:val="both"/>
        <w:ind w:firstLine="371"/>
        <w:spacing w:after="0" w:line="266" w:lineRule="auto"/>
        <w:rPr>
          <w:sz w:val="20"/>
          <w:szCs w:val="20"/>
          <w:color w:val="auto"/>
        </w:rPr>
      </w:pPr>
      <w:r>
        <w:rPr>
          <w:rFonts w:ascii="Times New Roman" w:cs="Times New Roman" w:eastAsia="Times New Roman" w:hAnsi="Times New Roman"/>
          <w:sz w:val="17"/>
          <w:szCs w:val="17"/>
          <w:color w:val="auto"/>
        </w:rPr>
        <w:t xml:space="preserve">In November 2021, the Financial Accounting Standards Board (“FASB”) issued accounting standards update ("ASU") 2021-10, </w:t>
      </w:r>
      <w:r>
        <w:rPr>
          <w:rFonts w:ascii="Times New Roman" w:cs="Times New Roman" w:eastAsia="Times New Roman" w:hAnsi="Times New Roman"/>
          <w:sz w:val="17"/>
          <w:szCs w:val="17"/>
          <w:i w:val="1"/>
          <w:iCs w:val="1"/>
          <w:color w:val="auto"/>
        </w:rPr>
        <w:t>Government Assistance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832): Disclosures by Business Entities about Government Assistance</w:t>
      </w:r>
      <w:r>
        <w:rPr>
          <w:rFonts w:ascii="Times New Roman" w:cs="Times New Roman" w:eastAsia="Times New Roman" w:hAnsi="Times New Roman"/>
          <w:sz w:val="17"/>
          <w:szCs w:val="17"/>
          <w:color w:val="auto"/>
        </w:rPr>
        <w:t>. The amendments in this update increase the transparency surrounding government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assistance by requiring disclosure of 1) the types of assistance received, 2) an entity’s accounting for the assistance, and 3) the effect of the assistance on the entity’s financial statements. The update is effective for annual periods beginning after December 15, 2021. The Company adopted the new guidance as of January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1, 2022. The adoption did not have a material impact on our Consolidated Interim Financial Statements; however, the Company expects to increase its disclosures with respect to government assistance beginning with our Annual Report on Form 10-K for the year ended December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84"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We consider the applicability and impact of all recent ASU’s issued by the FASB. For the three and six months ended June 30, 2022, there were no recently issued, but not yet adopted accounting pronouncements that are expected to have a material impact on the Company’s Consolidated Interim Financial Statements and related disclosures.</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Note 3. Revenue Recognition and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Disaggregated Revenue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Net sales by region (determined based on country of shipment) and channel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OEM</w:t>
            </w:r>
          </w:p>
        </w:tc>
        <w:tc>
          <w:tcPr>
            <w:tcW w:w="12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OEM</w:t>
            </w:r>
          </w:p>
        </w:tc>
        <w:tc>
          <w:tcPr>
            <w:tcW w:w="10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5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63"/>
        </w:trPr>
        <w:tc>
          <w:tcPr>
            <w:tcW w:w="14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OEM</w:t>
            </w:r>
          </w:p>
        </w:tc>
        <w:tc>
          <w:tcPr>
            <w:tcW w:w="12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OEM</w:t>
            </w:r>
          </w:p>
        </w:tc>
        <w:tc>
          <w:tcPr>
            <w:tcW w:w="10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5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63"/>
        </w:trPr>
        <w:tc>
          <w:tcPr>
            <w:tcW w:w="14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contract assets and liabilities balances: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 assets—January 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9"/>
        </w:trPr>
        <w:tc>
          <w:tcPr>
            <w:tcW w:w="7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Contract assets—June 30</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contract assets—(Decrease)/Increase</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Contract liabilities—January 1</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vMerge w:val="continue"/>
          </w:tcPr>
          <w:p>
            <w:pPr>
              <w:spacing w:after="0"/>
              <w:rPr>
                <w:sz w:val="18"/>
                <w:szCs w:val="18"/>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 liabilities—June 30</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contract liabilities—(Increase)/Decrease</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Research, Development &amp; Engineering</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3"/>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9"/>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Engineering-related expenses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63"/>
        </w:trPr>
        <w:tc>
          <w:tcPr>
            <w:tcW w:w="46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r>
        <w:trPr>
          <w:trHeight w:val="610"/>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ind w:right="28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1"/>
        </w:trPr>
        <w:tc>
          <w:tcPr>
            <w:tcW w:w="4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Note 5. Income Taxes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gridSpan w:val="2"/>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r>
      <w:tr>
        <w:trPr>
          <w:trHeight w:val="182"/>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6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5"/>
                <w:szCs w:val="15"/>
                <w:color w:val="auto"/>
              </w:rPr>
            </w:pPr>
          </w:p>
        </w:tc>
        <w:tc>
          <w:tcPr>
            <w:tcW w:w="10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34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80" w:type="dxa"/>
            <w:vAlign w:val="bottom"/>
            <w:shd w:val="clear" w:color="auto" w:fill="CFF0FC"/>
          </w:tcPr>
          <w:p>
            <w:pPr>
              <w:jc w:val="right"/>
              <w:ind w:right="40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54</w:t>
            </w: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20" w:type="dxa"/>
            <w:vAlign w:val="bottom"/>
          </w:tcPr>
          <w:p>
            <w:pPr>
              <w:spacing w:after="0"/>
              <w:rPr>
                <w:sz w:val="20"/>
                <w:szCs w:val="20"/>
                <w:color w:val="auto"/>
              </w:rPr>
            </w:pPr>
          </w:p>
        </w:tc>
        <w:tc>
          <w:tcPr>
            <w:tcW w:w="1760" w:type="dxa"/>
            <w:vAlign w:val="bottom"/>
            <w:gridSpan w:val="2"/>
          </w:tcPr>
          <w:p>
            <w:pPr>
              <w:jc w:val="right"/>
              <w:ind w:right="1066"/>
              <w:spacing w:after="0"/>
              <w:rPr>
                <w:sz w:val="20"/>
                <w:szCs w:val="20"/>
                <w:color w:val="auto"/>
              </w:rPr>
            </w:pPr>
            <w:r>
              <w:rPr>
                <w:rFonts w:ascii="Times New Roman" w:cs="Times New Roman" w:eastAsia="Times New Roman" w:hAnsi="Times New Roman"/>
                <w:sz w:val="17"/>
                <w:szCs w:val="17"/>
                <w:color w:val="auto"/>
              </w:rPr>
              <w:t>19.0 %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2"/>
          </w:tcPr>
          <w:p>
            <w:pPr>
              <w:jc w:val="right"/>
              <w:ind w:right="623"/>
              <w:spacing w:after="0"/>
              <w:rPr>
                <w:sz w:val="20"/>
                <w:szCs w:val="20"/>
                <w:color w:val="auto"/>
              </w:rPr>
            </w:pPr>
            <w:r>
              <w:rPr>
                <w:rFonts w:ascii="Times New Roman" w:cs="Times New Roman" w:eastAsia="Times New Roman" w:hAnsi="Times New Roman"/>
                <w:sz w:val="17"/>
                <w:szCs w:val="17"/>
                <w:color w:val="auto"/>
              </w:rPr>
              <w:t>24.8 %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r>
    </w:tbl>
    <w:p>
      <w:pPr>
        <w:spacing w:after="0" w:line="305"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The increases in the effective tax rate for the three months and six months ended June 30, 2022 compared to the prior year periods are primarily related to the nontaxable gain on the settlement of the Honeywell claims recorded in the prior period. The effective tax rate for the six months ended June 30, 2022 also increased due to true-ups recorded in the first quarter of 2022 to prior year tax reserves.</w:t>
      </w:r>
    </w:p>
    <w:p>
      <w:pPr>
        <w:spacing w:after="0" w:line="191"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231F20"/>
        </w:rPr>
        <w:t>The effective tax rate for the three months ended June 30, 2022 was lower than the U.S. federal statutory rate of 21% primarily due to a change in the Company's assertion to permanently reinvest a portion of its undistributed foreign earnings in China. The effective tax rate for the six months ended June 30, 2022 is higher than the U.S. federal statutory rate of 21% primarily due to withholding taxes and tax reserves, partially offset by lower taxes on non-U.S. earnings and the previously mentioned change in assertion to permanently reinvest a portion of its undistributed foreign earnings.</w:t>
      </w:r>
    </w:p>
    <w:p>
      <w:pPr>
        <w:spacing w:after="0" w:line="19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Historically, the Company has not made an assertion to permanently reinvest its undistributed foreign earnings. In the second quarter of 2022, the Company changed its assertion to permanently reinvest a portion (approximately $300 million) of its undistributed foreign earnings for China specific to the entity's investment in intellectual property.</w:t>
      </w:r>
    </w:p>
    <w:p>
      <w:pPr>
        <w:spacing w:after="0" w:line="191"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Accounts, Notes and Other Receivables—Net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7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4"/>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4"/>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8"/>
        </w:trPr>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Less—Allowance for expected credit losses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796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5"/>
        </w:trPr>
        <w:tc>
          <w:tcPr>
            <w:tcW w:w="7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Trade receivables include $58 million and $63 million of unbilled customer contract asset balances as of </w:t>
      </w:r>
      <w:r>
        <w:rPr>
          <w:rFonts w:ascii="Times New Roman" w:cs="Times New Roman" w:eastAsia="Times New Roman" w:hAnsi="Times New Roman"/>
          <w:sz w:val="17"/>
          <w:szCs w:val="17"/>
          <w:color w:val="231F20"/>
        </w:rPr>
        <w:t>June 30, 2022</w:t>
      </w:r>
      <w:r>
        <w:rPr>
          <w:rFonts w:ascii="Times New Roman" w:cs="Times New Roman" w:eastAsia="Times New Roman" w:hAnsi="Times New Roman"/>
          <w:sz w:val="17"/>
          <w:szCs w:val="17"/>
          <w:color w:val="auto"/>
        </w:rPr>
        <w:t xml:space="preserve"> and December 31, 2021,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amounts are billed in accordance with the terms of customer contracts to which they relate. See Note 3</w:t>
      </w:r>
      <w:r>
        <w:rPr>
          <w:rFonts w:ascii="Times New Roman" w:cs="Times New Roman" w:eastAsia="Times New Roman" w:hAnsi="Times New Roman"/>
          <w:sz w:val="17"/>
          <w:szCs w:val="17"/>
          <w:i w:val="1"/>
          <w:iCs w:val="1"/>
          <w:color w:val="auto"/>
        </w:rPr>
        <w:t>, Revenue Recognition and Contracts with Customers</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7"/>
          <w:szCs w:val="17"/>
          <w:i w:val="1"/>
          <w:iCs w:val="1"/>
          <w:color w:val="auto"/>
        </w:rPr>
        <w:t>Factoring and Notes Receivable</w:t>
      </w:r>
      <w:r>
        <w:rPr>
          <w:rFonts w:ascii="Times New Roman" w:cs="Times New Roman" w:eastAsia="Times New Roman" w:hAnsi="Times New Roman"/>
          <w:sz w:val="17"/>
          <w:szCs w:val="17"/>
          <w:color w:val="auto"/>
        </w:rPr>
        <w:t xml:space="preserve"> for further information.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Factoring and Notes Receivable</w:t>
      </w:r>
    </w:p>
    <w:p>
      <w:pPr>
        <w:spacing w:after="0" w:line="19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w:t>
      </w: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party financial institutions in exchange for cash. Bank notes sold to third-party financial institutions without recourse are likewise accounted for as true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sz w:val="15"/>
                <w:szCs w:val="15"/>
                <w:color w:val="auto"/>
              </w:rPr>
            </w:pPr>
          </w:p>
        </w:tc>
        <w:tc>
          <w:tcPr>
            <w:tcW w:w="23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526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5"/>
                <w:szCs w:val="15"/>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5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5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5"/>
        </w:trPr>
        <w:tc>
          <w:tcPr>
            <w:tcW w:w="5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Eligible receivables sold without recourse</w:t>
            </w:r>
          </w:p>
        </w:tc>
        <w:tc>
          <w:tcPr>
            <w:tcW w:w="920" w:type="dxa"/>
            <w:vAlign w:val="bottom"/>
            <w:shd w:val="clear" w:color="auto" w:fill="CFF0FC"/>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rPr>
              <w:t>226</w:t>
            </w:r>
          </w:p>
        </w:tc>
        <w:tc>
          <w:tcPr>
            <w:tcW w:w="980" w:type="dxa"/>
            <w:vAlign w:val="bottom"/>
            <w:shd w:val="clear" w:color="auto" w:fill="CFF0FC"/>
          </w:tcPr>
          <w:p>
            <w:pPr>
              <w:jc w:val="right"/>
              <w:ind w:right="68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rPr>
              <w:t>370</w:t>
            </w:r>
          </w:p>
        </w:tc>
        <w:tc>
          <w:tcPr>
            <w:tcW w:w="4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333</w:t>
            </w:r>
          </w:p>
        </w:tc>
      </w:tr>
      <w:tr>
        <w:trPr>
          <w:trHeight w:val="232"/>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Guaranteed bank notes sold without recourse</w:t>
            </w:r>
          </w:p>
        </w:tc>
        <w:tc>
          <w:tcPr>
            <w:tcW w:w="9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w:t>
            </w:r>
          </w:p>
        </w:tc>
        <w:tc>
          <w:tcPr>
            <w:tcW w:w="9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rPr>
              <w:t>66</w:t>
            </w:r>
          </w:p>
        </w:tc>
        <w:tc>
          <w:tcPr>
            <w:tcW w:w="4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bl>
    <w:p>
      <w:pPr>
        <w:spacing w:after="0" w:line="254"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 xml:space="preserve">The expenses related to the sale of trade receivables and guaranteed bank notes are recognized within Other expense, net in the consolidated interim statements of operations, and were immaterial for the three and six months ended </w:t>
      </w:r>
      <w:r>
        <w:rPr>
          <w:rFonts w:ascii="Times New Roman" w:cs="Times New Roman" w:eastAsia="Times New Roman" w:hAnsi="Times New Roman"/>
          <w:sz w:val="17"/>
          <w:szCs w:val="17"/>
          <w:color w:val="231F20"/>
        </w:rPr>
        <w:t>June 30,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1080" w:type="dxa"/>
            <w:vAlign w:val="bottom"/>
          </w:tcPr>
          <w:p>
            <w:pPr>
              <w:jc w:val="center"/>
              <w:ind w:left="28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Pr>
          <w:p>
            <w:pPr>
              <w:spacing w:after="0"/>
              <w:rPr>
                <w:sz w:val="14"/>
                <w:szCs w:val="14"/>
                <w:color w:val="auto"/>
              </w:rPr>
            </w:pPr>
          </w:p>
        </w:tc>
        <w:tc>
          <w:tcPr>
            <w:tcW w:w="12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4"/>
                <w:szCs w:val="14"/>
                <w:color w:val="auto"/>
              </w:rPr>
            </w:pPr>
          </w:p>
        </w:tc>
      </w:tr>
      <w:tr>
        <w:trPr>
          <w:trHeight w:val="182"/>
        </w:trPr>
        <w:tc>
          <w:tcPr>
            <w:tcW w:w="830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124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77"/>
        </w:trPr>
        <w:tc>
          <w:tcPr>
            <w:tcW w:w="8300" w:type="dxa"/>
            <w:vAlign w:val="bottom"/>
          </w:tcPr>
          <w:p>
            <w:pPr>
              <w:spacing w:after="0"/>
              <w:rPr>
                <w:sz w:val="15"/>
                <w:szCs w:val="15"/>
                <w:color w:val="auto"/>
              </w:rPr>
            </w:pPr>
          </w:p>
        </w:tc>
        <w:tc>
          <w:tcPr>
            <w:tcW w:w="2680" w:type="dxa"/>
            <w:vAlign w:val="bottom"/>
            <w:gridSpan w:val="3"/>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Receivables sold but not yet collected by the bank from the customer</w:t>
            </w:r>
          </w:p>
        </w:tc>
        <w:tc>
          <w:tcPr>
            <w:tcW w:w="1080" w:type="dxa"/>
            <w:vAlign w:val="bottom"/>
            <w:shd w:val="clear" w:color="auto" w:fill="CFF0FC"/>
          </w:tcPr>
          <w:p>
            <w:pPr>
              <w:jc w:val="right"/>
              <w:ind w:right="90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40" w:type="dxa"/>
            <w:vAlign w:val="bottom"/>
            <w:shd w:val="clear" w:color="auto" w:fill="CFF0FC"/>
          </w:tcPr>
          <w:p>
            <w:pPr>
              <w:jc w:val="right"/>
              <w:ind w:right="98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Guaranteed bank notes sold but not yet collected by the bank from the customer</w:t>
            </w: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54"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As of June 30, 2022 and December 31, 2021, the Company has pledged as collateral $1 million and $5 million of guaranteed bank notes, respectively, which have not been sold in order to be able to issue bank notes as payment to certain suppliers. Such pledged amounts are included as Notes receivable in our Consolidated Interim Balance Sheet.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Inventories—Net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5"/>
        </w:trPr>
        <w:tc>
          <w:tcPr>
            <w:tcW w:w="7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4"/>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Less—Reserves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6"/>
        </w:trPr>
        <w:tc>
          <w:tcPr>
            <w:tcW w:w="7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9. Other Assets</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9"/>
        </w:trPr>
        <w:tc>
          <w:tcPr>
            <w:tcW w:w="7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4"/>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Advanced discounts to customers, non-current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assets (Note 12)</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employee related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Designated cross-currency swaps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Designated and undesignated derivatives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Note 10. Accrued 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r>
      <w:tr>
        <w:trPr>
          <w:trHeight w:val="187"/>
        </w:trPr>
        <w:tc>
          <w:tcPr>
            <w:tcW w:w="7960" w:type="dxa"/>
            <w:vAlign w:val="bottom"/>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r>
      <w:tr>
        <w:trPr>
          <w:trHeight w:val="181"/>
        </w:trPr>
        <w:tc>
          <w:tcPr>
            <w:tcW w:w="7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36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Customer pricing reserve</w:t>
            </w:r>
          </w:p>
        </w:tc>
        <w:tc>
          <w:tcPr>
            <w:tcW w:w="104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benefit and other employee related</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Repositioning</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warranties and performance guarantees - short-term (Note 19)</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and other taxes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Advanced discounts from suppliers, current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64"/>
        </w:trPr>
        <w:tc>
          <w:tcPr>
            <w:tcW w:w="7960" w:type="dxa"/>
            <w:vAlign w:val="bottom"/>
            <w:shd w:val="clear" w:color="auto" w:fill="CFF0FC"/>
          </w:tcPr>
          <w:p>
            <w:pPr>
              <w:ind w:left="20"/>
              <w:spacing w:after="0" w:line="263" w:lineRule="exact"/>
              <w:rPr>
                <w:sz w:val="20"/>
                <w:szCs w:val="20"/>
                <w:color w:val="auto"/>
              </w:rPr>
            </w:pPr>
            <w:r>
              <w:rPr>
                <w:rFonts w:ascii="Times New Roman" w:cs="Times New Roman" w:eastAsia="Times New Roman" w:hAnsi="Times New Roman"/>
                <w:sz w:val="17"/>
                <w:szCs w:val="17"/>
                <w:color w:val="auto"/>
              </w:rPr>
              <w:t xml:space="preserve">Customer advances and deferred income </w:t>
            </w:r>
            <w:r>
              <w:rPr>
                <w:rFonts w:ascii="Times New Roman" w:cs="Times New Roman" w:eastAsia="Times New Roman" w:hAnsi="Times New Roman"/>
                <w:sz w:val="26"/>
                <w:szCs w:val="26"/>
                <w:color w:val="auto"/>
                <w:vertAlign w:val="superscript"/>
              </w:rPr>
              <w:t>(1)</w:t>
            </w: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lease liability (Note 12)</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51"/>
        </w:trPr>
        <w:tc>
          <w:tcPr>
            <w:tcW w:w="7960" w:type="dxa"/>
            <w:vAlign w:val="bottom"/>
            <w:shd w:val="clear" w:color="auto" w:fill="CFF0FC"/>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Other (primarily operating expenses) </w:t>
            </w:r>
            <w:r>
              <w:rPr>
                <w:rFonts w:ascii="Times New Roman" w:cs="Times New Roman" w:eastAsia="Times New Roman" w:hAnsi="Times New Roman"/>
                <w:sz w:val="26"/>
                <w:szCs w:val="26"/>
                <w:color w:val="auto"/>
                <w:vertAlign w:val="superscript"/>
              </w:rPr>
              <w:t>(2)</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2"/>
        </w:trPr>
        <w:tc>
          <w:tcPr>
            <w:tcW w:w="7960" w:type="dxa"/>
            <w:vAlign w:val="bottom"/>
          </w:tcPr>
          <w:p>
            <w:pPr>
              <w:spacing w:after="0"/>
              <w:rPr>
                <w:sz w:val="20"/>
                <w:szCs w:val="20"/>
                <w:color w:val="auto"/>
              </w:rPr>
            </w:pP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5"/>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ind w:left="700" w:hanging="310"/>
        <w:spacing w:after="0" w:line="303" w:lineRule="auto"/>
        <w:tabs>
          <w:tab w:leader="none" w:pos="6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Customer advances and deferred income include $6 million and $5 million of contract liabilities as of June 30, 2022 and December 31, 2021, respectively. See Note 3, </w:t>
      </w:r>
      <w:r>
        <w:rPr>
          <w:rFonts w:ascii="Times New Roman" w:cs="Times New Roman" w:eastAsia="Times New Roman" w:hAnsi="Times New Roman"/>
          <w:sz w:val="17"/>
          <w:szCs w:val="17"/>
          <w:i w:val="1"/>
          <w:iCs w:val="1"/>
          <w:color w:val="auto"/>
        </w:rPr>
        <w:t>Revenue Recognition and Contracts with Customers</w:t>
      </w:r>
      <w:r>
        <w:rPr>
          <w:rFonts w:ascii="Times New Roman" w:cs="Times New Roman" w:eastAsia="Times New Roman" w:hAnsi="Times New Roman"/>
          <w:sz w:val="17"/>
          <w:szCs w:val="17"/>
          <w:color w:val="auto"/>
        </w:rPr>
        <w:t>.</w:t>
      </w:r>
    </w:p>
    <w:p>
      <w:pPr>
        <w:spacing w:after="0" w:line="99"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 million and $3 million of environmental liabilities as of June 30, 2022 and December 31, 2021, respectively.</w:t>
      </w:r>
    </w:p>
    <w:p>
      <w:pPr>
        <w:spacing w:after="0" w:line="178"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7"/>
              </w:rPr>
              <w:t>Severance Costs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960" w:type="dxa"/>
            <w:vAlign w:val="bottom"/>
            <w:shd w:val="clear" w:color="auto" w:fill="CCEEFF"/>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CCEEFF"/>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right w:val="single" w:sz="8" w:color="CCEEFF"/>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Usage—cash</w:t>
            </w:r>
          </w:p>
        </w:tc>
        <w:tc>
          <w:tcPr>
            <w:tcW w:w="29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right w:val="single" w:sz="8" w:color="CCEEFF"/>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right w:val="single" w:sz="8" w:color="CCEEFF"/>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29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3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9"/>
              </w:rPr>
              <w:t>Severance Costs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right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Usage—cash</w:t>
            </w:r>
          </w:p>
        </w:tc>
        <w:tc>
          <w:tcPr>
            <w:tcW w:w="29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right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right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2021</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2960" w:type="dxa"/>
            <w:vAlign w:val="bottom"/>
            <w:vMerge w:val="restart"/>
          </w:tcPr>
          <w:p>
            <w:pPr>
              <w:jc w:val="right"/>
              <w:ind w:right="894"/>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7"/>
        </w:trPr>
        <w:tc>
          <w:tcPr>
            <w:tcW w:w="39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9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Note 11. Other 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r>
      <w:tr>
        <w:trPr>
          <w:trHeight w:val="187"/>
        </w:trPr>
        <w:tc>
          <w:tcPr>
            <w:tcW w:w="7960" w:type="dxa"/>
            <w:vAlign w:val="bottom"/>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r>
      <w:tr>
        <w:trPr>
          <w:trHeight w:val="181"/>
        </w:trPr>
        <w:tc>
          <w:tcPr>
            <w:tcW w:w="7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36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employee related</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Long-term lease liability (Note 12)</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Advanced discounts from suppliers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Product warranties and performance guarantees – long-term (Note 19)</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Environmental remediation – long term</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8"/>
        </w:trPr>
        <w:tc>
          <w:tcPr>
            <w:tcW w:w="7960" w:type="dxa"/>
            <w:vAlign w:val="bottom"/>
          </w:tcPr>
          <w:p>
            <w:pPr>
              <w:spacing w:after="0"/>
              <w:rPr>
                <w:sz w:val="20"/>
                <w:szCs w:val="20"/>
                <w:color w:val="auto"/>
              </w:rPr>
            </w:pP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5"/>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Leases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have operating leases that primarily consist of real estate, machinery and equipment. Our leases have remaining lease terms of up to 16 years, some of which include options to extend the leases for up to two years, and some of which include options to terminate the leases within the year.</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2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2"/>
        </w:trPr>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22"/>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8</w:t>
            </w:r>
          </w:p>
        </w:tc>
      </w:tr>
    </w:tbl>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8"/>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5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1"/>
                <w:szCs w:val="21"/>
                <w:color w:val="auto"/>
              </w:rPr>
            </w:pP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6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3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9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w:t>
            </w: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bl>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40" w:type="dxa"/>
            <w:vAlign w:val="bottom"/>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134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20" w:type="dxa"/>
            <w:vAlign w:val="bottom"/>
          </w:tcPr>
          <w:p>
            <w:pPr>
              <w:spacing w:after="0"/>
              <w:rPr>
                <w:sz w:val="13"/>
                <w:szCs w:val="13"/>
                <w:color w:val="auto"/>
              </w:rPr>
            </w:pPr>
          </w:p>
        </w:tc>
      </w:tr>
      <w:tr>
        <w:trPr>
          <w:trHeight w:val="187"/>
        </w:trPr>
        <w:tc>
          <w:tcPr>
            <w:tcW w:w="7960" w:type="dxa"/>
            <w:vAlign w:val="bottom"/>
          </w:tcPr>
          <w:p>
            <w:pPr>
              <w:spacing w:after="0"/>
              <w:rPr>
                <w:sz w:val="16"/>
                <w:szCs w:val="16"/>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r>
      <w:tr>
        <w:trPr>
          <w:trHeight w:val="181"/>
        </w:trPr>
        <w:tc>
          <w:tcPr>
            <w:tcW w:w="7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00" w:type="dxa"/>
            <w:vAlign w:val="bottom"/>
            <w:gridSpan w:val="2"/>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32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340" w:type="dxa"/>
            <w:vAlign w:val="bottom"/>
            <w:shd w:val="clear" w:color="auto" w:fill="CFF0FC"/>
          </w:tcPr>
          <w:p>
            <w:pPr>
              <w:jc w:val="right"/>
              <w:ind w:right="1086"/>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0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40" w:type="dxa"/>
            <w:vAlign w:val="bottom"/>
          </w:tcPr>
          <w:p>
            <w:pPr>
              <w:jc w:val="center"/>
              <w:ind w:left="51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7"/>
        </w:trPr>
        <w:tc>
          <w:tcPr>
            <w:tcW w:w="8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Borders>
              <w:top w:val="single" w:sz="8" w:color="CFF0FC"/>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5.59 %</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2"/>
        </w:trPr>
        <w:tc>
          <w:tcPr>
            <w:tcW w:w="7720" w:type="dxa"/>
            <w:vAlign w:val="bottom"/>
          </w:tcPr>
          <w:p>
            <w:pPr>
              <w:jc w:val="right"/>
              <w:ind w:right="1738"/>
              <w:spacing w:after="0"/>
              <w:rPr>
                <w:sz w:val="20"/>
                <w:szCs w:val="20"/>
                <w:color w:val="auto"/>
              </w:rPr>
            </w:pPr>
            <w:r>
              <w:rPr>
                <w:rFonts w:ascii="Times New Roman" w:cs="Times New Roman" w:eastAsia="Times New Roman" w:hAnsi="Times New Roman"/>
                <w:sz w:val="17"/>
                <w:szCs w:val="17"/>
                <w:color w:val="auto"/>
              </w:rPr>
              <w:t>13</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Maturities of operating lease liabilities as of June 30, 2022 were as follows: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380" w:type="dxa"/>
            <w:vAlign w:val="bottom"/>
            <w:tcBorders>
              <w:bottom w:val="single" w:sz="8" w:color="CFF0FC"/>
            </w:tcBorders>
          </w:tcPr>
          <w:p>
            <w:pPr>
              <w:spacing w:after="0" w:line="20" w:lineRule="exact"/>
              <w:rPr>
                <w:sz w:val="1"/>
                <w:szCs w:val="1"/>
                <w:color w:val="auto"/>
              </w:rPr>
            </w:pPr>
          </w:p>
        </w:tc>
        <w:tc>
          <w:tcPr>
            <w:tcW w:w="65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9"/>
              </w:rPr>
              <w:t>2022</w:t>
            </w:r>
          </w:p>
        </w:tc>
        <w:tc>
          <w:tcPr>
            <w:tcW w:w="65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2023</w:t>
            </w:r>
          </w:p>
        </w:tc>
        <w:tc>
          <w:tcPr>
            <w:tcW w:w="6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9"/>
              </w:rPr>
              <w:t>2024</w:t>
            </w:r>
          </w:p>
        </w:tc>
        <w:tc>
          <w:tcPr>
            <w:tcW w:w="65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6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65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0" w:type="dxa"/>
            <w:vAlign w:val="bottom"/>
            <w:shd w:val="clear" w:color="auto" w:fill="CFF0FC"/>
          </w:tcPr>
          <w:p>
            <w:pPr>
              <w:spacing w:after="0"/>
              <w:rPr>
                <w:sz w:val="22"/>
                <w:szCs w:val="22"/>
                <w:color w:val="auto"/>
              </w:rPr>
            </w:pPr>
          </w:p>
        </w:tc>
        <w:tc>
          <w:tcPr>
            <w:tcW w:w="650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13. Long-term Debt and Credit Agreements</w:t>
            </w:r>
          </w:p>
        </w:tc>
        <w:tc>
          <w:tcPr>
            <w:tcW w:w="1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68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4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auto"/>
              </w:rPr>
              <w:t>The principal outstanding and carrying amounts of our long-term debt as of June 30, 2022 are as follows:</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Due</w:t>
            </w:r>
          </w:p>
        </w:tc>
        <w:tc>
          <w:tcPr>
            <w:tcW w:w="17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65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Dollar Facility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4/30/2028</w:t>
            </w:r>
          </w:p>
        </w:tc>
        <w:tc>
          <w:tcPr>
            <w:tcW w:w="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4.49 %</w:t>
            </w:r>
          </w:p>
        </w:tc>
        <w:tc>
          <w:tcPr>
            <w:tcW w:w="80" w:type="dxa"/>
            <w:vAlign w:val="bottom"/>
            <w:shd w:val="clear" w:color="auto" w:fill="CFF0FC"/>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65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Euro Facility</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4/30/2028</w:t>
            </w:r>
          </w:p>
        </w:tc>
        <w:tc>
          <w:tcPr>
            <w:tcW w:w="80" w:type="dxa"/>
            <w:vAlign w:val="bottom"/>
            <w:tcBorders>
              <w:bottom w:val="single" w:sz="8" w:color="CFF0FC"/>
            </w:tcBorders>
          </w:tcPr>
          <w:p>
            <w:pPr>
              <w:spacing w:after="0"/>
              <w:rPr>
                <w:sz w:val="20"/>
                <w:szCs w:val="20"/>
                <w:color w:val="auto"/>
              </w:rPr>
            </w:pPr>
          </w:p>
        </w:tc>
        <w:tc>
          <w:tcPr>
            <w:tcW w:w="16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principal outstanding</w:t>
            </w: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deferred financing costs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Facilities</w:t>
      </w:r>
    </w:p>
    <w:p>
      <w:pPr>
        <w:spacing w:after="0" w:line="184" w:lineRule="exact"/>
        <w:rPr>
          <w:sz w:val="20"/>
          <w:szCs w:val="20"/>
          <w:color w:val="auto"/>
        </w:rPr>
      </w:pPr>
    </w:p>
    <w:p>
      <w:pPr>
        <w:jc w:val="both"/>
        <w:ind w:right="100" w:firstLine="371"/>
        <w:spacing w:after="0" w:line="258" w:lineRule="auto"/>
        <w:rPr>
          <w:sz w:val="20"/>
          <w:szCs w:val="20"/>
          <w:color w:val="auto"/>
        </w:rPr>
      </w:pPr>
      <w:r>
        <w:rPr>
          <w:rFonts w:ascii="Times New Roman" w:cs="Times New Roman" w:eastAsia="Times New Roman" w:hAnsi="Times New Roman"/>
          <w:sz w:val="17"/>
          <w:szCs w:val="17"/>
          <w:color w:val="auto"/>
        </w:rPr>
        <w:t>On the Effective Date, in accordance with the Plan, the Company entered into a credit agreement (as amended from time to time, the "Credit Agreement") 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Facility, the “Term Loan Facilities”); and a five-year senior secured first-lien revolving credit facility initially in the amount of $300 million providing for multi-currency revolving loans, (the “Revolving Facility,” and together with the Term Loan Facilities, the “Credit Facilities”). On January 11, 2022 and March 22, 2022, the Company amended the Credit Agreement, increasing the maximum amount of borrowings available under the Revolving Facility from $300 million to approximately $475 million. The maturity date of the Revolving Facility remains unchanged at April 30, 2026, with certain extension rights at the discretion of each lender.</w:t>
      </w:r>
    </w:p>
    <w:p>
      <w:pPr>
        <w:spacing w:after="0" w:line="137" w:lineRule="exact"/>
        <w:rPr>
          <w:sz w:val="20"/>
          <w:szCs w:val="20"/>
          <w:color w:val="auto"/>
        </w:rPr>
      </w:pPr>
    </w:p>
    <w:p>
      <w:pPr>
        <w:jc w:val="both"/>
        <w:ind w:right="100" w:firstLine="371"/>
        <w:spacing w:after="0" w:line="261" w:lineRule="auto"/>
        <w:rPr>
          <w:sz w:val="20"/>
          <w:szCs w:val="20"/>
          <w:color w:val="auto"/>
        </w:rPr>
      </w:pPr>
      <w:r>
        <w:rPr>
          <w:rFonts w:ascii="Times New Roman" w:cs="Times New Roman" w:eastAsia="Times New Roman" w:hAnsi="Times New Roman"/>
          <w:sz w:val="17"/>
          <w:szCs w:val="17"/>
          <w:color w:val="auto"/>
        </w:rPr>
        <w:t>Under the first amendment, LIBOR was replaced as an available rate at which borrowings under the Revolving Facility could accrue with, for loans borrowed in U.S. Dollars, the daily overnight secured financing rate (“SOFR”) published by the Federal Reserve Bank of New York and for loans borrowed in Australian Dollars, the average bid reference rate administered by ASX Benchmarks Pty Limited. The Term Loan Facilities under the Credit Agreement continue to be able to accrue interest under the London Inter-bank Offered Rate (“LIBOR”), but will switch to an alternative benchmark rate upon the cessation of LIBOR after June 30, 2023. The Euro Facilities under the Credit Agreement continue to accrue interest under the Euro Interbank Offered Rate (“EURIBOR”).</w:t>
      </w:r>
    </w:p>
    <w:p>
      <w:pPr>
        <w:spacing w:after="0" w:line="149" w:lineRule="exact"/>
        <w:rPr>
          <w:sz w:val="20"/>
          <w:szCs w:val="20"/>
          <w:color w:val="auto"/>
        </w:rPr>
      </w:pPr>
    </w:p>
    <w:p>
      <w:pPr>
        <w:jc w:val="both"/>
        <w:ind w:right="100" w:firstLine="371"/>
        <w:spacing w:after="0" w:line="287" w:lineRule="auto"/>
        <w:rPr>
          <w:sz w:val="20"/>
          <w:szCs w:val="20"/>
          <w:color w:val="auto"/>
        </w:rPr>
      </w:pPr>
      <w:r>
        <w:rPr>
          <w:rFonts w:ascii="Times New Roman" w:cs="Times New Roman" w:eastAsia="Times New Roman" w:hAnsi="Times New Roman"/>
          <w:sz w:val="17"/>
          <w:szCs w:val="17"/>
          <w:color w:val="auto"/>
        </w:rPr>
        <w:t>The second amendment also removed the requirement that payments made in cash for the benefit of holders of the Series A Preferred Stock on or before December 31, 2022 be made on a ratable basis to the holders of the Common Stock, and made additional clarifying amendments to certain provisions.</w:t>
      </w:r>
    </w:p>
    <w:p>
      <w:pPr>
        <w:spacing w:after="0" w:line="109" w:lineRule="exact"/>
        <w:rPr>
          <w:sz w:val="20"/>
          <w:szCs w:val="20"/>
          <w:color w:val="auto"/>
        </w:rPr>
      </w:pPr>
    </w:p>
    <w:p>
      <w:pPr>
        <w:jc w:val="both"/>
        <w:ind w:right="100" w:firstLine="371"/>
        <w:spacing w:after="0" w:line="292" w:lineRule="auto"/>
        <w:rPr>
          <w:sz w:val="20"/>
          <w:szCs w:val="20"/>
          <w:color w:val="auto"/>
        </w:rPr>
      </w:pPr>
      <w:r>
        <w:rPr>
          <w:rFonts w:ascii="Times New Roman" w:cs="Times New Roman" w:eastAsia="Times New Roman" w:hAnsi="Times New Roman"/>
          <w:sz w:val="17"/>
          <w:szCs w:val="17"/>
          <w:color w:val="auto"/>
        </w:rPr>
        <w:t xml:space="preserve">The amendments to our Credit Agreement as described above were accounted under ASC 470-50, </w:t>
      </w:r>
      <w:r>
        <w:rPr>
          <w:rFonts w:ascii="Times New Roman" w:cs="Times New Roman" w:eastAsia="Times New Roman" w:hAnsi="Times New Roman"/>
          <w:sz w:val="17"/>
          <w:szCs w:val="17"/>
          <w:i w:val="1"/>
          <w:iCs w:val="1"/>
          <w:color w:val="auto"/>
        </w:rPr>
        <w:t>Debt Modifications and Extinguishments</w:t>
      </w:r>
      <w:r>
        <w:rPr>
          <w:rFonts w:ascii="Times New Roman" w:cs="Times New Roman" w:eastAsia="Times New Roman" w:hAnsi="Times New Roman"/>
          <w:sz w:val="17"/>
          <w:szCs w:val="17"/>
          <w:color w:val="auto"/>
        </w:rPr>
        <w:t xml:space="preserve"> as a debt modification that did not result in an extinguishment or have a material impact on our Consolidated Interim Financial Statements.</w:t>
      </w:r>
    </w:p>
    <w:p>
      <w:pPr>
        <w:spacing w:after="0" w:line="2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97" w:right="239" w:bottom="1440" w:gutter="0" w:footer="0" w:header="0"/>
        </w:sectPr>
      </w:pPr>
    </w:p>
    <w:bookmarkStart w:id="16" w:name="page17"/>
    <w:bookmarkEnd w:id="16"/>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Under the Revolving Facility, the Company may use up to $125 million for the issuance of letters of credit to the Swiss Borrower or any of its subsidiaries. Letters of credit are available for issuance under the Credit Agreement on terms and conditions customary for financings of this kind, which issuances reduce availability under the Revolving Facility. As of June 30, 2022 the Company had no loans outstanding under the Revolving Facility, no outstanding letters of credit, and available borrowing capacity of approximately $475 million.</w:t>
      </w:r>
    </w:p>
    <w:p>
      <w:pPr>
        <w:spacing w:after="0" w:line="14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Separate from the Revolving Facility, the Company has a $35 million bilateral letter of credit facility, which also matures on April 30, 2026. As of June 30, 2022, the Company had $13 million utilized and $22 million of remaining available capacity under such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and Fees</w:t>
      </w:r>
    </w:p>
    <w:p>
      <w:pPr>
        <w:spacing w:after="0" w:line="184"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The Dollar Term Facility is subject to an interest rate, at our option, of either (a) an alternate base rate (“ABR”) (which shall not be less than 1.50%) or (b) an adjusted LIBOR rate (“LIBOR”) (which shall not be less than 0.50%), in each case, plus an applicable margin equal to 3.25% in the case of LIBOR loans and 2.25% in the case of ABR loans. The Euro Term Facility is subject to an interest rate equal to an adjusted EURIBOR rate (“EURIBOR”) (which shall not be less than zero) plus an applicable margin equal to 3.50%. Interest payments with respect to the Dollar and Euro Term Facilities are required either on a quarterly basis (for ABR loans) or at the end of each interest period (for LIBOR and EURIBOR loans) or, if the duration of the applicable interest period exceeds three months, then every three months.</w:t>
      </w:r>
    </w:p>
    <w:p>
      <w:pPr>
        <w:spacing w:after="0" w:line="14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12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Prepayments</w:t>
      </w:r>
    </w:p>
    <w:p>
      <w:pPr>
        <w:spacing w:after="0" w:line="19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have excess cash flow (calculated on an annual basis with the required prepayment equal to 50%, 25% or 0% of such excess cash flow, subject to compliance with certain leverage ratios), in each case subject to terms and conditions customary for financings of this kind.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Covenants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June 30, 2022, the Company was in compliance with all covenants.</w:t>
      </w:r>
    </w:p>
    <w:p>
      <w:pPr>
        <w:spacing w:after="0" w:line="178"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Credit Agreement also contained certain restrictions on the Company’s ability to pay cash dividends on or to redeem or otherwise acquire for cash the Series A Preferred Stock unless a ratable payment (on an as-converted basis) was made to holders of our common equity and such payments would otherwise be permitted under the terms of the Credit Agreement. These restrictions were removed as part of the credit amendments noted above.</w:t>
      </w:r>
    </w:p>
    <w:p>
      <w:pPr>
        <w:spacing w:after="0" w:line="12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 xml:space="preserve">The Company's ability to pay cash dividends on shares of Common Stock is also subject to conditions set forth in the Certificate of Designations for the Series A Cumulative Convertible Preferred Stock (the "Series A Certificate of Designations") as described in Note 21,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of the Consolidated Financial Statements and accompanying notes for the year ended December 31, 2021 included in our 2021 Form 10-K. On March 3, 2022, the terms of the Series A Certificate of Designations were further amended to (i) expand the scope of permitted Distributions on Dividend Junior Stock (each as defined in the Series A Certificate of Designations) to include purchases by the Company of shares of Dividend Junior Stock in individually negotiated transactions, (ii) remove the requirement that dividends or Distributions on Dividend</w:t>
      </w: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7" w:name="page18"/>
    <w:bookmarkEnd w:id="17"/>
    <w:p>
      <w:pPr>
        <w:jc w:val="both"/>
        <w:spacing w:after="0" w:line="287" w:lineRule="auto"/>
        <w:rPr>
          <w:sz w:val="20"/>
          <w:szCs w:val="20"/>
          <w:color w:val="auto"/>
        </w:rPr>
      </w:pPr>
      <w:r>
        <w:rPr>
          <w:rFonts w:ascii="Times New Roman" w:cs="Times New Roman" w:eastAsia="Times New Roman" w:hAnsi="Times New Roman"/>
          <w:sz w:val="17"/>
          <w:szCs w:val="17"/>
          <w:color w:val="auto"/>
        </w:rPr>
        <w:t>Junior Stock must occur on or prior to December 31, 2022, and (iii) expressly permit the purchase, redemption or other acquisition for cash by the Company of shares of Dividend Junior Stock without requiring ratable participation by holders of Series A Preferred Stock.</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Mandatorily Redeemable Series B Preferred Stock</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On June 28, 2022, the Company completed the early redemption of its remaining outstanding Series B Preferred Stock. Under this final early redemption, the Company redeemed 271,628,259 shares of its Series B Preferred Stock for an aggregate price of $212 million. The Company recognized a loss on extinguishment of debt of $5 million within the Condensed Interim Statement of Operations related to the early redemption.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Financial Instruments and Fair Value Measures</w:t>
      </w:r>
    </w:p>
    <w:p>
      <w:pPr>
        <w:spacing w:after="0" w:line="178" w:lineRule="exact"/>
        <w:rPr>
          <w:sz w:val="20"/>
          <w:szCs w:val="20"/>
          <w:color w:val="auto"/>
        </w:rPr>
      </w:pPr>
    </w:p>
    <w:p>
      <w:pPr>
        <w:jc w:val="both"/>
        <w:ind w:firstLine="371"/>
        <w:spacing w:after="0" w:line="262" w:lineRule="auto"/>
        <w:rPr>
          <w:sz w:val="20"/>
          <w:szCs w:val="20"/>
          <w:color w:val="auto"/>
        </w:rPr>
      </w:pPr>
      <w:r>
        <w:rPr>
          <w:rFonts w:ascii="Times New Roman" w:cs="Times New Roman" w:eastAsia="Times New Roman" w:hAnsi="Times New Roman"/>
          <w:sz w:val="17"/>
          <w:szCs w:val="17"/>
          <w:color w:val="auto"/>
        </w:rPr>
        <w:t xml:space="preserve">Our credit, market and foreign currency risk management policies are described in Note 19, </w:t>
      </w:r>
      <w:r>
        <w:rPr>
          <w:rFonts w:ascii="Times New Roman" w:cs="Times New Roman" w:eastAsia="Times New Roman" w:hAnsi="Times New Roman"/>
          <w:sz w:val="17"/>
          <w:szCs w:val="17"/>
          <w:i w:val="1"/>
          <w:iCs w:val="1"/>
          <w:color w:val="auto"/>
        </w:rPr>
        <w:t>Financial Instruments and Fair Value Measures</w:t>
      </w:r>
      <w:r>
        <w:rPr>
          <w:rFonts w:ascii="Times New Roman" w:cs="Times New Roman" w:eastAsia="Times New Roman" w:hAnsi="Times New Roman"/>
          <w:sz w:val="17"/>
          <w:szCs w:val="17"/>
          <w:color w:val="auto"/>
        </w:rPr>
        <w:t>, to the Consolidated Financial Statements for the year ended December 31, 2021 included in our 2021 Form 10-K. As of June 30, 2022 and December 31, 2021, we had contracts with aggregate gross notional amounts of $2,616 million and $2,788 million, respectively, to hedge interest rates and foreign currencies, principally the U.S. Dollar, Swiss Franc, British Pound, Euro, Chinese Yuan, Japanese Yen, Mexican Peso, New Romanian Leu, Czech Koruna, Australian Dollar and Korean Won.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9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June 30, 2022 and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ind w:left="120"/>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0"/>
                <w:szCs w:val="10"/>
                <w:color w:val="auto"/>
              </w:rPr>
            </w:pPr>
          </w:p>
        </w:tc>
        <w:tc>
          <w:tcPr>
            <w:tcW w:w="1080" w:type="dxa"/>
            <w:vAlign w:val="bottom"/>
            <w:gridSpan w:val="2"/>
          </w:tcPr>
          <w:p>
            <w:pPr>
              <w:ind w:left="120"/>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Designated instruments:</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Designated forward currency exchange</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2"/>
                <w:szCs w:val="12"/>
                <w:color w:val="auto"/>
              </w:rPr>
              <w:t>(a)</w:t>
            </w:r>
            <w:r>
              <w:rPr>
                <w:rFonts w:ascii="Times New Roman" w:cs="Times New Roman" w:eastAsia="Times New Roman" w:hAnsi="Times New Roman"/>
                <w:sz w:val="17"/>
                <w:szCs w:val="17"/>
                <w:color w:val="auto"/>
              </w:rPr>
              <w:t xml:space="preserve">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Designated cross-currency swap</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designated instruments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Undesignated instruments: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Undesignated interest rate swap</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Undesignated forward currency exchange</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undesignated instruments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Total designated and undesignated</w:t>
            </w: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100" w:type="dxa"/>
            <w:vAlign w:val="bottom"/>
          </w:tcPr>
          <w:p>
            <w:pPr>
              <w:spacing w:after="0"/>
              <w:rPr>
                <w:sz w:val="12"/>
                <w:szCs w:val="12"/>
                <w:color w:val="auto"/>
              </w:rPr>
            </w:pPr>
          </w:p>
        </w:tc>
        <w:tc>
          <w:tcPr>
            <w:tcW w:w="640" w:type="dxa"/>
            <w:vAlign w:val="bottom"/>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2"/>
                <w:szCs w:val="12"/>
                <w:color w:val="auto"/>
              </w:rPr>
            </w:pPr>
          </w:p>
        </w:tc>
        <w:tc>
          <w:tcPr>
            <w:tcW w:w="560" w:type="dxa"/>
            <w:vAlign w:val="bottom"/>
            <w:vMerge w:val="restart"/>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2"/>
                <w:szCs w:val="12"/>
                <w:color w:val="auto"/>
              </w:rPr>
            </w:pPr>
          </w:p>
        </w:tc>
        <w:tc>
          <w:tcPr>
            <w:tcW w:w="620" w:type="dxa"/>
            <w:vAlign w:val="bottom"/>
            <w:vMerge w:val="restart"/>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instruments</w:t>
            </w:r>
          </w:p>
        </w:tc>
        <w:tc>
          <w:tcPr>
            <w:tcW w:w="2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40" w:hanging="227"/>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Other current assets</w:t>
      </w:r>
    </w:p>
    <w:p>
      <w:pPr>
        <w:spacing w:after="0" w:line="27" w:lineRule="exact"/>
        <w:rPr>
          <w:rFonts w:ascii="Times New Roman" w:cs="Times New Roman" w:eastAsia="Times New Roman" w:hAnsi="Times New Roman"/>
          <w:sz w:val="17"/>
          <w:szCs w:val="17"/>
          <w:color w:val="auto"/>
        </w:rPr>
      </w:pPr>
    </w:p>
    <w:p>
      <w:pPr>
        <w:ind w:left="560" w:hanging="247"/>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Other assets</w:t>
      </w:r>
    </w:p>
    <w:p>
      <w:pPr>
        <w:ind w:left="540" w:hanging="227"/>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Accrued liabilities</w:t>
      </w:r>
    </w:p>
    <w:p>
      <w:pPr>
        <w:spacing w:after="0" w:line="160"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As of June 30, 2022, the Company had outstanding interest rate swaps with an aggregate notional amount of €830 million, with maturities of April 2023, April 2024, April 2025, April 2026 and April 2027. The Company uses interest rate swaps specifically to mitigate variable interest risk exposure on its long-term debt portfolio and has not designated them as hedging instruments for accounting purposes.</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8" w:name="page19"/>
    <w:bookmarkEnd w:id="18"/>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cross-currency swaps have been designated as net investment hedges of its Euro-denominated operations. As of June 30, 2022, an aggregate notional amount of €606 million was designated as net investment hedges of the Company’s investment in Euro-denominated operations. The cross-currency swaps’ fair values were net assets of $78 million at June 30, 2022. Our Consolidated Interim Statements of Comprehensive Income include Changes in fair value of net investment hedges, net of tax, of $29 million and $42 million, during the three and six months ended June 30, 2022, respectively, related to these net investment hedges. No ineffectiveness has been recorded on the net investment hedges.</w:t>
      </w:r>
    </w:p>
    <w:p>
      <w:pPr>
        <w:spacing w:after="0" w:line="149"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Company's forward currency exchange contracts under our cash flow hedging program are assessed as highly effective and are designated as cash flow hedges. Gains and losses on derivatives qualifying as cash flow hedges are recorded in Accumulated other comprehensive income (loss) until the underlying transactions are recognized in earnings.</w:t>
      </w:r>
    </w:p>
    <w:p>
      <w:pPr>
        <w:spacing w:after="0" w:line="12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2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carrying value of Cash, cash equivalents and restricted cash, Account receivables and Notes and Other receivables contained in the Consolidated Interim Balance Sheet approximates fair value.</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the Company’s financial assets and liabilities that were not carried at fair value: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3"/>
          </w:tcPr>
          <w:p>
            <w:pPr>
              <w:jc w:val="right"/>
              <w:ind w:right="98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60" w:type="dxa"/>
            <w:vAlign w:val="bottom"/>
          </w:tcPr>
          <w:p>
            <w:pPr>
              <w:spacing w:after="0"/>
              <w:rPr>
                <w:sz w:val="15"/>
                <w:szCs w:val="15"/>
                <w:color w:val="auto"/>
              </w:rPr>
            </w:pP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gridSpan w:val="4"/>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5"/>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Term Loan Facilities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1,146</w:t>
            </w:r>
          </w:p>
        </w:tc>
        <w:tc>
          <w:tcPr>
            <w:tcW w:w="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1,188</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bl>
    <w:p>
      <w:pPr>
        <w:spacing w:after="0" w:line="24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Accumulated Other Comprehensive Income (Loss)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changes in Accumulated Other Comprehensive Income (Loss) by component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120" w:type="dxa"/>
            <w:vAlign w:val="bottom"/>
            <w:vMerge w:val="restart"/>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9"/>
              </w:rPr>
              <w:t>Changes 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Changes in Fair Value</w:t>
            </w:r>
          </w:p>
        </w:tc>
        <w:tc>
          <w:tcPr>
            <w:tcW w:w="2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6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7"/>
              </w:rPr>
              <w:t>Cash Flow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5"/>
              </w:rPr>
              <w:t>of</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Net Investment Hedges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(81)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reclassifications</w:t>
            </w:r>
          </w:p>
        </w:tc>
        <w:tc>
          <w:tcPr>
            <w:tcW w:w="1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35"/>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comprehensive income</w:t>
            </w:r>
          </w:p>
        </w:tc>
        <w:tc>
          <w:tcPr>
            <w:tcW w:w="1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3"/>
        </w:trPr>
        <w:tc>
          <w:tcPr>
            <w:tcW w:w="3500" w:type="dxa"/>
            <w:vAlign w:val="bottom"/>
          </w:tcPr>
          <w:p>
            <w:pPr>
              <w:ind w:left="22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1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1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63"/>
        </w:trPr>
        <w:tc>
          <w:tcPr>
            <w:tcW w:w="35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2021</w:t>
            </w:r>
          </w:p>
        </w:tc>
        <w:tc>
          <w:tcPr>
            <w:tcW w:w="112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left="245"/>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120" w:type="dxa"/>
            <w:vAlign w:val="bottom"/>
            <w:vMerge w:val="restart"/>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9"/>
              </w:rPr>
              <w:t>Changes in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Changes in Fair Value</w:t>
            </w:r>
          </w:p>
        </w:tc>
        <w:tc>
          <w:tcPr>
            <w:tcW w:w="24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Cash Flow</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Net Investment Hedges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20" w:type="dxa"/>
            <w:vAlign w:val="bottom"/>
            <w:shd w:val="clear" w:color="auto" w:fill="CFF0FC"/>
          </w:tcPr>
          <w:p>
            <w:pPr>
              <w:jc w:val="right"/>
              <w:ind w:right="92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4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reclassifications</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5"/>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comprehensive income</w:t>
            </w:r>
          </w:p>
        </w:tc>
        <w:tc>
          <w:tcPr>
            <w:tcW w:w="1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6"/>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current period other comprehensive</w:t>
            </w:r>
          </w:p>
        </w:tc>
        <w:tc>
          <w:tcPr>
            <w:tcW w:w="112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1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1120" w:type="dxa"/>
            <w:vAlign w:val="bottom"/>
            <w:tcBorders>
              <w:top w:val="single" w:sz="8" w:color="auto"/>
              <w:bottom w:val="single" w:sz="8" w:color="auto"/>
            </w:tcBorders>
            <w:shd w:val="clear" w:color="auto" w:fill="CFF0FC"/>
          </w:tcPr>
          <w:p>
            <w:pPr>
              <w:jc w:val="right"/>
              <w:ind w:right="92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4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Earnings Per Share</w:t>
      </w:r>
    </w:p>
    <w:p>
      <w:pPr>
        <w:spacing w:after="0" w:line="195"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Earnings per share ("EPS") is calculated using the two-class method pursuant to the issuance of our Series A Preferred Stock on the Effective Date. Our Series A Preferred Stock is considered a participating security because holders of the Series A Preferred Stock will also be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 The Series A Preferred Stock is not included in the computation of basic earnings per share in periods in which we have a net loss, as the Series A Preferred Stock is not contractually obligated to share in our net losses.</w:t>
      </w:r>
    </w:p>
    <w:p>
      <w:pPr>
        <w:spacing w:after="0" w:line="140"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Diluted earnings per share for the three and six months ended June 30, 2022 and 2021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7"/>
          <w:szCs w:val="17"/>
          <w:color w:val="auto"/>
        </w:rPr>
        <w:t>The details of the EPS calculations for the three and six months ended June 30, 2022 and 2021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98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2"/>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preferred stock dividend</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2"/>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available for distribution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4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earnings allocated to participating securities</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38"/>
        </w:trPr>
        <w:tc>
          <w:tcPr>
            <w:tcW w:w="46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Net income available to common shareholders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3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64,839,157</w:t>
            </w: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69,667,651</w:t>
            </w: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64,689,673</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72,862,102</w:t>
            </w:r>
          </w:p>
        </w:tc>
      </w:tr>
      <w:tr>
        <w:trPr>
          <w:trHeight w:val="244"/>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4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Method used:</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Two-class</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i w:val="1"/>
                <w:iCs w:val="1"/>
                <w:color w:val="auto"/>
              </w:rPr>
              <w:t>If-converted</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Two-class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i w:val="1"/>
                <w:iCs w:val="1"/>
                <w:color w:val="auto"/>
              </w:rPr>
              <w:t>If-converted</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64,839,157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69,667,651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64,689,673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72,862,102</w:t>
            </w:r>
          </w:p>
        </w:tc>
      </w:tr>
      <w:tr>
        <w:trPr>
          <w:trHeight w:val="23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unvested RSUs and other contingently issuable</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263,005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participating securities</w:t>
            </w: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247,768,962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247,768,982</w:t>
            </w:r>
          </w:p>
        </w:tc>
      </w:tr>
      <w:tr>
        <w:trPr>
          <w:trHeight w:val="244"/>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65,102,162</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317,436,613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64,907,289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320,631,084</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0.95</w:t>
            </w:r>
          </w:p>
        </w:tc>
      </w:tr>
      <w:tr>
        <w:trPr>
          <w:trHeight w:val="25"/>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diluted earnings per share calculations exclude the effect of stock options when the options’ assumed proceeds exceed the average market price of the common shares during the period. There were no options outstanding as of or during the three and six months ended June 30, 2022. For the three and six months ended June 30, 2021, the weighted average number of stock options excluded from the computations was 128,499 and 263,245,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Related Party Transactions</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We lease certain facilities and receive property maintenance services from Honeywell, which was the owner of our Series B Preferred Stock and appoints a director to our board of directors (the “Board”). We also contract with Honeywell for the occasional purchase of certain goods and services. Lease and service agreements were made at commercial terms prevalent in the market at the time they were executed.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4"/>
                <w:szCs w:val="14"/>
                <w:color w:val="auto"/>
              </w:rPr>
            </w:pPr>
          </w:p>
        </w:tc>
      </w:tr>
      <w:tr>
        <w:trPr>
          <w:trHeight w:val="182"/>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22"/>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80" w:type="dxa"/>
            <w:vAlign w:val="bottom"/>
            <w:gridSpan w:val="3"/>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Payments under agreements with Honeywell</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2</w:t>
            </w:r>
          </w:p>
        </w:tc>
        <w:tc>
          <w:tcPr>
            <w:tcW w:w="10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Our payments under the agreements with Honeywell were included in Cost of goods sold and Selling, general and administrative expenses in our Consolidated Interim Statements of Operations. Related to the agreements with Honeywell, our Consolidated Interim Balance Sheet at June 30, 2022 and our Consolidated Balance Sheet at December 31, 2021 includes liabilities of $10 million and $15 million, respectively. Liability balances are primarily related to lease contracts of $7 million and $12 million as of June 30, 2022 and December 31, 2021, respectively.</w:t>
      </w:r>
    </w:p>
    <w:p>
      <w:pPr>
        <w:spacing w:after="0" w:line="200" w:lineRule="exact"/>
        <w:rPr>
          <w:sz w:val="20"/>
          <w:szCs w:val="20"/>
          <w:color w:val="auto"/>
        </w:rPr>
      </w:pPr>
    </w:p>
    <w:p>
      <w:pPr>
        <w:spacing w:after="0" w:line="3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Note 19.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Chapter 11 Cases</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the Effective Date, the conditions to effectiveness of the Plan were satisfied or waived and the Company emerged from bankruptcy. Since the Effective Date, the reorganized Debtors have been administering and reconciling outstanding proofs of claim and proofs of interest filed against the Debtors. All of the Chapter 11 Cases other than the main lead Chapter 11 Case of the Company have been closed. The main Chapter 11 Case of the Company will remain open until all proofs of claim and proofs of interest are fully administered. Refer to Note 1, </w:t>
      </w:r>
      <w:r>
        <w:rPr>
          <w:rFonts w:ascii="Times New Roman" w:cs="Times New Roman" w:eastAsia="Times New Roman" w:hAnsi="Times New Roman"/>
          <w:sz w:val="17"/>
          <w:szCs w:val="17"/>
          <w:i w:val="1"/>
          <w:iCs w:val="1"/>
          <w:color w:val="auto"/>
        </w:rPr>
        <w:t>Background and Basis of Presentation</w:t>
      </w:r>
      <w:r>
        <w:rPr>
          <w:rFonts w:ascii="Times New Roman" w:cs="Times New Roman" w:eastAsia="Times New Roman" w:hAnsi="Times New Roman"/>
          <w:sz w:val="17"/>
          <w:szCs w:val="17"/>
          <w:color w:val="auto"/>
        </w:rPr>
        <w:t>,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Litigation</w:t>
      </w:r>
    </w:p>
    <w:p>
      <w:pPr>
        <w:spacing w:after="0" w:line="19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Times New Roman" w:cs="Times New Roman" w:eastAsia="Times New Roman" w:hAnsi="Times New Roman"/>
          <w:sz w:val="17"/>
          <w:szCs w:val="17"/>
          <w:i w:val="1"/>
          <w:iCs w:val="1"/>
          <w:color w:val="auto"/>
        </w:rPr>
        <w:t>: Steven Husson, Individually and On Behalf of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Others Similarly Situated, v. Garrett Motion Inc., Olivier Rabiller, Alessandro Gili, Peter Bracke, Sean Deason, and Su Ping Lu</w:t>
      </w:r>
      <w:r>
        <w:rPr>
          <w:rFonts w:ascii="Times New Roman" w:cs="Times New Roman" w:eastAsia="Times New Roman" w:hAnsi="Times New Roman"/>
          <w:sz w:val="17"/>
          <w:szCs w:val="17"/>
          <w:color w:val="auto"/>
        </w:rPr>
        <w:t>, Case No. 1:20-cv-07992-JPC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(SDNY) (the “Husson Action”). The Husson Action asserted claims under Sections 10(b) and 20(a) of the 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spacing w:after="0" w:line="13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7"/>
          <w:szCs w:val="17"/>
          <w:i w:val="1"/>
          <w:iCs w:val="1"/>
          <w:color w:val="auto"/>
        </w:rPr>
        <w:t>The Gabelli Asset Fund, The Gabelli Dividend &amp; Income Trust,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Gabelli Value 25 Fund Inc., The Gabelli Equity Trust Inc., SM 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Times New Roman" w:cs="Times New Roman" w:eastAsia="Times New Roman" w:hAnsi="Times New Roman"/>
          <w:sz w:val="17"/>
          <w:szCs w:val="17"/>
          <w:color w:val="auto"/>
        </w:rPr>
        <w:t>, Case No. 1:20-cv-08296-JPC (SDNY) (the “Gabelli Action”). The Gabelli Action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asserted claims under Sections 10(b) and 20(a) of the Exchange Act.</w:t>
      </w:r>
    </w:p>
    <w:p>
      <w:pPr>
        <w:spacing w:after="0" w:line="13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7"/>
          <w:szCs w:val="17"/>
          <w:i w:val="1"/>
          <w:iCs w:val="1"/>
          <w:color w:val="auto"/>
        </w:rPr>
        <w:t>Joseph Froehlich, Individually and On Behalf of All Others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Similarly Situated, v. Olivier Rabiller, Allesandro Gili, Peter Bracke, Sean Deason, and Su Ping Lu</w:t>
      </w:r>
      <w:r>
        <w:rPr>
          <w:rFonts w:ascii="Times New Roman" w:cs="Times New Roman" w:eastAsia="Times New Roman" w:hAnsi="Times New Roman"/>
          <w:sz w:val="17"/>
          <w:szCs w:val="17"/>
          <w:color w:val="auto"/>
        </w:rPr>
        <w:t>, Case No. 1:20-cv-09279-JPC (SDNY) (the “Froehlich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The Froehlich Action also asserted claims under Sections 10(b) and 20(a) of the Exchange Act.</w:t>
      </w:r>
    </w:p>
    <w:p>
      <w:pPr>
        <w:spacing w:after="0" w:line="14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actions were assigned to Judge John P. Cronan. On November 24, 2020, competing motions were filed seeking the appointment of lead plaintiff and lead counsel and the consolidation of the Husson, Gabelli, and Froehlich Actions.</w:t>
      </w:r>
    </w:p>
    <w:p>
      <w:pPr>
        <w:spacing w:after="0" w:line="15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On December 8, 2020, counsel for the plaintiffs in the Gabelli Action — 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insurer, AIG, has accepted the defense, subject to the customary reservation of rights.</w:t>
      </w:r>
    </w:p>
    <w:p>
      <w:pPr>
        <w:spacing w:after="0" w:line="19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 bankruptcy court entered an order approving the joint request from the Company and the Gabelli Entities to handle the securities claims against Garrett Motion Inc. in this manner.</w:t>
      </w:r>
    </w:p>
    <w:p>
      <w:pPr>
        <w:spacing w:after="0" w:line="136"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7"/>
          <w:szCs w:val="17"/>
          <w:color w:val="auto"/>
        </w:rPr>
        <w:t>Tozier filed a motion to dismiss with respect to claims asserted against them. On the same day, Su Ping Lu, who is represented separately, filed a motion to dismiss with respect to the claims asserted against her. Lead plaintiffs’ opposition to the motions to dismiss was filed on October 26, 2021, and the defendant's 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w:t>
      </w:r>
    </w:p>
    <w:p>
      <w:pPr>
        <w:spacing w:after="0" w:line="14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On May 2, 2022, the plaintiffs filed a Third Amended Complaint (“TAC”) against all of the foregoing Defendants apart from Alessandro Gili and Su Ping Lu. On June 24, 2022, defendants moved to dismiss the TAC in its entirety, with prejudice, and briefing on the defendants’ motion is expected to be complete in September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Brazilian Tax Matter</w:t>
      </w:r>
    </w:p>
    <w:p>
      <w:pPr>
        <w:spacing w:after="0" w:line="184"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June 30, 2022 was $32 million, including penalties and interest. The Company appealed the infraction notice on October 23, 2020. In March 2021, in response to our request, the Brazilian Tax Authorities reconsidered their position for a portion of the $32 million mentioned above and allowed Garrett Motion Brazil the right to offset Federal Tax with the Befiex Credits. The letter does not qualify as a formal decision and requires formal recognition from the Judge and from the Federal Judgement Office in charge of the disputes. In August 2021, the $32 million claim was however suspended until Garrett Motion Brazil receives a final judicial decision.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Warranties and Guarantees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3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7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r>
      <w:tr>
        <w:trPr>
          <w:trHeight w:val="181"/>
        </w:trPr>
        <w:tc>
          <w:tcPr>
            <w:tcW w:w="670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7"/>
        </w:trPr>
        <w:tc>
          <w:tcPr>
            <w:tcW w:w="6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6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and product performance guarantees at beginning of period</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14</w:t>
            </w: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Accruals for warranties/guarantees issued during the year</w:t>
            </w:r>
          </w:p>
        </w:tc>
        <w:tc>
          <w:tcPr>
            <w:tcW w:w="7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11</w:t>
            </w:r>
          </w:p>
        </w:tc>
      </w:tr>
      <w:tr>
        <w:trPr>
          <w:trHeight w:val="25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warranty/guarantee claims</w:t>
            </w: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Amounts reclassified from Liabilities subject to compromise</w:t>
            </w:r>
          </w:p>
        </w:tc>
        <w:tc>
          <w:tcPr>
            <w:tcW w:w="7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16</w:t>
            </w:r>
          </w:p>
        </w:tc>
      </w:tr>
      <w:tr>
        <w:trPr>
          <w:trHeight w:val="25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Warranty and product performance guarantees at end of period</w:t>
            </w: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32</w:t>
            </w:r>
          </w:p>
        </w:tc>
      </w:tr>
      <w:tr>
        <w:trPr>
          <w:trHeight w:val="25"/>
        </w:trPr>
        <w:tc>
          <w:tcPr>
            <w:tcW w:w="6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 and Contingencies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3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Note 20. Pension Benefits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13" w:lineRule="exact"/>
        <w:rPr>
          <w:sz w:val="20"/>
          <w:szCs w:val="20"/>
          <w:color w:val="auto"/>
        </w:rPr>
      </w:pPr>
    </w:p>
    <w:p>
      <w:pPr>
        <w:jc w:val="both"/>
        <w:ind w:firstLine="371"/>
        <w:spacing w:after="0" w:line="267" w:lineRule="auto"/>
        <w:rPr>
          <w:sz w:val="20"/>
          <w:szCs w:val="20"/>
          <w:color w:val="auto"/>
        </w:rPr>
      </w:pPr>
      <w:r>
        <w:rPr>
          <w:rFonts w:ascii="Times New Roman" w:cs="Times New Roman" w:eastAsia="Times New Roman" w:hAnsi="Times New Roman"/>
          <w:sz w:val="17"/>
          <w:szCs w:val="17"/>
          <w:color w:val="auto"/>
        </w:rPr>
        <w:t>Our general funding policy for qualified defined benefit pension plans is to contribute amounts at least sufficient to satisfy regulatory funding standards. We are not required to make any contributions to our U.S. pension plan in 2022. We expect to make contributions of cash and/or marketable securities of approximately $7 million to our non-U.S. pension plans to satisfy regulatory funding standards in 2022, of which $3 million has been contributed as of June 30, 2022.</w:t>
      </w:r>
    </w:p>
    <w:p>
      <w:pPr>
        <w:spacing w:after="0" w:line="3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Net periodic benefit costs for our significant defined benefit plans include the following components: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
        </w:trPr>
        <w:tc>
          <w:tcPr>
            <w:tcW w:w="2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r>
      <w:tr>
        <w:trPr>
          <w:trHeight w:val="177"/>
        </w:trPr>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20" w:type="dxa"/>
            <w:vAlign w:val="bottom"/>
          </w:tcPr>
          <w:p>
            <w:pPr>
              <w:spacing w:after="0"/>
              <w:rPr>
                <w:sz w:val="15"/>
                <w:szCs w:val="15"/>
                <w:color w:val="auto"/>
              </w:rPr>
            </w:pPr>
          </w:p>
        </w:tc>
        <w:tc>
          <w:tcPr>
            <w:tcW w:w="18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Non-U.S. Plan</w:t>
            </w:r>
          </w:p>
        </w:tc>
        <w:tc>
          <w:tcPr>
            <w:tcW w:w="660" w:type="dxa"/>
            <w:vAlign w:val="bottom"/>
          </w:tcPr>
          <w:p>
            <w:pPr>
              <w:spacing w:after="0"/>
              <w:rPr>
                <w:sz w:val="15"/>
                <w:szCs w:val="15"/>
                <w:color w:val="auto"/>
              </w:rPr>
            </w:pP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20" w:type="dxa"/>
            <w:vAlign w:val="bottom"/>
          </w:tcPr>
          <w:p>
            <w:pPr>
              <w:spacing w:after="0"/>
              <w:rPr>
                <w:sz w:val="15"/>
                <w:szCs w:val="15"/>
                <w:color w:val="auto"/>
              </w:rPr>
            </w:pPr>
          </w:p>
        </w:tc>
        <w:tc>
          <w:tcPr>
            <w:tcW w:w="180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Non-U.S. Plan</w:t>
            </w:r>
          </w:p>
        </w:tc>
      </w:tr>
      <w:tr>
        <w:trPr>
          <w:trHeight w:val="22"/>
        </w:trPr>
        <w:tc>
          <w:tcPr>
            <w:tcW w:w="2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2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2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6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center"/>
              <w:ind w:left="420"/>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center"/>
              <w:ind w:left="460"/>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center"/>
              <w:ind w:left="458"/>
              <w:spacing w:after="0"/>
              <w:rPr>
                <w:sz w:val="20"/>
                <w:szCs w:val="20"/>
                <w:color w:val="auto"/>
              </w:rPr>
            </w:pPr>
            <w:r>
              <w:rPr>
                <w:rFonts w:ascii="Times New Roman" w:cs="Times New Roman" w:eastAsia="Times New Roman" w:hAnsi="Times New Roman"/>
                <w:sz w:val="17"/>
                <w:szCs w:val="17"/>
                <w:color w:val="auto"/>
                <w:w w:val="93"/>
              </w:rPr>
              <w:t>5</w:t>
            </w: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ind w:left="500"/>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left="460"/>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left="458"/>
              <w:spacing w:after="0"/>
              <w:rPr>
                <w:sz w:val="20"/>
                <w:szCs w:val="20"/>
                <w:color w:val="auto"/>
              </w:rPr>
            </w:pPr>
            <w:r>
              <w:rPr>
                <w:rFonts w:ascii="Times New Roman" w:cs="Times New Roman" w:eastAsia="Times New Roman" w:hAnsi="Times New Roman"/>
                <w:sz w:val="17"/>
                <w:szCs w:val="17"/>
                <w:color w:val="auto"/>
                <w:w w:val="93"/>
              </w:rPr>
              <w:t>1</w:t>
            </w:r>
          </w:p>
        </w:tc>
      </w:tr>
      <w:tr>
        <w:trPr>
          <w:trHeight w:val="24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6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center"/>
              <w:ind w:left="3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center"/>
              <w:ind w:left="46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center"/>
              <w:ind w:left="4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center"/>
              <w:ind w:left="418"/>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2920" w:type="dxa"/>
            <w:vAlign w:val="bottom"/>
          </w:tcPr>
          <w:p>
            <w:pPr>
              <w:spacing w:after="0"/>
              <w:rPr>
                <w:sz w:val="20"/>
                <w:szCs w:val="20"/>
                <w:color w:val="auto"/>
              </w:rPr>
            </w:pPr>
          </w:p>
        </w:tc>
        <w:tc>
          <w:tcPr>
            <w:tcW w:w="6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center"/>
              <w:ind w:left="420"/>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7"/>
                <w:szCs w:val="17"/>
                <w:color w:val="auto"/>
                <w:w w:val="93"/>
              </w:rPr>
              <w:t>3</w:t>
            </w:r>
          </w:p>
        </w:tc>
      </w:tr>
      <w:tr>
        <w:trPr>
          <w:trHeight w:val="25"/>
        </w:trPr>
        <w:tc>
          <w:tcPr>
            <w:tcW w:w="29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30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1" w:lineRule="exact"/>
        <w:rPr>
          <w:sz w:val="20"/>
          <w:szCs w:val="20"/>
          <w:color w:val="auto"/>
        </w:rPr>
      </w:pPr>
    </w:p>
    <w:p>
      <w:pPr>
        <w:jc w:val="both"/>
        <w:ind w:firstLine="371"/>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2021, included in our Form 10-K, as filed with the Securities and Exchange Commission on February 14, 2022 (our “2021 Form 10-K”). Some of the information contained in this MD&amp;A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2021 Form 10-K and this Quarterly Report on Form 10-Q, our actual results could differ materially from the results described in, or implied, by these forward-looking statements.</w:t>
      </w:r>
    </w:p>
    <w:p>
      <w:pPr>
        <w:spacing w:after="0" w:line="13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following MD&amp;A is intended to help you understand the results of operations and financial condition of Garrett Motion Inc., for the three and six months ended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9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Our net sales for the three months ended June 30, 2022 were $859 million, representing a decrease of $76 million or 8% (including an unfavorable impact of $73 million or 8% due to foreign currency translation) compared to the prior year. Our sales, net of the impacts of foreign currency translation, outpaced global light vehicle production (as estimated by IHS Markit ("IHS"), now part of S&amp;P Global) by approximately 6% driven by successful recoveries on inflation pass through. We saw new product launches on gasoline which increased our share of demand. Our volumes however were impacted by the ongoing global semiconductor shortage despite strong underlying demand for light vehicles, further accentuated by an improved second quarter of 2021 due to accumulated pent-up demand from 2020. The continued COVID-related lockdown measures in China also continued to impact our sales for the quarter.</w:t>
      </w:r>
    </w:p>
    <w:p>
      <w:pPr>
        <w:spacing w:after="0" w:line="13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For the three months ended June 30, 2022, our light vehicle product sales (which comprise diesel and gasoline products, including products for passenger cars, SUVs, light trucks, and other products) accounted for approximately 68% of our revenues. Commercial vehicle product sales (products for on- and off-highway trucks, construction, agriculture and power-generation machines) accounted for 18% of our revenues. Our OEM sales contributed approximately 86% of our revenues while our aftermarket and other products contributed 14% of our revenues. Approximately 51% of our revenues came from sales to customers located in Europe, 27% from sales to customers located in Asia, 20% from sales to customers in North America, and 2% from sales to customers in other international markets.</w:t>
      </w:r>
    </w:p>
    <w:p>
      <w:pPr>
        <w:spacing w:after="0" w:line="346"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On June 28, 2022, the Company completed the third and final early redemption of all its remaining outstanding Series B Preferred Stock. Under this final early redemption, the Company redeemed 271,628,259 shares of its Series B Preferred Stock for an aggregate price of $212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disruptions</w:t>
      </w:r>
    </w:p>
    <w:p>
      <w:pPr>
        <w:spacing w:after="0" w:line="182"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The automotive industry continues to be impacted by uncertainty due to worldwide semiconductor shortages, the COVID-19 pandemic, governmental responses to the pandemic including the lockdown measures in China, and geopolitical tensions in particular from the ongoing military conflict between Russia and Ukraine. The automotive OEMs have already reduced production plans for the first two quarters of 2022, and while the semiconductor shortage is expected to improve in the second half 2022, production levels may be reduced should COVID-related lockdown measures persist or extend, or the conflict between Russia and Ukraine escalates or expands. The Company continues to review production levels at OEM plants and closely monitor supply-chain disruptions related to logistics and component shortages in order to minimize the impact of the bottleneck in supply and mitigate any potential disruption in production. Additionally, we implemented new procedures in 2021 for the monitoring of supplier risks and we believe we have substantially addressed such risks with manageable economic impacts including use of premium freight or adjusted payment terms that are limited in time. However, it is possible that additional supply chain constraints may appear for the industry as the global supply chain restarts. Finally, we have prepared contingency plans for multiple scenarios that we believe will allow us to react swiftly to changes in customer demand while protecting Garrett’s long-term growth potential.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w:t>
      </w:r>
    </w:p>
    <w:p>
      <w:pPr>
        <w:spacing w:after="0" w:line="19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turbocharger industry is expected to increase from approximately 43 million units in 2021 to approximately 49 million units by 2026, according to IHS for light vehicle and Knibb, Gormezano and Partners ("KGP") and Power Systems Research ("PSR") for commercial vehicle on-highway and off-highway. The turbocharger industry growth is mainly driven</w:t>
      </w: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5" w:name="page26"/>
    <w:bookmarkEnd w:id="25"/>
    <w:p>
      <w:pPr>
        <w:jc w:val="both"/>
        <w:spacing w:after="0" w:line="263" w:lineRule="auto"/>
        <w:rPr>
          <w:sz w:val="20"/>
          <w:szCs w:val="20"/>
          <w:color w:val="auto"/>
        </w:rPr>
      </w:pPr>
      <w:r>
        <w:rPr>
          <w:rFonts w:ascii="Times New Roman" w:cs="Times New Roman" w:eastAsia="Times New Roman" w:hAnsi="Times New Roman"/>
          <w:sz w:val="17"/>
          <w:szCs w:val="17"/>
          <w:color w:val="auto"/>
        </w:rPr>
        <w:t>by an expected increase in the penetration of hybrid vehicles, from 10 million hybrid cars globally in 2021 to an anticipated 28 million hybrid cars globally in 2026.</w:t>
      </w:r>
    </w:p>
    <w:p>
      <w:pPr>
        <w:spacing w:after="0" w:line="379"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In the short to medium term, we continue to believe that turbocharger demand will grow as turbochargers remain one of the most cost-efficient levers to improve the fuel efficiency of conventional gasoline and diesel vehicles as well as hybrid vehicles. In addition, fuel cell vehicles also require a high-performance electric boosting system. In the commercial vehicle industry, we expect a slower transition to battery electric vehicles ("BEV"), due to specific mission profile and associated range and charging time constraints, which translates into more resilient turbocharger demand, as most commercial vehicles are turbocharged. In addition, low or zero emission alternative fuels for internal combustion engines ("ICE"), like natural gas or hydrogen, are expected to gain momentum in coming years, supporting continued turbocharger demand. We expect growth in the turbocharger industry in all regions, with special mention for high-growth regions in Asia, where rising income levels continue to drive long-term automotive and vehicle component demand. While these positive factors do not isolate the turbocharger industry from fluctuations in global vehicle production volumes, such factors may mitigate the negative impact of macroeconomic cycles.</w:t>
      </w:r>
    </w:p>
    <w:p>
      <w:pPr>
        <w:spacing w:after="0" w:line="13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The global turbocharger industry is traditionally subject to inflationary pressures with respect to raw materials which place operational and profitability burdens on the entire supply chain. Given the recent macroeconomic disruptions including the geopolitical tensions from the ongoing Russia-Ukraine conflict, we expect to see continued commodity cost volatility which could have an impact on future earnings. Accordingly, we continue to seek to mitigate both inflationary pressures and our material-related cost exposures by negotiating commodity cost contract escalation or pass-through agreements with customers and cost reductions with suppliers. Our sales predictability in the short term might also be impacted by sudden changes in customer demand, driven by our OEM customers’ supply-chain management.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tables show our revenues by geographic region and product line for the three and six months ended June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By Geography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5"/>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8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0" w:type="dxa"/>
            <w:vAlign w:val="bottom"/>
            <w:gridSpan w:val="4"/>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18%</w:t>
            </w:r>
          </w:p>
        </w:tc>
        <w:tc>
          <w:tcPr>
            <w:tcW w:w="88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15%</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300" w:type="dxa"/>
            <w:vAlign w:val="bottom"/>
          </w:tcPr>
          <w:p>
            <w:pPr>
              <w:spacing w:after="0"/>
              <w:rPr>
                <w:sz w:val="21"/>
                <w:szCs w:val="21"/>
                <w:color w:val="auto"/>
              </w:rPr>
            </w:pPr>
          </w:p>
        </w:tc>
        <w:tc>
          <w:tcPr>
            <w:tcW w:w="78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3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51%</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52%</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29%</w:t>
            </w: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32%</w:t>
            </w:r>
          </w:p>
        </w:tc>
        <w:tc>
          <w:tcPr>
            <w:tcW w:w="0" w:type="dxa"/>
            <w:vAlign w:val="bottom"/>
          </w:tcPr>
          <w:p>
            <w:pPr>
              <w:spacing w:after="0"/>
              <w:rPr>
                <w:sz w:val="1"/>
                <w:szCs w:val="1"/>
                <w:color w:val="auto"/>
              </w:rPr>
            </w:pPr>
          </w:p>
        </w:tc>
      </w:tr>
      <w:tr>
        <w:trPr>
          <w:trHeight w:val="245"/>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center"/>
              <w:ind w:right="137"/>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3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6"/>
              </w:rPr>
              <w:t>1%</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FF0FC"/>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3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By Product Line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5"/>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Diesel</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27%</w:t>
            </w:r>
          </w:p>
        </w:tc>
        <w:tc>
          <w:tcPr>
            <w:tcW w:w="1000" w:type="dxa"/>
            <w:vAlign w:val="bottom"/>
            <w:gridSpan w:val="4"/>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28%</w:t>
            </w:r>
          </w:p>
        </w:tc>
        <w:tc>
          <w:tcPr>
            <w:tcW w:w="88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31%</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Gas</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300" w:type="dxa"/>
            <w:vAlign w:val="bottom"/>
          </w:tcPr>
          <w:p>
            <w:pPr>
              <w:spacing w:after="0"/>
              <w:rPr>
                <w:sz w:val="21"/>
                <w:szCs w:val="21"/>
                <w:color w:val="auto"/>
              </w:rPr>
            </w:pPr>
          </w:p>
        </w:tc>
        <w:tc>
          <w:tcPr>
            <w:tcW w:w="7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3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40%</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38%</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Vehicle</w:t>
            </w: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18%</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18%</w:t>
            </w: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19%</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Aftermarket</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1"/>
                <w:szCs w:val="21"/>
                <w:color w:val="auto"/>
              </w:rPr>
            </w:pPr>
          </w:p>
        </w:tc>
        <w:tc>
          <w:tcPr>
            <w:tcW w:w="78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6"/>
              </w:rPr>
              <w:t>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3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12%</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10%</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6"/>
              </w:rPr>
              <w:t>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36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and Six Months Ended June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20" w:type="dxa"/>
            <w:vAlign w:val="bottom"/>
          </w:tcPr>
          <w:p>
            <w:pPr>
              <w:spacing w:after="0"/>
              <w:rPr>
                <w:sz w:val="13"/>
                <w:szCs w:val="13"/>
                <w:color w:val="auto"/>
              </w:rPr>
            </w:pPr>
          </w:p>
        </w:tc>
      </w:tr>
      <w:tr>
        <w:trPr>
          <w:trHeight w:val="182"/>
        </w:trPr>
        <w:tc>
          <w:tcPr>
            <w:tcW w:w="4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20" w:type="dxa"/>
            <w:vAlign w:val="bottom"/>
          </w:tcPr>
          <w:p>
            <w:pPr>
              <w:spacing w:after="0"/>
              <w:rPr>
                <w:sz w:val="15"/>
                <w:szCs w:val="15"/>
                <w:color w:val="auto"/>
              </w:rPr>
            </w:pPr>
          </w:p>
        </w:tc>
      </w:tr>
      <w:tr>
        <w:trPr>
          <w:trHeight w:val="35"/>
        </w:trPr>
        <w:tc>
          <w:tcPr>
            <w:tcW w:w="45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4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2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7"/>
        </w:trPr>
        <w:tc>
          <w:tcPr>
            <w:tcW w:w="4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4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00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859</w:t>
            </w:r>
          </w:p>
        </w:tc>
        <w:tc>
          <w:tcPr>
            <w:tcW w:w="102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rPr>
              <w:t>1,760</w:t>
            </w:r>
          </w:p>
        </w:tc>
        <w:tc>
          <w:tcPr>
            <w:tcW w:w="56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1,932</w:t>
            </w: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change compared with prior period</w:t>
            </w:r>
          </w:p>
        </w:tc>
        <w:tc>
          <w:tcPr>
            <w:tcW w:w="10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5403215" cy="1195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3215"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For the three months ended June 30, 2022, net sales decreased compared to prior year by $76 million or 8%, driven by an unfavorable impact of $73 million or 8% due to foreign currency translation driven by a lower Euro-to-US dollar exchange rate, and lower volumes offset by $28 million of inflation recoveries net of pricing across all product lines.</w:t>
      </w:r>
    </w:p>
    <w:p>
      <w:pPr>
        <w:spacing w:after="0" w:line="12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Gasoline product sales increased by $3 million or 1% (including an unfavorable impact of $27 million or 8% due to foreign currency translation), primarily due to favorable impacts from new product launches in North America which delivered incremental sales year over year, and partially offset by lower sales in China due to the continued COVID-related lockdown measures implemented by the Chinese government which were lifted only in June 2022.</w:t>
      </w:r>
    </w:p>
    <w:p>
      <w:pPr>
        <w:spacing w:after="0" w:line="12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Diesel product sales decreased by $48 million or 17% (including an unfavorable impact of $27 million or 10% due to foreign currency translation). This decrease was mainly due to the continued global semiconductor shortage and other supply shortages at customers due to the ongoing geopolitical crisis and pandemic related disruptions, as well as the impact of higher sales for the three months ended June 30, 2021 brought about by recovery in customer demand following pandemic-related disruptions in 2020.</w:t>
      </w:r>
    </w:p>
    <w:p>
      <w:pPr>
        <w:spacing w:after="0" w:line="14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Commercial vehicle sales decreased by $37 million or 19% (including an unfavorable impact of $11 million or 6% due to foreign currency translation), primarily driven by the continued COVID-related lockdown situations in China that limited our production output, combined with market declines following the implementation of heightened China 6a emissions standards for heavy-duty trucks on July 1, 2021. Commercial vehicle sales also decreased due to continued impacts from semiconductor shortages at customers.</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Aftermarket sales improved by $6 million or 6% (including an unfavorable impact of $6 million or 5% due to foreign currency translation), primarily due to strong demand in North America and Europe related to favorable aftermarket conditions such as increased off-highway demand for new and service parts, as well as growth through new product introductions and favorable pricing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403215" cy="1170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3215" cy="117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7" w:name="page28"/>
    <w:bookmarkEnd w:id="27"/>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For the six months ended June 30, 2022, net sales decreased compared to prior year by $172 million or 9%, driven by an unfavorable impact of $109 million or 6% due to foreign currency translation driven by a lower Euro-to-US dollar exchange rate, and lower volumes partially offset by $26 million of inflation recoveries net of pricing across all product lines.</w:t>
      </w:r>
    </w:p>
    <w:p>
      <w:pPr>
        <w:spacing w:after="0" w:line="140"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Gasoline product sales decreased by $26 million or 4% (including an unfavorable impact of $38 million or 6% due to foreign currency translation), primarily driven by the lower Euro-to-dollar exchange rates and lower sales in China due to the increased COVID-related lockdown measures implemented by the Chinese government. These decreases were more than offset by new product launches in North America which delivered incremental sales year over year.</w:t>
      </w:r>
    </w:p>
    <w:p>
      <w:pPr>
        <w:spacing w:after="0" w:line="12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Diesel product sales decreased by $106 million or 18% (including an unfavorable impact of $42 million or 7% due to foreign currency translation). This decrease was mainly due to the global semiconductor shortage and other supply shortage at customers due to the ongoing geopolitical crisis and pandemic related disruptions, accentuated by the impact of higher sales for the six months ended June 30, 2021 due to recovery in customer demand following pandemic-related disruptions in 2020.</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Commercial vehicle sales decreased by $56 million or 15% (including an unfavorable impact of $17 million or 5% due to foreign currency translation), primarily driven by market declines in China following the implementation of heightened China 6a emissions standards for heavy-duty trucks on July 1, 2021, as well as semiconductor shortages at customers and other impacts from geopolitical tensions in Russia and Ukraine and pandemic-related disruptions.</w:t>
      </w:r>
    </w:p>
    <w:p>
      <w:pPr>
        <w:spacing w:after="0" w:line="140"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Aftermarket sales improved by $20 million or 10% (including an unfavorable impact of $9 million or 5% due to foreign currency translation), primarily due to strong demand in North America and Europe related to favorable aftermarket conditions such as increased off-highway demand for new and service parts, increased revenues from our Performance &amp; Motorsport Turbo business, new distributor openings, as well as growth through new product introductions and favorable pricing impacts.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and 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82"/>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center"/>
              <w:ind w:left="10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
        </w:trPr>
        <w:tc>
          <w:tcPr>
            <w:tcW w:w="44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gridSpan w:val="5"/>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000" w:type="dxa"/>
            <w:vAlign w:val="bottom"/>
            <w:shd w:val="clear" w:color="auto" w:fill="CFF0FC"/>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7"/>
                <w:szCs w:val="17"/>
                <w:color w:val="auto"/>
              </w:rPr>
              <w:t>690</w:t>
            </w:r>
          </w:p>
        </w:tc>
        <w:tc>
          <w:tcPr>
            <w:tcW w:w="108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FF0FC"/>
            </w:tcBorders>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742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1,543</w:t>
            </w:r>
          </w:p>
        </w:tc>
        <w:tc>
          <w:tcPr>
            <w:tcW w:w="20" w:type="dxa"/>
            <w:vAlign w:val="bottom"/>
            <w:shd w:val="clear" w:color="auto" w:fill="CFF0FC"/>
          </w:tcPr>
          <w:p>
            <w:pPr>
              <w:spacing w:after="0"/>
              <w:rPr>
                <w:sz w:val="21"/>
                <w:szCs w:val="2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change compared with prior period</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 percentage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20.1 %</w:t>
            </w:r>
          </w:p>
        </w:tc>
      </w:tr>
      <w:tr>
        <w:trPr>
          <w:trHeight w:val="467"/>
        </w:trPr>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Cost of Goods Sold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Profit</w:t>
            </w:r>
          </w:p>
        </w:tc>
      </w:tr>
      <w:tr>
        <w:trPr>
          <w:trHeight w:val="22"/>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5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three months ended June 30, 2021</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0" w:type="dxa"/>
            <w:vAlign w:val="bottom"/>
          </w:tcPr>
          <w:p>
            <w:pPr>
              <w:spacing w:after="0"/>
              <w:rPr>
                <w:sz w:val="21"/>
                <w:szCs w:val="2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Increase/(decrease) due to:</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Volume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mix</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Price, net of inflation pass-through</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transportation &amp; energy inflation</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Productivity,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&amp; development</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rate impacts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r>
      <w:tr>
        <w:trPr>
          <w:trHeight w:val="21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three months ended June 30, 2022</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690</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For the three months ended June 30, 2022, cost of goods sold decreased by $52 million, primarily driven by our lower sales volumes and foreign currency impacts which contributed to decreases of $40 million and $54 million, respectively. Our continued focus on productivity also contributed to a decrease in cost of goods sold of $20 million, net of $2 million of higher premium freight costs driven by supply chain disruptions, transportation constraints and volume volatility. These decreases were partially offset by $32 million of inflation on commodities, transportation and energy costs, as well as $25</w:t>
      </w:r>
    </w:p>
    <w:p>
      <w:pPr>
        <w:spacing w:after="0" w:line="31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8" w:name="page29"/>
    <w:bookmarkEnd w:id="28"/>
    <w:p>
      <w:pPr>
        <w:jc w:val="both"/>
        <w:spacing w:after="0" w:line="287" w:lineRule="auto"/>
        <w:rPr>
          <w:sz w:val="20"/>
          <w:szCs w:val="20"/>
          <w:color w:val="auto"/>
        </w:rPr>
      </w:pPr>
      <w:r>
        <w:rPr>
          <w:rFonts w:ascii="Times New Roman" w:cs="Times New Roman" w:eastAsia="Times New Roman" w:hAnsi="Times New Roman"/>
          <w:sz w:val="17"/>
          <w:szCs w:val="17"/>
          <w:color w:val="auto"/>
        </w:rPr>
        <w:t>million due to an unfavorable product mix. Research and development ("R&amp;D") costs also increased by $5 million which reflects our shift in investment in new technologies and headcount increase year-over-year.</w:t>
      </w:r>
    </w:p>
    <w:p>
      <w:pPr>
        <w:spacing w:after="0" w:line="12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Gross profit decreased by $24 million, with the decrease mainly driven by the lower sales volumes, inflation on commodities, transportation and energy costs, as well as higher premium freight costs as discussed above. Higher R&amp;D costs and $19 million of unfavorable foreign currency translational, transactional and hedging effects also lowered our gross profit. These decreases were partially offset by $24 million from higher productivity and $28 million of inflation recoveries from customer pass-through agreements net of pricing reductions.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Gross Profit</w:t>
            </w:r>
          </w:p>
        </w:tc>
      </w:tr>
      <w:tr>
        <w:trPr>
          <w:trHeight w:val="22"/>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4"/>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six months ended June 30,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shd w:val="clear" w:color="auto" w:fill="CFF0FC"/>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Increase/(decrease) due to:</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Volume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mix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Price, net of inflation pass-through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transportation &amp; energy inflation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Productivity,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&amp; development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rate impacts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six months ended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For six months ended June 30, 2022, cost of goods sold decreased by $127 million, primarily driven by our lower sales volumes and foreign currency impacts which contributed to decreases of $108 million and $79 million, respectively. Our continued focus on productivity also contributed to a decrease in cost of goods sold of $51 million, net of $7 million of higher premium freight costs driven by supply chain disruptions, transportation constraints and volume volatility. These decreases were partially offset by $56 million of inflation on commodities, transportation and energy costs, as well as $47 million due to an unfavorable product mix. R&amp;D expenses also increased by $8 million which reflects our shift in investment in new technologies and headcount increase year-over-year.</w:t>
      </w:r>
    </w:p>
    <w:p>
      <w:pPr>
        <w:spacing w:after="0" w:line="149"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Gross profit decreased by $45 million, with the decrease mainly driven by the lower sales volumes, inflation on commodities, transportation and energy costs, as well as higher premium freight costs as discussed above. Higher R&amp;D costs and $31 million of unfavorable foreign currency translational, transactional and hedging effects also reduced our gross profit. These decreases were partially offset by $58 million of higher productivity and $26 million of inflation recoveries from customer pass-through agreements net of pricing reductions.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200" w:type="dxa"/>
            <w:vAlign w:val="bottom"/>
            <w:gridSpan w:val="3"/>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800" w:type="dxa"/>
            <w:vAlign w:val="bottom"/>
          </w:tcPr>
          <w:p>
            <w:pPr>
              <w:spacing w:after="0"/>
              <w:rPr>
                <w:sz w:val="13"/>
                <w:szCs w:val="13"/>
                <w:color w:val="auto"/>
              </w:rPr>
            </w:pPr>
          </w:p>
        </w:tc>
      </w:tr>
      <w:tr>
        <w:trPr>
          <w:trHeight w:val="182"/>
        </w:trPr>
        <w:tc>
          <w:tcPr>
            <w:tcW w:w="3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00" w:type="dxa"/>
            <w:vAlign w:val="bottom"/>
          </w:tcPr>
          <w:p>
            <w:pPr>
              <w:spacing w:after="0"/>
              <w:rPr>
                <w:sz w:val="15"/>
                <w:szCs w:val="15"/>
                <w:color w:val="auto"/>
              </w:rPr>
            </w:pPr>
          </w:p>
        </w:tc>
      </w:tr>
      <w:tr>
        <w:trPr>
          <w:trHeight w:val="35"/>
        </w:trPr>
        <w:tc>
          <w:tcPr>
            <w:tcW w:w="33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7"/>
        </w:trPr>
        <w:tc>
          <w:tcPr>
            <w:tcW w:w="3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
        </w:trPr>
        <w:tc>
          <w:tcPr>
            <w:tcW w:w="3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82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120" w:type="dxa"/>
            <w:vAlign w:val="bottom"/>
            <w:shd w:val="clear" w:color="auto" w:fill="CFF0FC"/>
          </w:tcPr>
          <w:p>
            <w:pPr>
              <w:jc w:val="right"/>
              <w:ind w:right="64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03"/>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106</w:t>
            </w: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sales</w:t>
            </w:r>
          </w:p>
        </w:tc>
        <w:tc>
          <w:tcPr>
            <w:tcW w:w="820" w:type="dxa"/>
            <w:vAlign w:val="bottom"/>
          </w:tcPr>
          <w:p>
            <w:pPr>
              <w:spacing w:after="0"/>
              <w:rPr>
                <w:sz w:val="20"/>
                <w:szCs w:val="20"/>
                <w:color w:val="auto"/>
              </w:rPr>
            </w:pPr>
          </w:p>
        </w:tc>
        <w:tc>
          <w:tcPr>
            <w:tcW w:w="1380" w:type="dxa"/>
            <w:vAlign w:val="bottom"/>
            <w:gridSpan w:val="2"/>
          </w:tcPr>
          <w:p>
            <w:pPr>
              <w:jc w:val="right"/>
              <w:ind w:right="847"/>
              <w:spacing w:after="0"/>
              <w:rPr>
                <w:sz w:val="20"/>
                <w:szCs w:val="20"/>
                <w:color w:val="auto"/>
              </w:rPr>
            </w:pPr>
            <w:r>
              <w:rPr>
                <w:rFonts w:ascii="Times New Roman" w:cs="Times New Roman" w:eastAsia="Times New Roman" w:hAnsi="Times New Roman"/>
                <w:sz w:val="17"/>
                <w:szCs w:val="17"/>
                <w:color w:val="auto"/>
              </w:rPr>
              <w:t>6.3 %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tcPr>
          <w:p>
            <w:pPr>
              <w:jc w:val="right"/>
              <w:ind w:right="523"/>
              <w:spacing w:after="0"/>
              <w:rPr>
                <w:sz w:val="20"/>
                <w:szCs w:val="20"/>
                <w:color w:val="auto"/>
              </w:rPr>
            </w:pPr>
            <w:r>
              <w:rPr>
                <w:rFonts w:ascii="Times New Roman" w:cs="Times New Roman" w:eastAsia="Times New Roman" w:hAnsi="Times New Roman"/>
                <w:sz w:val="17"/>
                <w:szCs w:val="17"/>
                <w:color w:val="auto"/>
              </w:rPr>
              <w:t>6.1 %</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r>
    </w:tbl>
    <w:p>
      <w:pPr>
        <w:spacing w:after="0" w:line="25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(“SG&amp;A”) expenses for the three months ended June 30, 2022 increased by $3 million compared with the prior year, primarily due to $9 million of higher professional services costs, $1 million from increased travel expenses and $1 million of increased bad debt expense. These increases were partially offset by $4 million of lower employee-related costs reflecting lower expected payout on 2022 employee incentives, as well as $4 million of favorable impacts from foreign exchange rates.</w:t>
      </w:r>
    </w:p>
    <w:p>
      <w:pPr>
        <w:spacing w:after="0" w:line="13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For the six months ended June 30, 2022, SG&amp;A increased by $1 million versus the prior year. This increase was driven by $9 million of higher professional services costs, $2 million from increased travel expenses and $4 million of higher bad debt expenses due primarily to a non-recurring bad debt recovery recognized during the first quarter of 2021. These increases were partially offset by $7 million of lower employee-related costs which reflect not only lower expected</w:t>
      </w:r>
    </w:p>
    <w:p>
      <w:pPr>
        <w:spacing w:after="0" w:line="200" w:lineRule="exact"/>
        <w:rPr>
          <w:sz w:val="20"/>
          <w:szCs w:val="20"/>
          <w:color w:val="auto"/>
        </w:rPr>
      </w:pPr>
    </w:p>
    <w:p>
      <w:pPr>
        <w:spacing w:after="0" w:line="32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7"/>
          <w:szCs w:val="17"/>
          <w:color w:val="auto"/>
        </w:rPr>
        <w:t>employee incentive payout as discussed above, but also $2 million of one-time cash continuity awards that were recognized in 2021. We also saw a $7 million benefit from favorable foreign exchange rates compared to the prior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35"/>
        </w:trPr>
        <w:tc>
          <w:tcPr>
            <w:tcW w:w="46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20</w:t>
            </w:r>
          </w:p>
        </w:tc>
        <w:tc>
          <w:tcPr>
            <w:tcW w:w="10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43</w:t>
            </w:r>
          </w:p>
        </w:tc>
        <w:tc>
          <w:tcPr>
            <w:tcW w:w="66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24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three months ended June 30, 2022, interest expense decreased by $4 million compared to the prior year, primarily due to $3 million of higher interest accretion in 2021 on our Series B Preferred Stock that was issued at Emergence.</w:t>
      </w:r>
    </w:p>
    <w:p>
      <w:pPr>
        <w:spacing w:after="0" w:line="11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the six months ended June 30, 2022, interest expense decreased by $2 million compared to the prior year primarily due to $5 million of lower interest expense on our current credit facilities compared to the credit facility in place last year prior to Emergence and prior year period fees related to amendments on our previous credit facilities, partially offset by $3 million of higher interest expense in 2022 due to an additional quarter of accretion on our Series B Preferred Stock that was issued at Emergence.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Non-operating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6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35"/>
        </w:trPr>
        <w:tc>
          <w:tcPr>
            <w:tcW w:w="4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2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Non-operating income</w:t>
            </w: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(16)</w:t>
            </w:r>
          </w:p>
        </w:tc>
        <w:tc>
          <w:tcPr>
            <w:tcW w:w="102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64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41" w:lineRule="exact"/>
        <w:rPr>
          <w:sz w:val="20"/>
          <w:szCs w:val="20"/>
          <w:color w:val="auto"/>
        </w:rPr>
      </w:pPr>
    </w:p>
    <w:p>
      <w:pPr>
        <w:jc w:val="both"/>
        <w:ind w:firstLine="371"/>
        <w:spacing w:after="0" w:line="259" w:lineRule="auto"/>
        <w:rPr>
          <w:sz w:val="20"/>
          <w:szCs w:val="20"/>
          <w:color w:val="auto"/>
        </w:rPr>
      </w:pPr>
      <w:r>
        <w:rPr>
          <w:rFonts w:ascii="Times New Roman" w:cs="Times New Roman" w:eastAsia="Times New Roman" w:hAnsi="Times New Roman"/>
          <w:sz w:val="17"/>
          <w:szCs w:val="17"/>
          <w:color w:val="auto"/>
        </w:rPr>
        <w:t>For the three months ended June 30, 2022, non-operating income decreased by $10 million from $26 million in the prior year,and comprised of $12 million of interest income primarily from unrealized marked-to-market gains on our interest rate swaps, $2 million of equity income from unconsolidated affiliates, $3 million related to non-service components of net periodic pension benefits, and $4 million of other non-operating gains partially offset by $5 million of foreign exchange remeasurement impacts. The decrease in non-operating income versus prior year is primarily due to $25 million of favorable foreign exchange remeasurement impacts recognized in 2021 on foreign currency-denominated debt which was unhedged due to the restrictions placed on the Company in the Chapter 11 proceedings (and was settled at Emergence), partially offset by higher interest income from unrealized marked-to-market gains on our interest rate swaps.</w:t>
      </w:r>
    </w:p>
    <w:p>
      <w:pPr>
        <w:spacing w:after="0" w:line="346"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For the six months ended June 30, 2022, non-operating income increased by $44 million and comprised of $39 million of interest income primarily from unrealized marked-to-market gains on our interest rate swaps, $4 million of equity income from unconsolidated affiliates, $5 million related to non-service components of net periodic pension benefits, and $4 million of other non-operating gains partially offset by $8 million of foreign exchange remeasurement losses. The increase in non-operating income from prior year is mainly due to the higher interest income associated with unrealized marked-to-market gains on our interest rate swaps, as well as foreign exchange remeasurement losses recognized in 2021 on the above-mentioned foreign currency-denominated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 net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8"/>
        </w:trPr>
        <w:tc>
          <w:tcPr>
            <w:tcW w:w="4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82"/>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2</w:t>
            </w:r>
          </w:p>
        </w:tc>
        <w:tc>
          <w:tcPr>
            <w:tcW w:w="66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w:t>
            </w:r>
          </w:p>
        </w:tc>
      </w:tr>
    </w:tbl>
    <w:p>
      <w:pPr>
        <w:spacing w:after="0" w:line="24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Reorganization items, net for the three months ended June 30, 2022 was an expense of $1 million related to professional service fees incurred for the remaining main Chapter 11 Case. During the prior year period, reorganization items, net amounted to a $295 million gain, representing a $502 million gain on settlement of Honeywell claims, partially offset by $96 million professional service fees related to the Chapter 11 Cases, $39 million in Directors and Officers insurance related to Chapter 11 Cases, $25 million write off on debt issuance costs of the Company's pre-petition term loan,</w:t>
      </w:r>
    </w:p>
    <w:p>
      <w:pPr>
        <w:spacing w:after="0" w:line="30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$13 million in employee stock awards cancellation and $34 million in other costs mainly related to unsecured notes settlement.</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the six months ended June 30, 2022, reorganization items, net was an expense of $2 million related to professional service fees incurred for the remaining main Chapter 11 Case. During the prior year period, reorganization items, net amounted to $121 million gain, representing $502 million gain on settlement of Honeywell claims, partially offset by $181 million professional service fees related to the Chapter 11 Cases, $79 million related to the termination of and expense reimbursement under that certain share and asset purchase agreement entered into on the Petition Date by the Debtors, AMP Intermediate B.V. and AMP U.S. Holdings, LLC (the “Stalking Horse Purchase Agreement"), $39 million Directors and Officers insurance related to Chapter 11 Cases, $25 million write off on debt issuance costs of the Company's pre-petition term loan facilities, $13 million in employee stock awards cancellation and $44 million in other costs mainly related to unsecured notes settlement.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2"/>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4"/>
                <w:szCs w:val="14"/>
                <w:color w:val="auto"/>
              </w:rPr>
            </w:pPr>
          </w:p>
        </w:tc>
      </w:tr>
      <w:tr>
        <w:trPr>
          <w:trHeight w:val="182"/>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6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5"/>
                <w:szCs w:val="15"/>
                <w:color w:val="auto"/>
              </w:rPr>
            </w:pPr>
          </w:p>
        </w:tc>
        <w:tc>
          <w:tcPr>
            <w:tcW w:w="10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34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80" w:type="dxa"/>
            <w:vAlign w:val="bottom"/>
            <w:shd w:val="clear" w:color="auto" w:fill="CFF0FC"/>
          </w:tcPr>
          <w:p>
            <w:pPr>
              <w:jc w:val="right"/>
              <w:ind w:right="40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54</w:t>
            </w: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20" w:type="dxa"/>
            <w:vAlign w:val="bottom"/>
          </w:tcPr>
          <w:p>
            <w:pPr>
              <w:spacing w:after="0"/>
              <w:rPr>
                <w:sz w:val="20"/>
                <w:szCs w:val="20"/>
                <w:color w:val="auto"/>
              </w:rPr>
            </w:pPr>
          </w:p>
        </w:tc>
        <w:tc>
          <w:tcPr>
            <w:tcW w:w="1760" w:type="dxa"/>
            <w:vAlign w:val="bottom"/>
            <w:gridSpan w:val="2"/>
          </w:tcPr>
          <w:p>
            <w:pPr>
              <w:jc w:val="right"/>
              <w:ind w:right="1066"/>
              <w:spacing w:after="0"/>
              <w:rPr>
                <w:sz w:val="20"/>
                <w:szCs w:val="20"/>
                <w:color w:val="auto"/>
              </w:rPr>
            </w:pPr>
            <w:r>
              <w:rPr>
                <w:rFonts w:ascii="Times New Roman" w:cs="Times New Roman" w:eastAsia="Times New Roman" w:hAnsi="Times New Roman"/>
                <w:sz w:val="17"/>
                <w:szCs w:val="17"/>
                <w:color w:val="auto"/>
              </w:rPr>
              <w:t>19.0 %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2"/>
          </w:tcPr>
          <w:p>
            <w:pPr>
              <w:jc w:val="right"/>
              <w:ind w:right="623"/>
              <w:spacing w:after="0"/>
              <w:rPr>
                <w:sz w:val="20"/>
                <w:szCs w:val="20"/>
                <w:color w:val="auto"/>
              </w:rPr>
            </w:pPr>
            <w:r>
              <w:rPr>
                <w:rFonts w:ascii="Times New Roman" w:cs="Times New Roman" w:eastAsia="Times New Roman" w:hAnsi="Times New Roman"/>
                <w:sz w:val="17"/>
                <w:szCs w:val="17"/>
                <w:color w:val="auto"/>
              </w:rPr>
              <w:t>24.8 %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r>
    </w:tbl>
    <w:p>
      <w:pPr>
        <w:spacing w:after="0" w:line="254"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Our effective tax rates for the three and six months ended June 30, 2022 increased compared to the prior year periods, primarily related to the nontaxable gain on the settlement of the Honeywell claims recorded in the prior year. The effective tax rate for the six months ended June 30, 2022 also increased due to true-ups recorded in the first quarter of 2022 to prior year tax reserves.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35"/>
        </w:trPr>
        <w:tc>
          <w:tcPr>
            <w:tcW w:w="46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85</w:t>
            </w:r>
          </w:p>
        </w:tc>
        <w:tc>
          <w:tcPr>
            <w:tcW w:w="10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173</w:t>
            </w:r>
          </w:p>
        </w:tc>
        <w:tc>
          <w:tcPr>
            <w:tcW w:w="66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w:t>
            </w:r>
          </w:p>
        </w:tc>
      </w:tr>
    </w:tbl>
    <w:p>
      <w:pPr>
        <w:spacing w:after="0" w:line="241"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 xml:space="preserve">Net income for the three months ended June 30, 2022 decreased by $324 million compared with the prior year, primarily due to the $295 million net gain on reorganization items recorded in the prior year period as discussed above. The lower gross profit and non-operating income for the three months ended June 30, 2022 as discussed above within the </w:t>
      </w:r>
      <w:r>
        <w:rPr>
          <w:rFonts w:ascii="Times New Roman" w:cs="Times New Roman" w:eastAsia="Times New Roman" w:hAnsi="Times New Roman"/>
          <w:sz w:val="17"/>
          <w:szCs w:val="17"/>
          <w:color w:val="000000"/>
        </w:rPr>
        <w:t>Cost of Goods Sold and Gross Profit and Non-operating income sections</w:t>
      </w:r>
      <w:r>
        <w:rPr>
          <w:rFonts w:ascii="Times New Roman" w:cs="Times New Roman" w:eastAsia="Times New Roman" w:hAnsi="Times New Roman"/>
          <w:sz w:val="17"/>
          <w:szCs w:val="17"/>
          <w:color w:val="231F20"/>
        </w:rPr>
        <w:t xml:space="preserve"> also contributed to the decreased net income.</w:t>
      </w:r>
    </w:p>
    <w:p>
      <w:pPr>
        <w:spacing w:after="0" w:line="12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 xml:space="preserve">For the </w:t>
      </w:r>
      <w:r>
        <w:rPr>
          <w:rFonts w:ascii="Times New Roman" w:cs="Times New Roman" w:eastAsia="Times New Roman" w:hAnsi="Times New Roman"/>
          <w:sz w:val="17"/>
          <w:szCs w:val="17"/>
          <w:color w:val="000000"/>
        </w:rPr>
        <w:t>six months ended June 30, 2022, n</w:t>
      </w:r>
      <w:r>
        <w:rPr>
          <w:rFonts w:ascii="Times New Roman" w:cs="Times New Roman" w:eastAsia="Times New Roman" w:hAnsi="Times New Roman"/>
          <w:sz w:val="17"/>
          <w:szCs w:val="17"/>
          <w:color w:val="231F20"/>
        </w:rPr>
        <w:t>et income decreased by $131 million compared with the prior year primarily as result of the $121 million net gain on r</w:t>
      </w:r>
      <w:r>
        <w:rPr>
          <w:rFonts w:ascii="Times New Roman" w:cs="Times New Roman" w:eastAsia="Times New Roman" w:hAnsi="Times New Roman"/>
          <w:sz w:val="17"/>
          <w:szCs w:val="17"/>
          <w:color w:val="000000"/>
        </w:rPr>
        <w:t>eorganization</w:t>
      </w:r>
      <w:r>
        <w:rPr>
          <w:rFonts w:ascii="Times New Roman" w:cs="Times New Roman" w:eastAsia="Times New Roman" w:hAnsi="Times New Roman"/>
          <w:sz w:val="17"/>
          <w:szCs w:val="17"/>
          <w:color w:val="231F20"/>
        </w:rPr>
        <w:t xml:space="preserve"> items and higher gross profit recognized in the prior year period. These decreases were partially offset by $44 million of non-operating income for </w:t>
      </w:r>
      <w:r>
        <w:rPr>
          <w:rFonts w:ascii="Times New Roman" w:cs="Times New Roman" w:eastAsia="Times New Roman" w:hAnsi="Times New Roman"/>
          <w:sz w:val="17"/>
          <w:szCs w:val="17"/>
          <w:color w:val="000000"/>
        </w:rPr>
        <w:t>six months ended June 30, 2022 as discussed above within the Non-operating income section.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19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 analysis of the Company’s operating results as reported under GAAP.</w:t>
      </w:r>
    </w:p>
    <w:p>
      <w:pPr>
        <w:spacing w:after="0" w:line="30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EBITDA and Adjusted EBITDA </w:t>
      </w:r>
      <w:r>
        <w:rPr>
          <w:rFonts w:ascii="Times New Roman" w:cs="Times New Roman" w:eastAsia="Times New Roman" w:hAnsi="Times New Roman"/>
          <w:sz w:val="26"/>
          <w:szCs w:val="26"/>
          <w:b w:val="1"/>
          <w:bCs w:val="1"/>
          <w:i w:val="1"/>
          <w:i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 — GAAP</w:t>
            </w:r>
          </w:p>
        </w:tc>
        <w:tc>
          <w:tcPr>
            <w:tcW w:w="96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3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51"/>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Tax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9"/>
        </w:trPr>
        <w:tc>
          <w:tcPr>
            <w:tcW w:w="46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4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EBITDA (Non-GAAP)</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Reorganization items, net </w:t>
            </w:r>
            <w:r>
              <w:rPr>
                <w:rFonts w:ascii="Times New Roman" w:cs="Times New Roman" w:eastAsia="Times New Roman" w:hAnsi="Times New Roman"/>
                <w:sz w:val="26"/>
                <w:szCs w:val="26"/>
                <w:color w:val="auto"/>
                <w:vertAlign w:val="superscript"/>
              </w:rPr>
              <w:t>(2)</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58"/>
        </w:trPr>
        <w:tc>
          <w:tcPr>
            <w:tcW w:w="4660" w:type="dxa"/>
            <w:vAlign w:val="bottom"/>
            <w:shd w:val="clear" w:color="auto" w:fill="CFF0FC"/>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Stock compensation expense </w:t>
            </w:r>
            <w:r>
              <w:rPr>
                <w:rFonts w:ascii="Times New Roman" w:cs="Times New Roman" w:eastAsia="Times New Roman" w:hAnsi="Times New Roman"/>
                <w:sz w:val="26"/>
                <w:szCs w:val="26"/>
                <w:color w:val="auto"/>
                <w:vertAlign w:val="superscript"/>
              </w:rPr>
              <w:t>(3)</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Repositioning costs </w:t>
            </w:r>
            <w:r>
              <w:rPr>
                <w:rFonts w:ascii="Times New Roman" w:cs="Times New Roman" w:eastAsia="Times New Roman" w:hAnsi="Times New Roman"/>
                <w:sz w:val="26"/>
                <w:szCs w:val="26"/>
                <w:color w:val="auto"/>
                <w:vertAlign w:val="superscript"/>
              </w:rPr>
              <w:t>(4)</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5"/>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Foreign exchange (gain)/loss on debt, net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Discounting costs on factoring</w:t>
            </w:r>
          </w:p>
        </w:tc>
        <w:tc>
          <w:tcPr>
            <w:tcW w:w="9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660" w:type="dxa"/>
            <w:vAlign w:val="bottom"/>
            <w:tcBorders>
              <w:bottom w:val="single" w:sz="8" w:color="CCEEFF"/>
            </w:tcBorders>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Other non-operating income </w:t>
            </w:r>
            <w:r>
              <w:rPr>
                <w:rFonts w:ascii="Times New Roman" w:cs="Times New Roman" w:eastAsia="Times New Roman" w:hAnsi="Times New Roman"/>
                <w:sz w:val="26"/>
                <w:szCs w:val="26"/>
                <w:color w:val="auto"/>
                <w:vertAlign w:val="superscript"/>
              </w:rPr>
              <w:t>(5)</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(Non-GAAP)</w:t>
            </w: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left="620" w:hanging="307"/>
        <w:spacing w:after="0" w:line="261"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 performance on the basis of EBITDA and Adjusted EBITDA. We define “EBITDA” as our net income calculated in accordance with U.S. GAAP, plus the sum of net interest expense, tax expense and depreciation. We define “Adjusted EBITDA” as EBITDA, plus the sum of net reorganization items, stock compensation expense, repositioning costs, net foreign exchange (gain)/loss on debt, loss on extinguishment on debt, discounting costs on factoring and other non-operating income. We believe that EBITDA and Adjusted EBITDA are important indicators of operating performance and provide useful information for investors because:</w:t>
      </w:r>
    </w:p>
    <w:p>
      <w:pPr>
        <w:spacing w:after="0" w:line="187" w:lineRule="exact"/>
        <w:rPr>
          <w:rFonts w:ascii="Times New Roman" w:cs="Times New Roman" w:eastAsia="Times New Roman" w:hAnsi="Times New Roman"/>
          <w:sz w:val="17"/>
          <w:szCs w:val="17"/>
          <w:color w:val="auto"/>
        </w:rPr>
      </w:pPr>
    </w:p>
    <w:p>
      <w:pPr>
        <w:ind w:left="780" w:hanging="313"/>
        <w:spacing w:after="0" w:line="235" w:lineRule="auto"/>
        <w:tabs>
          <w:tab w:leader="none" w:pos="77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190"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adjustment items, while periodically affecting our results, may vary significantly from period to period and have disproportionate effect in a given period, which affects the comparability of our results.</w:t>
      </w:r>
    </w:p>
    <w:p>
      <w:pPr>
        <w:spacing w:after="0" w:line="165"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In addition, our management may use Adjusted EBITDA in setting performance incentive targets to align performance measurement with operational performance.</w:t>
      </w:r>
    </w:p>
    <w:p>
      <w:pPr>
        <w:spacing w:after="0" w:line="113" w:lineRule="exact"/>
        <w:rPr>
          <w:sz w:val="20"/>
          <w:szCs w:val="20"/>
          <w:color w:val="auto"/>
        </w:rPr>
      </w:pPr>
    </w:p>
    <w:p>
      <w:pPr>
        <w:jc w:val="both"/>
        <w:ind w:left="620" w:hanging="307"/>
        <w:spacing w:after="0" w:line="264" w:lineRule="auto"/>
        <w:tabs>
          <w:tab w:leader="none" w:pos="6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 items, net in the Consolidated Interim Statements of Operations. See Note 1, </w:t>
      </w:r>
      <w:r>
        <w:rPr>
          <w:rFonts w:ascii="Times New Roman" w:cs="Times New Roman" w:eastAsia="Times New Roman" w:hAnsi="Times New Roman"/>
          <w:sz w:val="17"/>
          <w:szCs w:val="17"/>
          <w:i w:val="1"/>
          <w:iCs w:val="1"/>
          <w:color w:val="auto"/>
        </w:rPr>
        <w:t>Background and Basis of Presentation</w:t>
      </w:r>
      <w:r>
        <w:rPr>
          <w:rFonts w:ascii="Times New Roman" w:cs="Times New Roman" w:eastAsia="Times New Roman" w:hAnsi="Times New Roman"/>
          <w:sz w:val="17"/>
          <w:szCs w:val="17"/>
          <w:color w:val="auto"/>
        </w:rPr>
        <w:t xml:space="preserve"> of the Notes to the Consolidated Interim Financial Statements.</w:t>
      </w:r>
    </w:p>
    <w:p>
      <w:pPr>
        <w:spacing w:after="0" w:line="1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compensation expense includes only non-cash expenses.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Repositioning costs includes severance costs related to restructuring projects to improve future productivity.</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non-service component of net periodic pension costs and other income that are non-recurring or not considered directly related to the Company's operations.</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5403215" cy="1637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321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For the three months ended June 30, 2022, net income decreased by $324 million versus the prior year as discussed above within the Results of Operations for the Three and Six Months Ended June 30, 2022 section.</w:t>
      </w:r>
    </w:p>
    <w:p>
      <w:pPr>
        <w:spacing w:after="0" w:line="12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231F20"/>
        </w:rPr>
        <w:t>Adjusted EBITDA decreased by $30 million compared to the prior year, mainly due to volume decreases, inflation on commodities, transportation and energy, as well as unfavorable foreign exchange impacts, partially offset by increased productivity and inflation pass-through net of pricing. Our volumes for the three months ended June 30, 2022 totaled 3.2 million units, representing a decrease of approximately 6% from the prior year and approximates the estimated decrease in global light vehicle production.</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Our Adjusted EBITDA margin of 16.1% represented a year-over-year contraction of 190 basis points. During the three months ended June 30, 2022, we faced demand volatility driven mainly by the global semiconductor shortage and geopolitical tensions from the ongoing military conflict between Russia and Ukraine, resulting in supply chain disruptions.</w:t>
      </w:r>
    </w:p>
    <w:p>
      <w:pPr>
        <w:spacing w:after="0" w:line="12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231F20"/>
        </w:rPr>
        <w:t>We maintained our focus on productivity in the current year as rising commodity prices led to higher raw material costs, particularly for nickel, aluminum and steel alloys. We recovered a majority of the increases from our customer pass-through agreements, especially for nickel, and continue to negotiate with our customers for further escalators while actively managing our supply base and cost recovery mechanisms to minimize the impact of materials cost inflation. The increased productivity was partially offset by year-over-year labor inflation and increased premium freight costs driven by supply chain disruptions, transportation constraints and volume volatility, as well as higher SG&amp;A expenses due to higher professional service fees and higher travel expenses.</w:t>
      </w:r>
    </w:p>
    <w:p>
      <w:pPr>
        <w:spacing w:after="0" w:line="14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R&amp;D expenses increased $5 million which reflects our shift in investment in new technologies, increased hiring to accelerate growth in the new technologies and year-over-year labor inflation.</w:t>
      </w:r>
    </w:p>
    <w:p>
      <w:pPr>
        <w:spacing w:after="0" w:line="11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Losses in foreign currency from translational, transactional and hedging effects in the three months ended June 30, 2022, primarily driven by a lower Euro-to-US dollar exchange rate versus the prior-year period, also accounted for $15 million of the decrease in Adjusted EBITDA.</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5403215" cy="1678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3215"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For the six months ended June 30, 2022, net income decreased by $131 million versus the prior year as discussed above within the Results of Operations for the Three and Six Months Ended June 30, 2022 section.</w:t>
      </w:r>
    </w:p>
    <w:p>
      <w:pPr>
        <w:spacing w:after="0" w:line="12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Adjusted EBITDA decreased by $60 million compared to the prior year, mainly due to volume decreases, inflation on commodities, transportation and energy, as well as unfavorable foreign exchange impacts, partially offset by increased productivity, inflation pass-through net of pricing and a favorable mix. Our volumes for the six months ended June 30, 2022 totaled 6.6 million units, representing a decrease of approximately 8% from the prior year.</w:t>
      </w:r>
    </w:p>
    <w:p>
      <w:pPr>
        <w:spacing w:after="0" w:line="12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Our Adjusted EBITDA margin of 16.1% represented a year-over-year contraction of 170 basis points. During the six months ended June 30, 2022, we faced demand volatility driven mainly by the global semiconductor shortage and geopolitical tensions due to the ongoing military conflict between Russia and Ukraine, resulting in supply chain disruptions.</w:t>
      </w:r>
    </w:p>
    <w:p>
      <w:pPr>
        <w:spacing w:after="0" w:line="12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231F20"/>
        </w:rPr>
        <w:t>We maintained our focus on productivity in the current year as rising commodity prices led to higher raw material costs, particularly for nickel, aluminum and steel alloys. We recovered a majority of the cost increases from our customer pass-through agreements, especially for nickel, and continue to negotiate with our customers for further escalators while actively managing our supply base and cost recovery mechanisms to minimize the impact of materials, transportation and energy cost inflation. The increased productivity was partially offset by year-over-year labor inflation and increased premium freight costs driven by supply chain disruptions, transportation constraints and volume volatility.</w:t>
      </w:r>
    </w:p>
    <w:p>
      <w:pPr>
        <w:spacing w:after="0" w:line="14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R&amp;D expenses increased $8 million which reflects our shift in investment in new technologies, increased hiring to accelerate growth in the new technologies and year-over-year labor inflation.</w:t>
      </w:r>
    </w:p>
    <w:p>
      <w:pPr>
        <w:spacing w:after="0" w:line="11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Losses in foreign currency from translational, transactional and hedging effects in the six months ended June 30, 2022, primarily driven by a lower Euro-to-US dollar exchange rate versus the prior-year period, also accounted for $28 million of the decrease in Adjusted EBITDA.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Historically, we have financed our operations with funds generated from operating activities, available cash and cash equivalents, as well as borrowings under a senior secured revolving credit facility and the issuance of senior notes, commitments under both of which were cancelled in connection with the Chapter 11 Cases. During the pendency of our bankruptcy proceedings, we financed our operations with funds generated from operating activities and available cash and cash equivalents, and also had in place debtor-in-possession financing arrangements.</w:t>
      </w:r>
    </w:p>
    <w:p>
      <w:pPr>
        <w:spacing w:after="0" w:line="133"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Following the completion of the Chapter 11 Cases and Emergence, including during the six months ended June 30, 2022, we funded our operations primarily through cash flows from operating activities, borrowings from Credit Facilities and cash and cash equivalents. As of June 30, 2022, the Company reported a cash and cash equivalents position of $146 million (not including $33 million in restricted cash as of June 30, 2022) as compared to $423 million as of December 31, 2021 (not including $41 million in restricted cash as of December 31, 2021). As of June 30, 2022, the Company had no borrowings outstanding under the Revolving Facility, no outstanding letters of credit, and available borrowing capacity of</w:t>
      </w:r>
    </w:p>
    <w:p>
      <w:pPr>
        <w:spacing w:after="0" w:line="3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7"/>
          <w:szCs w:val="17"/>
          <w:color w:val="auto"/>
        </w:rPr>
        <w:t>$475 million. In addition, as of June 30, 2022, the Company had $1,180 million of principal outstanding on its Term Loan Facilities and $22 million in available letter of credit facilities.</w:t>
      </w:r>
    </w:p>
    <w:p>
      <w:pPr>
        <w:spacing w:after="0" w:line="125"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2022, we repaid $4 million on our Dollar Facility and $381 million related to our Series B Preferred Stock which included the final redemption payment, following which no shares of our Series B Preferred Stock remain outstanding. Additionally, holders of our Series A Preferred Stock are entitled to receive, and, as and if declared by a committee of disinterested directors of the Board out of funds legally available for such dividend, cumulative cash dividends at an annual rate of 11% on the stated amount per share plus the amount of any accrued and unpaid dividends on such share. These dividends accumulate whether or not declared, and as of June 30, 2022, the aggregate accumulated dividend was approximately $174 million.</w:t>
      </w:r>
    </w:p>
    <w:p>
      <w:pPr>
        <w:spacing w:after="0" w:line="136"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As disclosed in our 2021 Form 10-K, we expect to continue investing in our facilities as we expand our manufacturing capacity for new product launches and invest in strategic growth opportunities, in particular in the electrification of drivetrains.</w:t>
      </w:r>
    </w:p>
    <w:p>
      <w:pPr>
        <w:spacing w:after="0" w:line="11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believe the combination of expected cash flows, the funding received from our Series A Preferred Stock issuance, the term loan borrowings, and the revolving credit facilities being committed until 2026, will provide us with adequate liquidity to support the Company's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Emergence - Exit Financing and Entry into Credit Facilities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Upon our emergence from Chapter 11 proceedings on the Effective Date, the following transactions significantly improved the Company’s liquidity:</w:t>
      </w:r>
    </w:p>
    <w:p>
      <w:pPr>
        <w:spacing w:after="0" w:line="199" w:lineRule="exact"/>
        <w:rPr>
          <w:sz w:val="20"/>
          <w:szCs w:val="20"/>
          <w:color w:val="auto"/>
        </w:rPr>
      </w:pPr>
    </w:p>
    <w:p>
      <w:pPr>
        <w:ind w:left="780" w:hanging="313"/>
        <w:spacing w:after="0"/>
        <w:tabs>
          <w:tab w:leader="none" w:pos="7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Net proceeds from the issuance of Term Loan Facilities of $1,221 million;</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obtained $300 million in commitments under a five-year secured first-lien multi-currency Revolving Facility, $125 million of which may be used for the issuance of letters of credit;</w:t>
      </w:r>
    </w:p>
    <w:p>
      <w:pPr>
        <w:spacing w:after="0" w:line="172"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obtained a $35 million letter of credit facility for a term of five years;</w:t>
      </w:r>
    </w:p>
    <w:p>
      <w:pPr>
        <w:spacing w:after="0" w:line="202" w:lineRule="exact"/>
        <w:rPr>
          <w:rFonts w:ascii="Arial" w:cs="Arial" w:eastAsia="Arial" w:hAnsi="Arial"/>
          <w:sz w:val="21"/>
          <w:szCs w:val="21"/>
          <w:color w:val="auto"/>
        </w:rPr>
      </w:pPr>
    </w:p>
    <w:p>
      <w:pPr>
        <w:ind w:left="780" w:hanging="313"/>
        <w:spacing w:after="0" w:line="235" w:lineRule="auto"/>
        <w:tabs>
          <w:tab w:leader="none" w:pos="77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Debt repayment of $1,103 million in secured term loan facilities and accrued interest, repayment of $374 million in revolving credit facility, $461 million in Senior Notes and accrued interest and $101 million repayment of Debtor-in-possession Term Loan facility and accrued interest;</w:t>
      </w:r>
    </w:p>
    <w:p>
      <w:pPr>
        <w:spacing w:after="0" w:line="172" w:lineRule="exact"/>
        <w:rPr>
          <w:rFonts w:ascii="Arial" w:cs="Arial" w:eastAsia="Arial" w:hAnsi="Arial"/>
          <w:sz w:val="21"/>
          <w:szCs w:val="21"/>
          <w:color w:val="auto"/>
        </w:rPr>
      </w:pPr>
    </w:p>
    <w:p>
      <w:pPr>
        <w:ind w:left="780" w:hanging="313"/>
        <w:spacing w:after="0"/>
        <w:tabs>
          <w:tab w:leader="none" w:pos="78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Issuance of Series A Preferred Stock in a rights offering for $1,301 million;</w:t>
      </w:r>
    </w:p>
    <w:p>
      <w:pPr>
        <w:spacing w:after="0" w:line="183" w:lineRule="exact"/>
        <w:rPr>
          <w:rFonts w:ascii="Arial" w:cs="Arial" w:eastAsia="Arial" w:hAnsi="Arial"/>
          <w:sz w:val="21"/>
          <w:szCs w:val="21"/>
          <w:color w:val="auto"/>
        </w:rPr>
      </w:pPr>
    </w:p>
    <w:p>
      <w:pPr>
        <w:ind w:left="780" w:hanging="313"/>
        <w:spacing w:after="0"/>
        <w:tabs>
          <w:tab w:leader="none" w:pos="78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Settlement of $1,459 million of claims with Honeywell for a $375 million payment and the issuance of $577 million of Series B Preferred Stock.</w:t>
      </w:r>
    </w:p>
    <w:p>
      <w:pPr>
        <w:spacing w:after="0" w:line="15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 xml:space="preserve">On January 11, 2022 and March 22, 2022, the Company amended the Credit Agreement, increasing the maximum amount of borrowings under the Revolving Facility from $300 million to $475 million. For more information, see Note 13, </w:t>
      </w:r>
      <w:r>
        <w:rPr>
          <w:rFonts w:ascii="Times New Roman" w:cs="Times New Roman" w:eastAsia="Times New Roman" w:hAnsi="Times New Roman"/>
          <w:sz w:val="17"/>
          <w:szCs w:val="17"/>
          <w:i w:val="1"/>
          <w:iCs w:val="1"/>
          <w:color w:val="auto"/>
        </w:rPr>
        <w:t>Long-term Debt and Credit Agreements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and pursuant to the Plan, the Company issued 247,768,962 shares of the Company’s Series A Preferred Stock to the Centerbridge Investors, the Oaktree Investors and certain other investors and parties. All outstanding Series A Preferred Stock will convert into Common Stock of the Company automatically upon the occurrence of certain triggering events. Additionally, holders of the Series A Preferred Stock have the right to convert their shares of Series A Preferred Stock into Common Stock at any time. As the Certificate of Designations governing the Series A Preferred Stock prohibits the issuance of fractional shares of Common Stock upon the conversion of any shares of Series A Preferred Stock, the Company must pay a cash adjustment in respect of any such fractional share of Common Stock that would be issuable pursuant to a conversion. See Note 18</w:t>
      </w:r>
      <w:r>
        <w:rPr>
          <w:rFonts w:ascii="Times New Roman" w:cs="Times New Roman" w:eastAsia="Times New Roman" w:hAnsi="Times New Roman"/>
          <w:sz w:val="17"/>
          <w:szCs w:val="17"/>
          <w:i w:val="1"/>
          <w:iCs w:val="1"/>
          <w:color w:val="auto"/>
        </w:rPr>
        <w:t>, Equity</w:t>
      </w:r>
      <w:r>
        <w:rPr>
          <w:rFonts w:ascii="Times New Roman" w:cs="Times New Roman" w:eastAsia="Times New Roman" w:hAnsi="Times New Roman"/>
          <w:sz w:val="17"/>
          <w:szCs w:val="17"/>
          <w:color w:val="auto"/>
        </w:rPr>
        <w:t xml:space="preserve"> of the Consolidated Financial Statements for the year ended December 31, 2021 included in our 2021 Form 10-K for additional information regarding the Series A Preferred Stock.</w:t>
      </w:r>
    </w:p>
    <w:p>
      <w:pPr>
        <w:spacing w:after="0" w:line="140"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Additionally, pursuant to the Plan, on the Effective Date the Company issued 834,800,000 shares of Series B Preferred Stock to Honeywell in satisfaction of its claims against the Company arising from certain historical agreements between Honeywell and the Company. As of June 30, 2022, the Company has fully redeemed the Series B Preferred Stock. See Note 14</w:t>
      </w:r>
      <w:r>
        <w:rPr>
          <w:rFonts w:ascii="Times New Roman" w:cs="Times New Roman" w:eastAsia="Times New Roman" w:hAnsi="Times New Roman"/>
          <w:sz w:val="17"/>
          <w:szCs w:val="17"/>
          <w:i w:val="1"/>
          <w:iCs w:val="1"/>
          <w:color w:val="auto"/>
        </w:rPr>
        <w:t>, Mandatorily Redeemable Series B Preferred Stock</w:t>
      </w:r>
      <w:r>
        <w:rPr>
          <w:rFonts w:ascii="Times New Roman" w:cs="Times New Roman" w:eastAsia="Times New Roman" w:hAnsi="Times New Roman"/>
          <w:sz w:val="17"/>
          <w:szCs w:val="17"/>
          <w:color w:val="auto"/>
        </w:rPr>
        <w:t xml:space="preserve"> of the Notes to the Consolidated Interim Financial</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5" w:name="page36"/>
    <w:bookmarkEnd w:id="35"/>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Statements and Note 16, </w:t>
      </w:r>
      <w:r>
        <w:rPr>
          <w:rFonts w:ascii="Times New Roman" w:cs="Times New Roman" w:eastAsia="Times New Roman" w:hAnsi="Times New Roman"/>
          <w:sz w:val="17"/>
          <w:szCs w:val="17"/>
          <w:i w:val="1"/>
          <w:iCs w:val="1"/>
          <w:color w:val="auto"/>
        </w:rPr>
        <w:t>Mandatorily Redeemable Series B Preferred Stock</w:t>
      </w:r>
      <w:r>
        <w:rPr>
          <w:rFonts w:ascii="Times New Roman" w:cs="Times New Roman" w:eastAsia="Times New Roman" w:hAnsi="Times New Roman"/>
          <w:sz w:val="17"/>
          <w:szCs w:val="17"/>
          <w:color w:val="auto"/>
        </w:rPr>
        <w:t xml:space="preserve"> of the Consolidated Financial Statements for the year ended December 31, 2021 included in our 2021 Form 10-K for additional information regarding the Series B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November 16, 2021, the Board of Directors authorized a $100 million share repurchase program valid until November 15, 2022, providing for the purchase of shares of Series A Preferred Stock and Common Stock. As of June 30, 2022, the Company had repurchased $22 million of its Series A Preferred Stock and Common Stock, with $78 million remaining under the share repurchase program. For more information, see Item 2. </w:t>
      </w:r>
      <w:r>
        <w:rPr>
          <w:rFonts w:ascii="Times New Roman" w:cs="Times New Roman" w:eastAsia="Times New Roman" w:hAnsi="Times New Roman"/>
          <w:sz w:val="17"/>
          <w:szCs w:val="17"/>
          <w:i w:val="1"/>
          <w:iCs w:val="1"/>
          <w:color w:val="auto"/>
        </w:rPr>
        <w:t>Unregistered Sales of Equity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Use of Proceeds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Summary for the Six Months Ended June 30, 2022</w:t>
      </w:r>
    </w:p>
    <w:p>
      <w:pPr>
        <w:spacing w:after="0" w:line="1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51"/>
        </w:trPr>
        <w:tc>
          <w:tcPr>
            <w:tcW w:w="7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3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51"/>
        </w:trPr>
        <w:tc>
          <w:tcPr>
            <w:tcW w:w="7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Effect of exchange rate changes on cash and restricted cash</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Cash provided by operating activities increased by $568 million for the six months ended June 30, 2022 versus the prior year, primarily due to a $375 million payment made to Honeywell in the prior year pursuant to the Plan, and a decrease in net income, net of a $323 million increase in non-cash adjustments which included a $373 million gain recognized in prior year on reorganization items and a $35 million increase in the fair value of our undesignated derivative instruments. Favorable impacts from working capital of $75 million, which included incremental eligible receivables sold without recourse in the amount $37 million, also contributed to the increase in cash provided by operating activities, partially offset by a $74 million decrease mainly driven by other assets and liabilities.</w:t>
      </w:r>
    </w:p>
    <w:p>
      <w:pPr>
        <w:spacing w:after="0" w:line="35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Cash used for investing activities increased by $13 million for the six months ended June 30, 2022 versus the prior year, with the increase due to increased expenditures for property, plant and equipment.</w:t>
      </w:r>
    </w:p>
    <w:p>
      <w:pPr>
        <w:spacing w:after="0" w:line="113"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Cash used for financing activities increased by $752 million for the six months ended June 30, 2022 compared with the prior year. The change was driven by $381 million paid for the final early redemption of our Series B Preferred Stock (exclusive of $28 million of the redemption attributable to interest and included in cash used for operating activities) and $3 million for repurchases of Series A Preferred Stock and Common Stock. Additionally, in 2021, there were $1,301 million of proceeds from issuance of Series A Preferred Stock and $1,221 million of proceeds from issuance of the new long-term debt, partially offset by $200 million repayments on the Company's senior secured super-priority debtor in-possession credit agreement entered into in connection with the Chapter 11 Cases, $370 million of full payment of our pre-petition revolving credit facility, $1,515 million payments of our pre-petition long term debt and $69 million payments made to holders of the Company's pre-Emergence common stock who made a cash-out election under the Plan.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 results could differ from our estimates and</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6" w:name="page37"/>
    <w:bookmarkEnd w:id="36"/>
    <w:p>
      <w:pPr>
        <w:jc w:val="both"/>
        <w:spacing w:after="0" w:line="303" w:lineRule="auto"/>
        <w:rPr>
          <w:sz w:val="20"/>
          <w:szCs w:val="20"/>
          <w:color w:val="auto"/>
        </w:rPr>
      </w:pPr>
      <w:r>
        <w:rPr>
          <w:rFonts w:ascii="Times New Roman" w:cs="Times New Roman" w:eastAsia="Times New Roman" w:hAnsi="Times New Roman"/>
          <w:sz w:val="17"/>
          <w:szCs w:val="17"/>
          <w:color w:val="auto"/>
        </w:rPr>
        <w:t>assumptions, and any such differences could be material to our financial statements. Our critical accounting policies are summarized in the “Management’s Discussion and Analysis of Financial Condition and Results of Operations” section of our 2021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80" w:lineRule="exact"/>
        <w:rPr>
          <w:sz w:val="20"/>
          <w:szCs w:val="20"/>
          <w:color w:val="auto"/>
        </w:rPr>
      </w:pPr>
    </w:p>
    <w:p>
      <w:pPr>
        <w:jc w:val="both"/>
        <w:ind w:firstLine="371"/>
        <w:spacing w:after="0" w:line="292" w:lineRule="auto"/>
        <w:rPr>
          <w:sz w:val="20"/>
          <w:szCs w:val="20"/>
          <w:color w:val="auto"/>
        </w:rPr>
      </w:pPr>
      <w:r>
        <w:rPr>
          <w:rFonts w:ascii="Times New Roman" w:cs="Times New Roman" w:eastAsia="Times New Roman" w:hAnsi="Times New Roman"/>
          <w:sz w:val="17"/>
          <w:szCs w:val="17"/>
          <w:color w:val="auto"/>
        </w:rPr>
        <w:t xml:space="preserve">See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of the Notes to the Consolidated Interim Financial Statements for further discussion of 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95" w:lineRule="exact"/>
        <w:rPr>
          <w:sz w:val="20"/>
          <w:szCs w:val="20"/>
          <w:color w:val="auto"/>
        </w:rPr>
      </w:pPr>
    </w:p>
    <w:p>
      <w:pPr>
        <w:jc w:val="both"/>
        <w:ind w:firstLine="371"/>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the consequences of the Chapter 11 Cases, the anticipated impact of the COVID-19 pandemic on our business, anticipated impacts of the ongoing conflict between Russia and Ukraine,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165" w:lineRule="exact"/>
        <w:rPr>
          <w:sz w:val="20"/>
          <w:szCs w:val="20"/>
          <w:color w:val="auto"/>
        </w:rPr>
      </w:pPr>
    </w:p>
    <w:p>
      <w:pPr>
        <w:ind w:left="780" w:hanging="313"/>
        <w:spacing w:after="0"/>
        <w:tabs>
          <w:tab w:leader="none" w:pos="7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increases in the costs and availability of raw materials and our ability to offset material price inflation;</w:t>
      </w:r>
    </w:p>
    <w:p>
      <w:pPr>
        <w:spacing w:after="0" w:line="189" w:lineRule="exact"/>
        <w:rPr>
          <w:rFonts w:ascii="Times New Roman" w:cs="Times New Roman" w:eastAsia="Times New Roman" w:hAnsi="Times New Roman"/>
          <w:sz w:val="21"/>
          <w:szCs w:val="21"/>
          <w:color w:val="auto"/>
        </w:rPr>
      </w:pPr>
    </w:p>
    <w:p>
      <w:pPr>
        <w:jc w:val="both"/>
        <w:ind w:left="780" w:hanging="313"/>
        <w:spacing w:after="0" w:line="250" w:lineRule="auto"/>
        <w:tabs>
          <w:tab w:leader="none" w:pos="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of natural disasters and climate change, and changes in legislation or government regulations or policies relating to climate change or otherwise, including with respect to greenhouse gas emission reduction targets, or other similar targets, in Europe (as part of the Green Deal objectives or otherwise); the United States; China; Japan; and Korea or other jurisdiction in which the Company does business, and growing recognition among consumers of the dangers of climate change, which may affect demand for our products, our supply chain, and results of our operations;</w:t>
      </w:r>
    </w:p>
    <w:p>
      <w:pPr>
        <w:spacing w:after="0" w:line="16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the automotive industry and economic or competitive conditions;</w:t>
      </w:r>
    </w:p>
    <w:p>
      <w:pPr>
        <w:spacing w:after="0" w:line="189" w:lineRule="exact"/>
        <w:rPr>
          <w:rFonts w:ascii="Times New Roman" w:cs="Times New Roman" w:eastAsia="Times New Roman" w:hAnsi="Times New Roman"/>
          <w:sz w:val="21"/>
          <w:szCs w:val="21"/>
          <w:color w:val="auto"/>
        </w:rPr>
      </w:pPr>
    </w:p>
    <w:p>
      <w:pPr>
        <w:ind w:left="780" w:hanging="313"/>
        <w:spacing w:after="0" w:line="246" w:lineRule="auto"/>
        <w:tabs>
          <w:tab w:leader="none" w:pos="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loss of, or a significant reduction in purchases by, our largest customers, material non-payment or non-performance by any of our key customers, and difficulty collecting receivables;</w:t>
      </w:r>
    </w:p>
    <w:p>
      <w:pPr>
        <w:spacing w:after="0" w:line="183"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impacts on our business from the ongoing COVID-19 pandemic, including reductions to production volumes as a result of reduced capacity at manufacturing facilities;</w:t>
      </w:r>
    </w:p>
    <w:p>
      <w:pPr>
        <w:spacing w:after="0" w:line="190" w:lineRule="exact"/>
        <w:rPr>
          <w:rFonts w:ascii="Times New Roman" w:cs="Times New Roman" w:eastAsia="Times New Roman" w:hAnsi="Times New Roman"/>
          <w:sz w:val="21"/>
          <w:szCs w:val="21"/>
          <w:color w:val="auto"/>
        </w:rPr>
      </w:pPr>
    </w:p>
    <w:p>
      <w:pPr>
        <w:ind w:left="780" w:hanging="313"/>
        <w:spacing w:after="0" w:line="246" w:lineRule="auto"/>
        <w:tabs>
          <w:tab w:leader="none" w:pos="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failure to protect our intellectual property or allegations that we have infringed the intellectual property of others; and our ability to license necessary intellectual property from third parties;</w:t>
      </w:r>
    </w:p>
    <w:p>
      <w:pPr>
        <w:spacing w:after="0" w:line="165"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material losses and costs as a result of any warranty claims and product liability actions brought against us;</w:t>
      </w:r>
    </w:p>
    <w:p>
      <w:pPr>
        <w:spacing w:after="0" w:line="3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quality control and creditworthiness of the suppliers on which we rely;</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work stoppages, other disruptions or the need to relocate any of our facilities;</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inaccuracies in estimates of volumes of awarded business;</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negotiating positions of our customers and our ability to negotiate favorable pricing terms;</w:t>
      </w:r>
    </w:p>
    <w:p>
      <w:pPr>
        <w:spacing w:after="0" w:line="189" w:lineRule="exact"/>
        <w:rPr>
          <w:rFonts w:ascii="Times New Roman" w:cs="Times New Roman" w:eastAsia="Times New Roman" w:hAnsi="Times New Roman"/>
          <w:sz w:val="21"/>
          <w:szCs w:val="21"/>
          <w:color w:val="auto"/>
        </w:rPr>
      </w:pPr>
    </w:p>
    <w:p>
      <w:pPr>
        <w:ind w:left="780" w:hanging="313"/>
        <w:spacing w:after="0" w:line="246"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related to international operations and our investment in foreign markets, including risks related to the withdrawal of the United Kingdom from the European Union;</w:t>
      </w:r>
    </w:p>
    <w:p>
      <w:pPr>
        <w:spacing w:after="0" w:line="165"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related to disruptions in our supply chain and business operations due to the ongoing conflict between Russia and Ukraine;</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effects of any deterioration on industry, economic or financial conditions on our ability to access the capital markets on favorable terms;</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significant failure or inability to comply with the specifications and manufacturing requirements of our original equipment manufacturer customers or by increases or decreases to the inventory levels maintained by our customers;</w:t>
      </w:r>
    </w:p>
    <w:p>
      <w:pPr>
        <w:spacing w:after="0" w:line="172"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failure to increase productivity or successfully execute repositioning projects or manage our workforce;</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material environmental liabilities and hazards;</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commencement of any lawsuits, investigations and disputes arising out of our current and historical businesses, and the consequences thereof;</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recruit and retain qualified personnel; and</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other factors described under the caption “Risk Factors” in our 2021 Form 10-K, as updated in this Quarterly Report on Form 10-Q, and our other filings with the SEC.</w:t>
      </w:r>
    </w:p>
    <w:p>
      <w:pPr>
        <w:spacing w:after="0" w:line="15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2"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Company’s quantitative and qualitative disclosures about market risks as disclosed in Part II, Item 7A, Quantitative and Qualitative Disclosures About Market Risks, in our 2021 Form 10-K.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June 30,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Remediation of Previously Identified Material Weakness</w:t>
      </w:r>
    </w:p>
    <w:p>
      <w:pPr>
        <w:spacing w:after="0" w:line="19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As previously disclosed, in the course of preparing our 2021 Form 10-K and our Consolidated Financial Statements for the year ended December 31, 2021, management determined that there was a material weakness in our internal control over financial reporting relating to the calculation of our basic and diluted earnings per share for the three and six months ended June 30, 2021 and the three and nine months ended September 30, 2021, resulting from the Company's failure to correctly account for the outstanding shares of Series A Preferred Stock as a participating security in the earnings per share calculations. Following the identification of the aforementioned error, management performed a root cause analysis and identified that the error related to a deficiency in the design and implementation of effective controls relating to involvement of subject matter experts in management’s review of complex and bespoke transactions.</w:t>
      </w:r>
    </w:p>
    <w:p>
      <w:pPr>
        <w:spacing w:after="0" w:line="13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During the six months ended June 30, 2022, management completed a comprehensive review of our controls and procedures associated with complex and bespoke transactions, including revisiting such transactions with input from relevant subject matter experts as determined necessary, reassessing the understanding of each transaction, evaluating the application of the underlying accounting standards to the transactions, and verifying the completeness, accuracy and reasonableness of the final accounting conclusions. Management also updated the design of our controls to evaluate the need to involve relevant subject matter experts as part of the review controls associated with complex and bespoke accounting transactions. Management has evaluated and tested the implementation and operating effectiveness of the remedial controls and believes that the material weakness has been remediated as of June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9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Other than the remedial measures discussed above, 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9" w:name="page40"/>
    <w:bookmarkEnd w:id="39"/>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We are involved in various other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31" w:lineRule="exact"/>
        <w:rPr>
          <w:sz w:val="20"/>
          <w:szCs w:val="20"/>
          <w:color w:val="auto"/>
        </w:rPr>
      </w:pPr>
    </w:p>
    <w:p>
      <w:pPr>
        <w:jc w:val="both"/>
        <w:ind w:firstLine="371"/>
        <w:spacing w:after="0" w:line="292" w:lineRule="auto"/>
        <w:rPr>
          <w:sz w:val="20"/>
          <w:szCs w:val="20"/>
          <w:color w:val="auto"/>
        </w:rPr>
      </w:pPr>
      <w:r>
        <w:rPr>
          <w:rFonts w:ascii="Times New Roman" w:cs="Times New Roman" w:eastAsia="Times New Roman" w:hAnsi="Times New Roman"/>
          <w:sz w:val="17"/>
          <w:szCs w:val="17"/>
          <w:color w:val="auto"/>
        </w:rPr>
        <w:t xml:space="preserve">For additional information regarding our legal proceedings, see Note 19,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of the Notes to the Consolidated Interim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Except as disclosed below, there have been no material changes to the risks described under "Risk Factors” in our 2021 Form 10-K. In addition to the other information set forth in this Quarterly Report on Form 10-Q, you should carefully consider the factors discussed under “Risk Factors” in our 2021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ongoing conflict between Russia and Ukraine has impacted our results of operations and could create or exacerbate certain risks we face to our business, financial condition and results of operations</w:t>
      </w:r>
    </w:p>
    <w:p>
      <w:pPr>
        <w:spacing w:after="0" w:line="120"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Russia’s invasion of Ukraine and the global response, including the imposition of financial and economic sanctions by the United States and other countries, has created supply constraints that have impacted, and may continue to impact, our results of operations and could create or exacerbate risks facing our business. Although we do not presently expect the impacts of the ongoing conflict on our operating results to be material, certain risks that we have identified in our 2021 Form 10-K may be exacerbated. For example, a prolonged or intensified conflict could result in acute shortages of raw materials and price inflation on transportation costs, materials, and energy which in turn may adversely impact our supply chain. If the conflict expands beyond Ukraine, it could negatively impact our operations in neighboring countries such as Romania and Slovakia. An escalation of geopolitical tensions due to the ongoing conflict, including increased sanctions or restrictions on global trade, could also result in further supply chain disruptions, reduced customer demand, state-sponsored cyberattacks as well as increased volatility in the financial markets, all of which could have an adverse impact on our business and operations. These and other risks are described more fully in our 2021 Form 10-K.</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 xml:space="preserve">During the </w:t>
      </w:r>
      <w:r>
        <w:rPr>
          <w:rFonts w:ascii="Times New Roman" w:cs="Times New Roman" w:eastAsia="Times New Roman" w:hAnsi="Times New Roman"/>
          <w:sz w:val="17"/>
          <w:szCs w:val="17"/>
          <w:color w:val="231F20"/>
        </w:rPr>
        <w:t>three months ended June 30, 2022,</w:t>
      </w:r>
      <w:r>
        <w:rPr>
          <w:rFonts w:ascii="Times New Roman" w:cs="Times New Roman" w:eastAsia="Times New Roman" w:hAnsi="Times New Roman"/>
          <w:sz w:val="17"/>
          <w:szCs w:val="17"/>
          <w:color w:val="auto"/>
        </w:rPr>
        <w:t xml:space="preserve"> the holders of our Series A Preferred Stock converted 100 shares of Series A Preferred Stock into 100 shares of Common Stock pursuant to the terms of the Certificate of Designations for the Series A Preferred Stock. These transactions did not involve any underwriters, underwriting discounts or commissions, or any public offering.</w:t>
      </w:r>
    </w:p>
    <w:p>
      <w:pPr>
        <w:spacing w:after="0" w:line="140"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 xml:space="preserve">On November 16, 2021, the Board of Directors authorized a $100 million share repurchase program valid until November 15, 2022, providing for the purchase of shares of Series A Preferred Stock and Common Stock. Our stock repurchases may occur through open market purchases, privately negotiated transactions or trading plans pursuant to Rule 10b5-1 of the Exchange Act.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following table summarizes our share repurchase activity for the </w:t>
      </w:r>
      <w:r>
        <w:rPr>
          <w:rFonts w:ascii="Times New Roman" w:cs="Times New Roman" w:eastAsia="Times New Roman" w:hAnsi="Times New Roman"/>
          <w:sz w:val="17"/>
          <w:szCs w:val="17"/>
          <w:color w:val="231F20"/>
        </w:rPr>
        <w:t>three months ended June 30, 2022</w:t>
      </w:r>
      <w:r>
        <w:rPr>
          <w:rFonts w:ascii="Times New Roman" w:cs="Times New Roman" w:eastAsia="Times New Roman" w:hAnsi="Times New Roman"/>
          <w:sz w:val="17"/>
          <w:szCs w:val="17"/>
          <w:color w:val="auto"/>
        </w:rPr>
        <w:t xml:space="preserve"> and additional information regarding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00" w:type="dxa"/>
            <w:vAlign w:val="bottom"/>
          </w:tcPr>
          <w:p>
            <w:pPr>
              <w:spacing w:after="0"/>
              <w:rPr>
                <w:sz w:val="13"/>
                <w:szCs w:val="13"/>
                <w:color w:val="auto"/>
              </w:rPr>
            </w:pPr>
          </w:p>
        </w:tc>
        <w:tc>
          <w:tcPr>
            <w:tcW w:w="11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100" w:type="dxa"/>
            <w:vAlign w:val="bottom"/>
          </w:tcPr>
          <w:p>
            <w:pPr>
              <w:jc w:val="center"/>
              <w:ind w:right="43"/>
              <w:spacing w:after="0" w:line="141" w:lineRule="exact"/>
              <w:rPr>
                <w:sz w:val="20"/>
                <w:szCs w:val="20"/>
                <w:color w:val="auto"/>
              </w:rPr>
            </w:pPr>
            <w:r>
              <w:rPr>
                <w:rFonts w:ascii="Times New Roman" w:cs="Times New Roman" w:eastAsia="Times New Roman" w:hAnsi="Times New Roman"/>
                <w:sz w:val="14"/>
                <w:szCs w:val="14"/>
                <w:b w:val="1"/>
                <w:bCs w:val="1"/>
                <w:color w:val="auto"/>
                <w:w w:val="98"/>
              </w:rPr>
              <w:t>Dollar Value of</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00" w:type="dxa"/>
            <w:vAlign w:val="bottom"/>
          </w:tcPr>
          <w:p>
            <w:pPr>
              <w:spacing w:after="0"/>
              <w:rPr>
                <w:sz w:val="12"/>
                <w:szCs w:val="12"/>
                <w:color w:val="auto"/>
              </w:rPr>
            </w:pPr>
          </w:p>
        </w:tc>
        <w:tc>
          <w:tcPr>
            <w:tcW w:w="110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that May</w:t>
            </w: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9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2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5"/>
              </w:rPr>
              <w:t>Yet Be Purchased</w:t>
            </w:r>
          </w:p>
        </w:tc>
        <w:tc>
          <w:tcPr>
            <w:tcW w:w="0" w:type="dxa"/>
            <w:vAlign w:val="bottom"/>
          </w:tcPr>
          <w:p>
            <w:pPr>
              <w:spacing w:after="0"/>
              <w:rPr>
                <w:sz w:val="1"/>
                <w:szCs w:val="1"/>
                <w:color w:val="auto"/>
              </w:rPr>
            </w:pPr>
          </w:p>
        </w:tc>
      </w:tr>
      <w:tr>
        <w:trPr>
          <w:trHeight w:val="140"/>
        </w:trPr>
        <w:tc>
          <w:tcPr>
            <w:tcW w:w="23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gridSpan w:val="3"/>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98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940" w:type="dxa"/>
            <w:vAlign w:val="bottom"/>
            <w:gridSpan w:val="3"/>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2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Announced Plan</w:t>
            </w:r>
          </w:p>
        </w:tc>
        <w:tc>
          <w:tcPr>
            <w:tcW w:w="12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Under the Plan or</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or Program</w:t>
            </w:r>
          </w:p>
        </w:tc>
        <w:tc>
          <w:tcPr>
            <w:tcW w:w="100" w:type="dxa"/>
            <w:vAlign w:val="bottom"/>
          </w:tcPr>
          <w:p>
            <w:pPr>
              <w:spacing w:after="0"/>
              <w:rPr>
                <w:sz w:val="16"/>
                <w:szCs w:val="16"/>
                <w:color w:val="auto"/>
              </w:rPr>
            </w:pPr>
          </w:p>
        </w:tc>
        <w:tc>
          <w:tcPr>
            <w:tcW w:w="11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26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2022 – April 30, 2022</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34,148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34,148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78,644,173</w:t>
            </w:r>
          </w:p>
        </w:tc>
        <w:tc>
          <w:tcPr>
            <w:tcW w:w="0" w:type="dxa"/>
            <w:vAlign w:val="bottom"/>
          </w:tcPr>
          <w:p>
            <w:pPr>
              <w:spacing w:after="0"/>
              <w:rPr>
                <w:sz w:val="1"/>
                <w:szCs w:val="1"/>
                <w:color w:val="auto"/>
              </w:rPr>
            </w:pPr>
          </w:p>
        </w:tc>
      </w:tr>
      <w:tr>
        <w:trPr>
          <w:trHeight w:val="258"/>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 2022 – May 31, 2022</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7"/>
                <w:szCs w:val="17"/>
                <w:color w:val="auto"/>
              </w:rPr>
              <w:t>25,172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6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25,172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78,460,690</w:t>
            </w:r>
          </w:p>
        </w:tc>
        <w:tc>
          <w:tcPr>
            <w:tcW w:w="0" w:type="dxa"/>
            <w:vAlign w:val="bottom"/>
          </w:tcPr>
          <w:p>
            <w:pPr>
              <w:spacing w:after="0"/>
              <w:rPr>
                <w:sz w:val="1"/>
                <w:szCs w:val="1"/>
                <w:color w:val="auto"/>
              </w:rPr>
            </w:pPr>
          </w:p>
        </w:tc>
      </w:tr>
      <w:tr>
        <w:trPr>
          <w:trHeight w:val="25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2022 – June 30, 2022</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97,901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97,901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77,647,491</w:t>
            </w:r>
          </w:p>
        </w:tc>
        <w:tc>
          <w:tcPr>
            <w:tcW w:w="0" w:type="dxa"/>
            <w:vAlign w:val="bottom"/>
          </w:tcPr>
          <w:p>
            <w:pPr>
              <w:spacing w:after="0"/>
              <w:rPr>
                <w:sz w:val="1"/>
                <w:szCs w:val="1"/>
                <w:color w:val="auto"/>
              </w:rPr>
            </w:pP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rPr>
              <w:t>157,221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157,221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77,647,491</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Other than the amounts repurchased as part of our share repurchase program, there were no purchases of equity securities by the issuer or affiliated purchasers during the quarter ended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9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Holders of the Series A Preferred Stock will be entitled to receive, when, as and if declared by a committee of disinterested directors of the Board (which committee initially consisted of Daniel Ninivaggi, Julia Steyn, Robert Shanks and D’aun Norman) out of funds legally available for such dividend, cumulative cash dividends at an annual rate of 11% on the stated amount per share plus the amount of any accrued and unpaid dividends on such share, accumulating daily and payable quarterly on January 1, April 1, July 1 and October 1, respectively, in each year. No cash dividends were declared in respect of the period ended June 30, 2022. As a result, as of June 30, 2022, there were $174 million of unpaid cumulative preference dividends on the shares of Series A Preferred Stock outstanding as of that date.</w:t>
      </w:r>
    </w:p>
    <w:p>
      <w:pPr>
        <w:spacing w:after="0" w:line="135" w:lineRule="exact"/>
        <w:rPr>
          <w:sz w:val="20"/>
          <w:szCs w:val="20"/>
          <w:color w:val="auto"/>
        </w:rPr>
      </w:pPr>
    </w:p>
    <w:p>
      <w:pPr>
        <w:ind w:right="580" w:firstLine="371"/>
        <w:spacing w:after="0" w:line="466" w:lineRule="auto"/>
        <w:rPr>
          <w:sz w:val="20"/>
          <w:szCs w:val="20"/>
          <w:color w:val="auto"/>
        </w:rPr>
      </w:pPr>
      <w:r>
        <w:rPr>
          <w:rFonts w:ascii="Times New Roman" w:cs="Times New Roman" w:eastAsia="Times New Roman" w:hAnsi="Times New Roman"/>
          <w:sz w:val="17"/>
          <w:szCs w:val="17"/>
          <w:color w:val="auto"/>
        </w:rPr>
        <w:t xml:space="preserve">Except as otherwise disclosed in this Quarterly Report on Form 10-Q or reported previously in a Current Report on Form 8-K by the Company, none. </w:t>
      </w:r>
      <w:r>
        <w:rPr>
          <w:rFonts w:ascii="Times New Roman" w:cs="Times New Roman" w:eastAsia="Times New Roman" w:hAnsi="Times New Roman"/>
          <w:sz w:val="17"/>
          <w:szCs w:val="17"/>
          <w:b w:val="1"/>
          <w:bCs w:val="1"/>
          <w:color w:val="auto"/>
        </w:rPr>
        <w:t>Item 4. Mine Safety Disclosures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14"/>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5440" w:type="dxa"/>
            <w:vAlign w:val="bottom"/>
            <w:gridSpan w:val="16"/>
          </w:tcPr>
          <w:p>
            <w:pPr>
              <w:spacing w:after="0" w:line="173"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Second Amended and Restated Certificate of Incorporation of Garrett Motion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Inc., dated April 30, 2021</w:t>
              </w:r>
            </w:hyperlink>
          </w:p>
        </w:tc>
        <w:tc>
          <w:tcPr>
            <w:tcW w:w="35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5440" w:type="dxa"/>
            <w:vAlign w:val="bottom"/>
            <w:gridSpan w:val="16"/>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Amended and Restated Certificate of Designations of Series A Cumulative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top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Convertible Preferred Stock of Garrett Motion Inc.</w:t>
              </w:r>
            </w:hyperlink>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Second Amended and Restated Certificate of Designations of the Company’s</w:t>
              </w:r>
            </w:hyperlink>
          </w:p>
        </w:tc>
        <w:tc>
          <w:tcPr>
            <w:tcW w:w="1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86"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Series B Preferred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19"/>
                <w:szCs w:val="19"/>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Third Amended and Restated Bylaws of Garrett Motion Inc., dated October</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27, 2021</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0"/>
                <w:szCs w:val="20"/>
                <w:color w:val="auto"/>
              </w:rPr>
            </w:pPr>
          </w:p>
        </w:tc>
        <w:tc>
          <w:tcPr>
            <w:tcW w:w="51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Amendment No. 2, dated March 23, 2022, to the Credit Agreement, dated</w:t>
              </w:r>
            </w:hyperlink>
          </w:p>
        </w:tc>
        <w:tc>
          <w:tcPr>
            <w:tcW w:w="3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April 30, 2021, among Garrett Motion Inc., Garrett LX I S.à r.l., Garrett</w:t>
              </w:r>
            </w:hyperlink>
          </w:p>
        </w:tc>
        <w:tc>
          <w:tcPr>
            <w:tcW w:w="4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40" w:type="dxa"/>
            <w:vAlign w:val="bottom"/>
            <w:gridSpan w:val="16"/>
          </w:tcPr>
          <w:p>
            <w:pPr>
              <w:spacing w:after="0" w:line="17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Motion Holdings, Inc., Garrett Motion Sàrl, the lenders and issuing banks</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party thereto and JPMorgan Chase Bank, N.A., as administrative agent</w:t>
              </w:r>
            </w:hyperlink>
          </w:p>
        </w:tc>
        <w:tc>
          <w:tcPr>
            <w:tcW w:w="2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0"/>
                <w:szCs w:val="20"/>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Certification of Principal Executive Officer Pursuant to Rules 13a-14(a) and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3"/>
            <w:shd w:val="clear" w:color="auto" w:fill="000000"/>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86" w:lineRule="exact"/>
              <w:rPr>
                <w:sz w:val="20"/>
                <w:szCs w:val="20"/>
                <w:color w:val="auto"/>
              </w:rPr>
            </w:pPr>
            <w:r>
              <w:rPr>
                <w:rFonts w:ascii="Times New Roman" w:cs="Times New Roman" w:eastAsia="Times New Roman" w:hAnsi="Times New Roman"/>
                <w:sz w:val="17"/>
                <w:szCs w:val="17"/>
                <w:color w:val="auto"/>
              </w:rPr>
              <w:t>15d-14(a) under the Securities Exchange Act of 1934, as Adopted Pursuant to</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Borders>
              <w:top w:val="single" w:sz="8" w:color="auto"/>
              <w:bottom w:val="single" w:sz="8" w:color="auto"/>
            </w:tcBorders>
            <w:gridSpan w:val="3"/>
          </w:tcPr>
          <w:p>
            <w:pPr>
              <w:spacing w:after="0" w:line="173" w:lineRule="exact"/>
              <w:rPr>
                <w:sz w:val="20"/>
                <w:szCs w:val="20"/>
                <w:color w:val="auto"/>
              </w:rPr>
            </w:pPr>
            <w:r>
              <w:rPr>
                <w:rFonts w:ascii="Times New Roman" w:cs="Times New Roman" w:eastAsia="Times New Roman" w:hAnsi="Times New Roman"/>
                <w:sz w:val="17"/>
                <w:szCs w:val="17"/>
                <w:color w:val="auto"/>
              </w:rPr>
              <w:t>Section 302 of the Sarbanes-Oxley Act of 2002.</w:t>
            </w:r>
          </w:p>
        </w:tc>
        <w:tc>
          <w:tcPr>
            <w:tcW w:w="2040" w:type="dxa"/>
            <w:vAlign w:val="bottom"/>
            <w:tcBorders>
              <w:top w:val="single" w:sz="8" w:color="auto"/>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0"/>
                <w:szCs w:val="20"/>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Certification of Principal Financial Officer Pursuant to Rules 13a-14(a) and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7"/>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86" w:lineRule="exact"/>
              <w:rPr>
                <w:sz w:val="20"/>
                <w:szCs w:val="20"/>
                <w:color w:val="auto"/>
              </w:rPr>
            </w:pPr>
            <w:r>
              <w:rPr>
                <w:rFonts w:ascii="Times New Roman" w:cs="Times New Roman" w:eastAsia="Times New Roman" w:hAnsi="Times New Roman"/>
                <w:sz w:val="17"/>
                <w:szCs w:val="17"/>
                <w:color w:val="auto"/>
              </w:rPr>
              <w:t>15d-14(a) under the Securities Exchange Act of 1934, as Adopted Pursuant to</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Borders>
              <w:top w:val="single" w:sz="8" w:color="auto"/>
              <w:bottom w:val="single" w:sz="8" w:color="auto"/>
            </w:tcBorders>
            <w:gridSpan w:val="3"/>
          </w:tcPr>
          <w:p>
            <w:pPr>
              <w:spacing w:after="0" w:line="173" w:lineRule="exact"/>
              <w:rPr>
                <w:sz w:val="20"/>
                <w:szCs w:val="20"/>
                <w:color w:val="auto"/>
              </w:rPr>
            </w:pPr>
            <w:r>
              <w:rPr>
                <w:rFonts w:ascii="Times New Roman" w:cs="Times New Roman" w:eastAsia="Times New Roman" w:hAnsi="Times New Roman"/>
                <w:sz w:val="17"/>
                <w:szCs w:val="17"/>
                <w:color w:val="auto"/>
              </w:rPr>
              <w:t>Section 302 of the Sarbanes-Oxley Act of 2002.</w:t>
            </w:r>
          </w:p>
        </w:tc>
        <w:tc>
          <w:tcPr>
            <w:tcW w:w="2040" w:type="dxa"/>
            <w:vAlign w:val="bottom"/>
            <w:tcBorders>
              <w:top w:val="single" w:sz="8" w:color="auto"/>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0"/>
                <w:szCs w:val="20"/>
                <w:color w:val="auto"/>
              </w:rPr>
            </w:pPr>
          </w:p>
        </w:tc>
        <w:tc>
          <w:tcPr>
            <w:tcW w:w="51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Certification of Principal Executive Officer Pursuant to 18 U.S.C. Section</w:t>
            </w:r>
          </w:p>
        </w:tc>
        <w:tc>
          <w:tcPr>
            <w:tcW w:w="3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86" w:lineRule="exact"/>
              <w:rPr>
                <w:sz w:val="20"/>
                <w:szCs w:val="20"/>
                <w:color w:val="auto"/>
              </w:rPr>
            </w:pPr>
            <w:r>
              <w:rPr>
                <w:rFonts w:ascii="Times New Roman" w:cs="Times New Roman" w:eastAsia="Times New Roman" w:hAnsi="Times New Roman"/>
                <w:sz w:val="17"/>
                <w:szCs w:val="17"/>
                <w:color w:val="auto"/>
              </w:rPr>
              <w:t>1350, as Adopted Pursuant to Section 906 of the Sarbanes-Oxley Act of 2002.</w:t>
            </w:r>
          </w:p>
        </w:tc>
        <w:tc>
          <w:tcPr>
            <w:tcW w:w="0" w:type="dxa"/>
            <w:vAlign w:val="bottom"/>
          </w:tcPr>
          <w:p>
            <w:pPr>
              <w:spacing w:after="0"/>
              <w:rPr>
                <w:sz w:val="1"/>
                <w:szCs w:val="1"/>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0"/>
                <w:szCs w:val="20"/>
                <w:color w:val="auto"/>
              </w:rPr>
            </w:pPr>
          </w:p>
        </w:tc>
        <w:tc>
          <w:tcPr>
            <w:tcW w:w="53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Certification of Principal Financial Officer Pursuant to 18 U.S.C. Section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7"/>
            <w:shd w:val="clear" w:color="auto" w:fill="000000"/>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86" w:lineRule="exact"/>
              <w:rPr>
                <w:sz w:val="20"/>
                <w:szCs w:val="20"/>
                <w:color w:val="auto"/>
              </w:rPr>
            </w:pPr>
            <w:r>
              <w:rPr>
                <w:rFonts w:ascii="Times New Roman" w:cs="Times New Roman" w:eastAsia="Times New Roman" w:hAnsi="Times New Roman"/>
                <w:sz w:val="17"/>
                <w:szCs w:val="17"/>
                <w:color w:val="auto"/>
              </w:rPr>
              <w:t>1350, as Adopted Pursuant to Section 906 of the Sarbanes-Oxley Act of 2002.</w:t>
            </w:r>
          </w:p>
        </w:tc>
        <w:tc>
          <w:tcPr>
            <w:tcW w:w="0" w:type="dxa"/>
            <w:vAlign w:val="bottom"/>
          </w:tcPr>
          <w:p>
            <w:pPr>
              <w:spacing w:after="0"/>
              <w:rPr>
                <w:sz w:val="1"/>
                <w:szCs w:val="1"/>
                <w:color w:val="auto"/>
              </w:rPr>
            </w:pPr>
          </w:p>
        </w:tc>
      </w:tr>
      <w:tr>
        <w:trPr>
          <w:trHeight w:val="24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3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40" w:type="dxa"/>
            <w:vAlign w:val="bottom"/>
            <w:gridSpan w:val="16"/>
          </w:tcPr>
          <w:p>
            <w:pPr>
              <w:spacing w:after="0" w:line="194" w:lineRule="exact"/>
              <w:rPr>
                <w:sz w:val="20"/>
                <w:szCs w:val="20"/>
                <w:color w:val="auto"/>
              </w:rPr>
            </w:pPr>
            <w:r>
              <w:rPr>
                <w:rFonts w:ascii="Times New Roman" w:cs="Times New Roman" w:eastAsia="Times New Roman" w:hAnsi="Times New Roman"/>
                <w:sz w:val="17"/>
                <w:szCs w:val="17"/>
                <w:color w:val="auto"/>
              </w:rPr>
              <w:t>the Interactive Data File because its XBRL tags are embedded within the</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0" w:type="dxa"/>
            <w:vAlign w:val="bottom"/>
          </w:tcPr>
          <w:p>
            <w:pPr>
              <w:spacing w:after="0"/>
              <w:rPr>
                <w:sz w:val="1"/>
                <w:szCs w:val="1"/>
                <w:color w:val="auto"/>
              </w:rPr>
            </w:pP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20" w:right="100" w:hanging="1100"/>
        <w:spacing w:after="0" w:line="287" w:lineRule="auto"/>
        <w:tabs>
          <w:tab w:leader="none" w:pos="1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93"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65" w:lineRule="exact"/>
        <w:rPr>
          <w:rFonts w:ascii="Times New Roman" w:cs="Times New Roman" w:eastAsia="Times New Roman" w:hAnsi="Times New Roman"/>
          <w:sz w:val="17"/>
          <w:szCs w:val="17"/>
          <w:color w:val="auto"/>
        </w:rPr>
      </w:pPr>
    </w:p>
    <w:p>
      <w:pPr>
        <w:ind w:left="880" w:hanging="488"/>
        <w:spacing w:after="0"/>
        <w:tabs>
          <w:tab w:leader="none" w:pos="8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-448945</wp:posOffset>
            </wp:positionV>
            <wp:extent cx="851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9" w:lineRule="exact"/>
        <w:rPr>
          <w:sz w:val="20"/>
          <w:szCs w:val="20"/>
          <w:color w:val="auto"/>
        </w:rPr>
      </w:pPr>
    </w:p>
    <w:p>
      <w:pPr>
        <w:ind w:left="880" w:hanging="488"/>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251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182"/>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04/30/2021</w:t>
            </w:r>
          </w:p>
        </w:tc>
      </w:tr>
      <w:tr>
        <w:trPr>
          <w:trHeight w:val="223"/>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5"/>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04/28/2022</w:t>
            </w:r>
          </w:p>
        </w:tc>
      </w:tr>
      <w:tr>
        <w:trPr>
          <w:trHeight w:val="219"/>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3"/>
        </w:trPr>
        <w:tc>
          <w:tcPr>
            <w:tcW w:w="7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7"/>
                <w:szCs w:val="17"/>
                <w:color w:val="auto"/>
              </w:rPr>
              <w:t>POS</w:t>
            </w: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6"/>
                <w:szCs w:val="16"/>
                <w:color w:val="auto"/>
              </w:rPr>
            </w:pP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06/09/2022</w:t>
            </w:r>
          </w:p>
        </w:tc>
      </w:tr>
      <w:tr>
        <w:trPr>
          <w:trHeight w:val="249"/>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w:t>
            </w: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256659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8"/>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02/14/2022</w:t>
            </w:r>
          </w:p>
        </w:tc>
      </w:tr>
      <w:tr>
        <w:trPr>
          <w:trHeight w:val="219"/>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3"/>
        </w:trPr>
        <w:tc>
          <w:tcPr>
            <w:tcW w:w="7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7"/>
                <w:szCs w:val="17"/>
                <w:color w:val="auto"/>
              </w:rPr>
              <w:t>POS</w:t>
            </w: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6"/>
                <w:szCs w:val="16"/>
                <w:color w:val="auto"/>
              </w:rPr>
            </w:pP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06/09/2022</w:t>
            </w:r>
          </w:p>
        </w:tc>
      </w:tr>
      <w:tr>
        <w:trPr>
          <w:trHeight w:val="249"/>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w:t>
            </w: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256659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Furnished</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3">
            <w:col w:w="6560" w:space="100"/>
            <w:col w:w="3540" w:space="280"/>
            <w:col w:w="600"/>
          </w:cols>
          <w:pgMar w:left="320" w:top="1060" w:right="499" w:bottom="1440" w:gutter="0" w:footer="0" w:header="0"/>
        </w:sectPr>
      </w:pPr>
    </w:p>
    <w:bookmarkStart w:id="42" w:name="page43"/>
    <w:bookmarkEnd w:id="42"/>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Garrett Motion Inc.</w:t>
      </w:r>
    </w:p>
    <w:p>
      <w:pPr>
        <w:spacing w:after="0" w:line="307" w:lineRule="exact"/>
        <w:rPr>
          <w:sz w:val="20"/>
          <w:szCs w:val="20"/>
          <w:color w:val="auto"/>
        </w:rPr>
      </w:pPr>
    </w:p>
    <w:p>
      <w:pPr>
        <w:ind w:left="400"/>
        <w:spacing w:after="0"/>
        <w:tabs>
          <w:tab w:leader="none" w:pos="5380" w:val="left"/>
          <w:tab w:leader="none" w:pos="8120" w:val="left"/>
        </w:tabs>
        <w:rPr>
          <w:sz w:val="20"/>
          <w:szCs w:val="20"/>
          <w:color w:val="auto"/>
        </w:rPr>
      </w:pPr>
      <w:r>
        <w:rPr>
          <w:rFonts w:ascii="Times New Roman" w:cs="Times New Roman" w:eastAsia="Times New Roman" w:hAnsi="Times New Roman"/>
          <w:sz w:val="17"/>
          <w:szCs w:val="17"/>
          <w:color w:val="auto"/>
        </w:rPr>
        <w:t>Date: July 28,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25400</wp:posOffset>
            </wp:positionV>
            <wp:extent cx="34251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3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Olivier Rabiller</w:t>
      </w:r>
    </w:p>
    <w:p>
      <w:pPr>
        <w:spacing w:after="0" w:line="4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311" w:lineRule="exact"/>
        <w:rPr>
          <w:sz w:val="20"/>
          <w:szCs w:val="20"/>
          <w:color w:val="auto"/>
        </w:rPr>
      </w:pPr>
    </w:p>
    <w:p>
      <w:pPr>
        <w:ind w:left="400"/>
        <w:spacing w:after="0"/>
        <w:tabs>
          <w:tab w:leader="none" w:pos="5380" w:val="left"/>
          <w:tab w:leader="none" w:pos="8220" w:val="left"/>
        </w:tabs>
        <w:rPr>
          <w:sz w:val="20"/>
          <w:szCs w:val="20"/>
          <w:color w:val="auto"/>
        </w:rPr>
      </w:pPr>
      <w:r>
        <w:rPr>
          <w:rFonts w:ascii="Times New Roman" w:cs="Times New Roman" w:eastAsia="Times New Roman" w:hAnsi="Times New Roman"/>
          <w:sz w:val="17"/>
          <w:szCs w:val="17"/>
          <w:color w:val="auto"/>
        </w:rPr>
        <w:t>Date: July 28,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25400</wp:posOffset>
            </wp:positionV>
            <wp:extent cx="34251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3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Sean Deason</w:t>
      </w:r>
    </w:p>
    <w:p>
      <w:pPr>
        <w:spacing w:after="0" w:line="4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060"/>
          </w:cols>
          <w:pgMar w:left="320" w:top="1060" w:right="5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Olivier Rabiller, certify that:</w:t>
      </w:r>
    </w:p>
    <w:p>
      <w:pPr>
        <w:spacing w:after="0" w:line="256"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Garrett Motion Inc.;</w:t>
      </w:r>
    </w:p>
    <w:p>
      <w:pPr>
        <w:spacing w:after="0" w:line="242" w:lineRule="exact"/>
        <w:rPr>
          <w:rFonts w:ascii="Times New Roman" w:cs="Times New Roman" w:eastAsia="Times New Roman" w:hAnsi="Times New Roman"/>
          <w:sz w:val="17"/>
          <w:szCs w:val="17"/>
          <w:color w:val="auto"/>
        </w:rPr>
      </w:pPr>
    </w:p>
    <w:p>
      <w:pPr>
        <w:ind w:left="420" w:right="180" w:hanging="417"/>
        <w:spacing w:after="0" w:line="33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20" w:right="260" w:hanging="417"/>
        <w:spacing w:after="0" w:line="33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w:t>
      </w:r>
    </w:p>
    <w:p>
      <w:pPr>
        <w:spacing w:after="0" w:line="49" w:lineRule="exact"/>
        <w:rPr>
          <w:rFonts w:ascii="Times New Roman" w:cs="Times New Roman" w:eastAsia="Times New Roman" w:hAnsi="Times New Roman"/>
          <w:sz w:val="17"/>
          <w:szCs w:val="17"/>
          <w:color w:val="auto"/>
        </w:rPr>
      </w:pPr>
    </w:p>
    <w:p>
      <w:pPr>
        <w:ind w:left="420" w:right="24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840" w:right="220" w:hanging="416"/>
        <w:spacing w:after="0" w:line="309" w:lineRule="auto"/>
        <w:tabs>
          <w:tab w:leader="none" w:pos="78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7"/>
          <w:szCs w:val="17"/>
          <w:color w:val="auto"/>
        </w:rPr>
      </w:pPr>
    </w:p>
    <w:p>
      <w:pPr>
        <w:ind w:left="840" w:right="20" w:hanging="416"/>
        <w:spacing w:after="0" w:line="317" w:lineRule="auto"/>
        <w:tabs>
          <w:tab w:leader="none" w:pos="79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7"/>
          <w:szCs w:val="17"/>
          <w:color w:val="auto"/>
        </w:rPr>
      </w:pPr>
    </w:p>
    <w:p>
      <w:pPr>
        <w:ind w:left="840" w:right="60" w:hanging="416"/>
        <w:spacing w:after="0" w:line="334" w:lineRule="auto"/>
        <w:tabs>
          <w:tab w:leader="none" w:pos="78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w:t>
      </w:r>
    </w:p>
    <w:p>
      <w:pPr>
        <w:spacing w:after="0" w:line="49" w:lineRule="exact"/>
        <w:rPr>
          <w:rFonts w:ascii="Times New Roman" w:cs="Times New Roman" w:eastAsia="Times New Roman" w:hAnsi="Times New Roman"/>
          <w:sz w:val="17"/>
          <w:szCs w:val="17"/>
          <w:color w:val="auto"/>
        </w:rPr>
      </w:pPr>
    </w:p>
    <w:p>
      <w:pPr>
        <w:ind w:left="840" w:right="6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420" w:right="40" w:hanging="417"/>
        <w:spacing w:after="0" w:line="318" w:lineRule="auto"/>
        <w:tabs>
          <w:tab w:leader="none" w:pos="29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840" w:right="220" w:hanging="416"/>
        <w:spacing w:after="0" w:line="318" w:lineRule="auto"/>
        <w:tabs>
          <w:tab w:leader="none" w:pos="78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2420" w:type="dxa"/>
            <w:vAlign w:val="bottom"/>
          </w:tcPr>
          <w:p>
            <w:pPr>
              <w:ind w:left="2160"/>
              <w:spacing w:after="0"/>
              <w:rPr>
                <w:sz w:val="20"/>
                <w:szCs w:val="20"/>
                <w:color w:val="auto"/>
              </w:rPr>
            </w:pPr>
            <w:r>
              <w:rPr>
                <w:rFonts w:ascii="Times New Roman" w:cs="Times New Roman" w:eastAsia="Times New Roman" w:hAnsi="Times New Roman"/>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Olivier Rabiller</w:t>
            </w:r>
          </w:p>
        </w:tc>
      </w:tr>
      <w:tr>
        <w:trPr>
          <w:trHeight w:val="209"/>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Olivier Rabiller</w:t>
            </w:r>
          </w:p>
        </w:tc>
      </w:tr>
      <w:tr>
        <w:trPr>
          <w:trHeight w:val="215"/>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35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75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Deason, certify that:</w:t>
      </w:r>
    </w:p>
    <w:p>
      <w:pPr>
        <w:spacing w:after="0" w:line="256"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Garrett Motion Inc.;</w:t>
      </w:r>
    </w:p>
    <w:p>
      <w:pPr>
        <w:spacing w:after="0" w:line="242" w:lineRule="exact"/>
        <w:rPr>
          <w:rFonts w:ascii="Times New Roman" w:cs="Times New Roman" w:eastAsia="Times New Roman" w:hAnsi="Times New Roman"/>
          <w:sz w:val="17"/>
          <w:szCs w:val="17"/>
          <w:color w:val="auto"/>
        </w:rPr>
      </w:pPr>
    </w:p>
    <w:p>
      <w:pPr>
        <w:ind w:left="420" w:right="180" w:hanging="417"/>
        <w:spacing w:after="0" w:line="33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20" w:right="260" w:hanging="417"/>
        <w:spacing w:after="0" w:line="33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w:t>
      </w:r>
    </w:p>
    <w:p>
      <w:pPr>
        <w:spacing w:after="0" w:line="49" w:lineRule="exact"/>
        <w:rPr>
          <w:rFonts w:ascii="Times New Roman" w:cs="Times New Roman" w:eastAsia="Times New Roman" w:hAnsi="Times New Roman"/>
          <w:sz w:val="17"/>
          <w:szCs w:val="17"/>
          <w:color w:val="auto"/>
        </w:rPr>
      </w:pPr>
    </w:p>
    <w:p>
      <w:pPr>
        <w:ind w:left="420" w:right="24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840" w:right="220" w:hanging="416"/>
        <w:spacing w:after="0" w:line="309" w:lineRule="auto"/>
        <w:tabs>
          <w:tab w:leader="none" w:pos="7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7"/>
          <w:szCs w:val="17"/>
          <w:color w:val="auto"/>
        </w:rPr>
      </w:pPr>
    </w:p>
    <w:p>
      <w:pPr>
        <w:ind w:left="840" w:right="20" w:hanging="416"/>
        <w:spacing w:after="0" w:line="317" w:lineRule="auto"/>
        <w:tabs>
          <w:tab w:leader="none" w:pos="79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7"/>
          <w:szCs w:val="17"/>
          <w:color w:val="auto"/>
        </w:rPr>
      </w:pPr>
    </w:p>
    <w:p>
      <w:pPr>
        <w:ind w:left="840" w:right="60" w:hanging="416"/>
        <w:spacing w:after="0" w:line="334" w:lineRule="auto"/>
        <w:tabs>
          <w:tab w:leader="none" w:pos="7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w:t>
      </w:r>
    </w:p>
    <w:p>
      <w:pPr>
        <w:spacing w:after="0" w:line="49" w:lineRule="exact"/>
        <w:rPr>
          <w:rFonts w:ascii="Times New Roman" w:cs="Times New Roman" w:eastAsia="Times New Roman" w:hAnsi="Times New Roman"/>
          <w:sz w:val="17"/>
          <w:szCs w:val="17"/>
          <w:color w:val="auto"/>
        </w:rPr>
      </w:pPr>
    </w:p>
    <w:p>
      <w:pPr>
        <w:ind w:left="840" w:right="6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420" w:right="40" w:hanging="417"/>
        <w:spacing w:after="0" w:line="318" w:lineRule="auto"/>
        <w:tabs>
          <w:tab w:leader="none" w:pos="29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840" w:right="220" w:hanging="416"/>
        <w:spacing w:after="0" w:line="318" w:lineRule="auto"/>
        <w:tabs>
          <w:tab w:leader="none" w:pos="78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2420" w:type="dxa"/>
            <w:vAlign w:val="bottom"/>
          </w:tcPr>
          <w:p>
            <w:pPr>
              <w:ind w:left="2160"/>
              <w:spacing w:after="0"/>
              <w:rPr>
                <w:sz w:val="20"/>
                <w:szCs w:val="20"/>
                <w:color w:val="auto"/>
              </w:rPr>
            </w:pPr>
            <w:r>
              <w:rPr>
                <w:rFonts w:ascii="Times New Roman" w:cs="Times New Roman" w:eastAsia="Times New Roman" w:hAnsi="Times New Roman"/>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Sean Deason</w:t>
            </w:r>
          </w:p>
        </w:tc>
      </w:tr>
      <w:tr>
        <w:trPr>
          <w:trHeight w:val="209"/>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Sean Deason</w:t>
            </w:r>
          </w:p>
        </w:tc>
      </w:tr>
      <w:tr>
        <w:trPr>
          <w:trHeight w:val="223"/>
        </w:trPr>
        <w:tc>
          <w:tcPr>
            <w:tcW w:w="35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84"/>
        </w:trPr>
        <w:tc>
          <w:tcPr>
            <w:tcW w:w="3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75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7" w:lineRule="exact"/>
        <w:rPr>
          <w:sz w:val="20"/>
          <w:szCs w:val="20"/>
          <w:color w:val="auto"/>
        </w:rPr>
      </w:pPr>
    </w:p>
    <w:p>
      <w:pPr>
        <w:jc w:val="both"/>
        <w:ind w:right="60"/>
        <w:spacing w:after="0" w:line="317" w:lineRule="auto"/>
        <w:rPr>
          <w:sz w:val="20"/>
          <w:szCs w:val="20"/>
          <w:color w:val="auto"/>
        </w:rPr>
      </w:pPr>
      <w:r>
        <w:rPr>
          <w:rFonts w:ascii="Times New Roman" w:cs="Times New Roman" w:eastAsia="Times New Roman" w:hAnsi="Times New Roman"/>
          <w:sz w:val="17"/>
          <w:szCs w:val="17"/>
          <w:color w:val="auto"/>
        </w:rPr>
        <w:t>In connection with the Quarterly Report on Form 10-Q of Garrett Motion Inc. (the “Company”) for the period ended June 30, 2022 as filed with the Securities and Exchange Commission on the date hereof (the “Report”), I certify, pursuant to 18 U.S.C. § 1350, as adopted pursuant to § 906 of the Sarbanes-Oxley Act of 2002, that:</w:t>
      </w:r>
    </w:p>
    <w:p>
      <w:pPr>
        <w:spacing w:after="0" w:line="205" w:lineRule="exact"/>
        <w:rPr>
          <w:sz w:val="20"/>
          <w:szCs w:val="20"/>
          <w:color w:val="auto"/>
        </w:rPr>
      </w:pPr>
    </w:p>
    <w:p>
      <w:pPr>
        <w:ind w:left="1060" w:hanging="524"/>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7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246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Olivier Rabiller</w:t>
            </w:r>
          </w:p>
        </w:tc>
      </w:tr>
      <w:tr>
        <w:trPr>
          <w:trHeight w:val="216"/>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Olivier Rabiller</w:t>
            </w:r>
          </w:p>
        </w:tc>
      </w:tr>
      <w:tr>
        <w:trPr>
          <w:trHeight w:val="280"/>
        </w:trPr>
        <w:tc>
          <w:tcPr>
            <w:tcW w:w="3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35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95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7" w:lineRule="exact"/>
        <w:rPr>
          <w:sz w:val="20"/>
          <w:szCs w:val="20"/>
          <w:color w:val="auto"/>
        </w:rPr>
      </w:pPr>
    </w:p>
    <w:p>
      <w:pPr>
        <w:jc w:val="both"/>
        <w:ind w:right="60"/>
        <w:spacing w:after="0" w:line="317" w:lineRule="auto"/>
        <w:rPr>
          <w:sz w:val="20"/>
          <w:szCs w:val="20"/>
          <w:color w:val="auto"/>
        </w:rPr>
      </w:pPr>
      <w:r>
        <w:rPr>
          <w:rFonts w:ascii="Times New Roman" w:cs="Times New Roman" w:eastAsia="Times New Roman" w:hAnsi="Times New Roman"/>
          <w:sz w:val="17"/>
          <w:szCs w:val="17"/>
          <w:color w:val="auto"/>
        </w:rPr>
        <w:t>In connection with the Quarterly Report on Form 10-Q of Garrett Motion Inc. (the “Company”) for the period ended June 30, 2022 as filed with the Securities and Exchange Commission on the date hereof (the “Report”), I certify, pursuant to 18 U.S.C. § 1350, as adopted pursuant to § 906 of the Sarbanes-Oxley Act of 2002, that:</w:t>
      </w:r>
    </w:p>
    <w:p>
      <w:pPr>
        <w:spacing w:after="0" w:line="205" w:lineRule="exact"/>
        <w:rPr>
          <w:sz w:val="20"/>
          <w:szCs w:val="20"/>
          <w:color w:val="auto"/>
        </w:rPr>
      </w:pPr>
    </w:p>
    <w:p>
      <w:pPr>
        <w:ind w:left="1060" w:hanging="524"/>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7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246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Sean Deason</w:t>
            </w:r>
          </w:p>
        </w:tc>
      </w:tr>
      <w:tr>
        <w:trPr>
          <w:trHeight w:val="216"/>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Sean Deason</w:t>
            </w:r>
          </w:p>
        </w:tc>
      </w:tr>
      <w:tr>
        <w:trPr>
          <w:trHeight w:val="293"/>
        </w:trPr>
        <w:tc>
          <w:tcPr>
            <w:tcW w:w="3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32"/>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04"/>
    </w:lvl>
    <w:lvl w:ilvl="1">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0" Type="http://schemas.openxmlformats.org/officeDocument/2006/relationships/hyperlink" Target="http://www.sec.gov/Archives/edgar/data/1735707/000119312521145249/d172869dex31.htm" TargetMode="External"/><Relationship Id="rId61" Type="http://schemas.openxmlformats.org/officeDocument/2006/relationships/hyperlink" Target="https://www.sec.gov/Archives/edgar/data/1735707/000173570722000042/exhibit3_1-exx31.htm" TargetMode="External"/><Relationship Id="rId62" Type="http://schemas.openxmlformats.org/officeDocument/2006/relationships/hyperlink" Target="https://www.sec.gov/Archives/edgar/data/0001735707/000095014221004068/eh210210955_ex0301.htm" TargetMode="External"/><Relationship Id="rId63" Type="http://schemas.openxmlformats.org/officeDocument/2006/relationships/hyperlink" Target="https://www.sec.gov/ix?doc=/Archives/edgar/data/1735707/000095014222001081/eh22023656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2022-07-28T06:25:25Z</dcterms:created>
  <dcterms:modified xsi:type="dcterms:W3CDTF">2022-07-28T06:25:25Z</dcterms:modified>
</cp:coreProperties>
</file>