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518160</wp:posOffset>
            </wp:positionH>
            <wp:positionV relativeFrom="page">
              <wp:posOffset>690880</wp:posOffset>
            </wp:positionV>
            <wp:extent cx="68859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5940" cy="6985"/>
                    </a:xfrm>
                    <a:prstGeom prst="rect">
                      <a:avLst/>
                    </a:prstGeom>
                    <a:noFill/>
                  </pic:spPr>
                </pic:pic>
              </a:graphicData>
            </a:graphic>
          </wp:anchor>
        </w:drawing>
        <w:drawing>
          <wp:anchor simplePos="0" relativeHeight="251657728" behindDoc="1" locked="0" layoutInCell="0" allowOverlap="1">
            <wp:simplePos x="0" y="0"/>
            <wp:positionH relativeFrom="page">
              <wp:posOffset>518160</wp:posOffset>
            </wp:positionH>
            <wp:positionV relativeFrom="page">
              <wp:posOffset>711200</wp:posOffset>
            </wp:positionV>
            <wp:extent cx="688594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5940" cy="6985"/>
                    </a:xfrm>
                    <a:prstGeom prst="rect">
                      <a:avLst/>
                    </a:prstGeom>
                    <a:noFill/>
                  </pic:spPr>
                </pic:pic>
              </a:graphicData>
            </a:graphic>
          </wp:anchor>
        </w:drawing>
        <w:t>UNITED STATES</w:t>
      </w:r>
    </w:p>
    <w:p>
      <w:pPr>
        <w:spacing w:after="0" w:line="4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color w:val="auto"/>
        </w:rPr>
        <w:t>________________________________________________</w:t>
      </w:r>
    </w:p>
    <w:p>
      <w:pPr>
        <w:spacing w:after="0" w:line="11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3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color w:val="auto"/>
        </w:rPr>
        <w:t>________________________________________________</w:t>
      </w:r>
    </w:p>
    <w:p>
      <w:pPr>
        <w:spacing w:after="0" w:line="3"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43" w:lineRule="exact"/>
        <w:rPr>
          <w:sz w:val="24"/>
          <w:szCs w:val="24"/>
          <w:color w:val="auto"/>
        </w:rPr>
      </w:pPr>
    </w:p>
    <w:p>
      <w:pPr>
        <w:ind w:left="820" w:hanging="494"/>
        <w:spacing w:after="0"/>
        <w:tabs>
          <w:tab w:leader="none" w:pos="82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2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2024</w:t>
      </w:r>
    </w:p>
    <w:p>
      <w:pPr>
        <w:spacing w:after="0" w:line="148"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01" w:lineRule="exact"/>
        <w:rPr>
          <w:sz w:val="24"/>
          <w:szCs w:val="24"/>
          <w:color w:val="auto"/>
        </w:rPr>
      </w:pPr>
    </w:p>
    <w:p>
      <w:pPr>
        <w:ind w:left="820" w:hanging="494"/>
        <w:spacing w:after="0"/>
        <w:tabs>
          <w:tab w:leader="none" w:pos="82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 to ______</w:t>
      </w:r>
    </w:p>
    <w:p>
      <w:pPr>
        <w:spacing w:after="0" w:line="9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 xml:space="preserve">Commission File Number: </w:t>
      </w:r>
      <w:r>
        <w:rPr>
          <w:rFonts w:ascii="Times New Roman" w:cs="Times New Roman" w:eastAsia="Times New Roman" w:hAnsi="Times New Roman"/>
          <w:sz w:val="14"/>
          <w:szCs w:val="14"/>
          <w:b w:val="1"/>
          <w:bCs w:val="1"/>
          <w:color w:val="222222"/>
        </w:rPr>
        <w:t>001-38636</w:t>
      </w:r>
    </w:p>
    <w:p>
      <w:pPr>
        <w:spacing w:after="0" w:line="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________________________________________________</w:t>
      </w:r>
    </w:p>
    <w:p>
      <w:pPr>
        <w:spacing w:after="0" w:line="11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4"/>
          <w:szCs w:val="34"/>
          <w:b w:val="1"/>
          <w:bCs w:val="1"/>
          <w:color w:val="auto"/>
        </w:rPr>
        <w:t>Garrett Motion Inc.</w:t>
      </w:r>
    </w:p>
    <w:p>
      <w:pPr>
        <w:spacing w:after="0" w:line="4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________________________________________________</w:t>
      </w:r>
    </w:p>
    <w:p>
      <w:pPr>
        <w:sectPr>
          <w:pgSz w:w="11900" w:h="16838" w:orient="portrait"/>
          <w:cols w:equalWidth="0" w:num="1">
            <w:col w:w="11360"/>
          </w:cols>
          <w:pgMar w:left="300" w:top="1188" w:right="239" w:bottom="1440" w:gutter="0" w:footer="0" w:header="0"/>
        </w:sectPr>
      </w:pPr>
    </w:p>
    <w:p>
      <w:pPr>
        <w:spacing w:after="0" w:line="185"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82-4873189</w:t>
      </w:r>
    </w:p>
    <w:p>
      <w:pPr>
        <w:spacing w:after="0" w:line="25" w:lineRule="exact"/>
        <w:rPr>
          <w:sz w:val="24"/>
          <w:szCs w:val="24"/>
          <w:color w:val="auto"/>
        </w:rPr>
      </w:pPr>
    </w:p>
    <w:p>
      <w:pPr>
        <w:sectPr>
          <w:pgSz w:w="11900" w:h="16838" w:orient="portrait"/>
          <w:cols w:equalWidth="0" w:num="2">
            <w:col w:w="7640" w:space="720"/>
            <w:col w:w="3000"/>
          </w:cols>
          <w:pgMar w:left="300" w:top="1188" w:right="239" w:bottom="1440" w:gutter="0" w:footer="0" w:header="0"/>
          <w:type w:val="continuous"/>
        </w:sectPr>
      </w:pPr>
    </w:p>
    <w:p>
      <w:pPr>
        <w:spacing w:after="0" w:line="9"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9"/>
          <w:szCs w:val="9"/>
          <w:color w:val="auto"/>
        </w:rPr>
        <w:t>(State or other jurisdiction of</w:t>
      </w:r>
    </w:p>
    <w:p>
      <w:pPr>
        <w:spacing w:after="0" w:line="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9"/>
          <w:szCs w:val="9"/>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0"/>
          <w:szCs w:val="10"/>
          <w:color w:val="auto"/>
        </w:rPr>
        <w:t>(I.R.S. Employer</w:t>
      </w:r>
    </w:p>
    <w:p>
      <w:pPr>
        <w:spacing w:after="0"/>
        <w:rPr>
          <w:sz w:val="20"/>
          <w:szCs w:val="20"/>
          <w:color w:val="auto"/>
        </w:rPr>
      </w:pPr>
      <w:r>
        <w:rPr>
          <w:rFonts w:ascii="Times New Roman" w:cs="Times New Roman" w:eastAsia="Times New Roman" w:hAnsi="Times New Roman"/>
          <w:sz w:val="9"/>
          <w:szCs w:val="9"/>
          <w:color w:val="auto"/>
        </w:rPr>
        <w:t>Identification No.)</w:t>
      </w:r>
    </w:p>
    <w:p>
      <w:pPr>
        <w:spacing w:after="0" w:line="160" w:lineRule="exact"/>
        <w:rPr>
          <w:sz w:val="24"/>
          <w:szCs w:val="24"/>
          <w:color w:val="auto"/>
        </w:rPr>
      </w:pPr>
    </w:p>
    <w:p>
      <w:pPr>
        <w:sectPr>
          <w:pgSz w:w="11900" w:h="16838" w:orient="portrait"/>
          <w:cols w:equalWidth="0" w:num="2">
            <w:col w:w="7600" w:space="720"/>
            <w:col w:w="3040"/>
          </w:cols>
          <w:pgMar w:left="300" w:top="1188" w:right="239" w:bottom="1440" w:gutter="0" w:footer="0" w:header="0"/>
          <w:type w:val="continuous"/>
        </w:sectPr>
      </w:pPr>
    </w:p>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La Pièce 16, 1180 Rolle, Switzerland</w:t>
      </w:r>
    </w:p>
    <w:p>
      <w:pPr>
        <w:spacing w:after="0" w:line="43"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4"/>
          <w:szCs w:val="14"/>
          <w:color w:val="auto"/>
        </w:rPr>
        <w:t>and</w:t>
      </w:r>
    </w:p>
    <w:p>
      <w:pPr>
        <w:spacing w:after="0" w:line="39"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47548 Halyard Drive, Plymouth, MI 48170</w:t>
      </w:r>
    </w:p>
    <w:p>
      <w:pPr>
        <w:spacing w:after="0" w:line="43"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(Zip Code)</w:t>
      </w:r>
    </w:p>
    <w:p>
      <w:pPr>
        <w:spacing w:after="0" w:line="23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+41 21 695 30 00</w:t>
      </w:r>
    </w:p>
    <w:p>
      <w:pPr>
        <w:spacing w:after="0" w:line="4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and</w:t>
      </w:r>
    </w:p>
    <w:p>
      <w:pPr>
        <w:spacing w:after="0" w:line="2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734 392 5500</w:t>
      </w:r>
    </w:p>
    <w:p>
      <w:pPr>
        <w:spacing w:after="0" w:line="6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ectPr>
          <w:pgSz w:w="11900" w:h="16838" w:orient="portrait"/>
          <w:cols w:equalWidth="0" w:num="1">
            <w:col w:w="11360"/>
          </w:cols>
          <w:pgMar w:left="300" w:top="1188" w:right="239" w:bottom="1440" w:gutter="0" w:footer="0" w:header="0"/>
          <w:type w:val="continuous"/>
        </w:sectPr>
      </w:pPr>
    </w:p>
    <w:p>
      <w:pPr>
        <w:spacing w:after="0" w:line="200" w:lineRule="exact"/>
        <w:rPr>
          <w:sz w:val="24"/>
          <w:szCs w:val="24"/>
          <w:color w:val="auto"/>
        </w:rPr>
      </w:pPr>
    </w:p>
    <w:p>
      <w:pPr>
        <w:spacing w:after="0" w:line="28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163" w:lineRule="exact"/>
        <w:rPr>
          <w:sz w:val="24"/>
          <w:szCs w:val="24"/>
          <w:color w:val="auto"/>
        </w:rPr>
      </w:pPr>
    </w:p>
    <w:tbl>
      <w:tblPr>
        <w:tblLayout w:type="fixed"/>
        <w:tblInd w:w="330" w:type="dxa"/>
        <w:tblCellMar>
          <w:top w:w="0" w:type="dxa"/>
          <w:left w:w="0" w:type="dxa"/>
          <w:bottom w:w="0" w:type="dxa"/>
          <w:right w:w="0" w:type="dxa"/>
        </w:tblCellMar>
      </w:tblPr>
      <w:tr>
        <w:trPr>
          <w:trHeight w:val="179"/>
        </w:trPr>
        <w:tc>
          <w:tcPr>
            <w:tcW w:w="44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2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4200" w:type="dxa"/>
            <w:vAlign w:val="bottom"/>
            <w:tcBorders>
              <w:top w:val="single" w:sz="8" w:color="auto"/>
            </w:tcBorders>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w w:val="98"/>
              </w:rPr>
              <w:t>Name of each exchange on which registered</w:t>
            </w:r>
          </w:p>
        </w:tc>
      </w:tr>
      <w:tr>
        <w:trPr>
          <w:trHeight w:val="24"/>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187"/>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GTX</w:t>
            </w:r>
          </w:p>
        </w:tc>
        <w:tc>
          <w:tcPr>
            <w:tcW w:w="4200" w:type="dxa"/>
            <w:vAlign w:val="bottom"/>
            <w:tcBorders>
              <w:bottom w:val="single" w:sz="8" w:color="auto"/>
            </w:tcBorders>
          </w:tcPr>
          <w:p>
            <w:pPr>
              <w:jc w:val="center"/>
              <w:ind w:left="153"/>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02" w:lineRule="exact"/>
        <w:rPr>
          <w:sz w:val="24"/>
          <w:szCs w:val="24"/>
          <w:color w:val="auto"/>
        </w:rPr>
      </w:pPr>
    </w:p>
    <w:p>
      <w:pPr>
        <w:ind w:right="240" w:firstLine="307"/>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3" w:lineRule="exact"/>
        <w:rPr>
          <w:sz w:val="24"/>
          <w:szCs w:val="24"/>
          <w:color w:val="auto"/>
        </w:rPr>
      </w:pPr>
    </w:p>
    <w:p>
      <w:pPr>
        <w:ind w:right="560" w:firstLine="307"/>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3" w:lineRule="exact"/>
        <w:rPr>
          <w:sz w:val="24"/>
          <w:szCs w:val="24"/>
          <w:color w:val="auto"/>
        </w:rPr>
      </w:pPr>
    </w:p>
    <w:p>
      <w:pPr>
        <w:ind w:right="380" w:firstLine="319"/>
        <w:spacing w:after="0" w:line="26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320" w:type="dxa"/>
        <w:tblCellMar>
          <w:top w:w="0" w:type="dxa"/>
          <w:left w:w="0" w:type="dxa"/>
          <w:bottom w:w="0" w:type="dxa"/>
          <w:right w:w="0" w:type="dxa"/>
        </w:tblCellMar>
      </w:tblPr>
      <w:tr>
        <w:trPr>
          <w:trHeight w:val="215"/>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560" w:type="dxa"/>
            <w:vAlign w:val="bottom"/>
          </w:tcPr>
          <w:p>
            <w:pPr>
              <w:ind w:left="1120"/>
              <w:spacing w:after="0" w:line="131" w:lineRule="exact"/>
              <w:rPr>
                <w:sz w:val="20"/>
                <w:szCs w:val="20"/>
                <w:color w:val="auto"/>
              </w:rPr>
            </w:pPr>
            <w:r>
              <w:rPr>
                <w:rFonts w:ascii="MS PGothic" w:cs="MS PGothic" w:eastAsia="MS PGothic" w:hAnsi="MS PGothic"/>
                <w:sz w:val="13"/>
                <w:szCs w:val="13"/>
                <w:color w:val="auto"/>
                <w:highlight w:val="black"/>
              </w:rPr>
              <w:t>☒</w:t>
            </w:r>
          </w:p>
        </w:tc>
        <w:tc>
          <w:tcPr>
            <w:tcW w:w="2720" w:type="dxa"/>
            <w:vAlign w:val="bottom"/>
          </w:tcPr>
          <w:p>
            <w:pPr>
              <w:ind w:left="1320"/>
              <w:spacing w:after="0"/>
              <w:rPr>
                <w:sz w:val="20"/>
                <w:szCs w:val="20"/>
                <w:color w:val="auto"/>
              </w:rPr>
            </w:pPr>
            <w:r>
              <w:rPr>
                <w:rFonts w:ascii="Times New Roman" w:cs="Times New Roman" w:eastAsia="Times New Roman" w:hAnsi="Times New Roman"/>
                <w:sz w:val="13"/>
                <w:szCs w:val="13"/>
                <w:color w:val="auto"/>
              </w:rPr>
              <w:t>Accelerated filer</w:t>
            </w:r>
          </w:p>
        </w:tc>
      </w:tr>
      <w:tr>
        <w:trPr>
          <w:trHeight w:val="309"/>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560" w:type="dxa"/>
            <w:vAlign w:val="bottom"/>
          </w:tcPr>
          <w:p>
            <w:pPr>
              <w:ind w:left="1120"/>
              <w:spacing w:after="0" w:line="131" w:lineRule="exact"/>
              <w:rPr>
                <w:sz w:val="20"/>
                <w:szCs w:val="20"/>
                <w:color w:val="auto"/>
              </w:rPr>
            </w:pPr>
            <w:r>
              <w:rPr>
                <w:rFonts w:ascii="MS PGothic" w:cs="MS PGothic" w:eastAsia="MS PGothic" w:hAnsi="MS PGothic"/>
                <w:sz w:val="13"/>
                <w:szCs w:val="13"/>
                <w:color w:val="auto"/>
              </w:rPr>
              <w:t>☐</w:t>
            </w:r>
          </w:p>
        </w:tc>
        <w:tc>
          <w:tcPr>
            <w:tcW w:w="2720" w:type="dxa"/>
            <w:vAlign w:val="bottom"/>
          </w:tcPr>
          <w:p>
            <w:pPr>
              <w:ind w:left="1320"/>
              <w:spacing w:after="0"/>
              <w:rPr>
                <w:sz w:val="20"/>
                <w:szCs w:val="20"/>
                <w:color w:val="auto"/>
              </w:rPr>
            </w:pPr>
            <w:r>
              <w:rPr>
                <w:rFonts w:ascii="Times New Roman" w:cs="Times New Roman" w:eastAsia="Times New Roman" w:hAnsi="Times New Roman"/>
                <w:sz w:val="13"/>
                <w:szCs w:val="13"/>
                <w:color w:val="auto"/>
                <w:w w:val="96"/>
              </w:rPr>
              <w:t>Smaller reporting company</w:t>
            </w:r>
          </w:p>
        </w:tc>
      </w:tr>
      <w:tr>
        <w:trPr>
          <w:trHeight w:val="309"/>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560" w:type="dxa"/>
            <w:vAlign w:val="bottom"/>
          </w:tcPr>
          <w:p>
            <w:pPr>
              <w:ind w:left="1120"/>
              <w:spacing w:after="0" w:line="131" w:lineRule="exact"/>
              <w:rPr>
                <w:sz w:val="20"/>
                <w:szCs w:val="20"/>
                <w:color w:val="auto"/>
              </w:rPr>
            </w:pPr>
            <w:r>
              <w:rPr>
                <w:rFonts w:ascii="MS PGothic" w:cs="MS PGothic" w:eastAsia="MS PGothic" w:hAnsi="MS PGothic"/>
                <w:sz w:val="13"/>
                <w:szCs w:val="13"/>
                <w:color w:val="auto"/>
              </w:rPr>
              <w:t>☐</w:t>
            </w:r>
          </w:p>
        </w:tc>
        <w:tc>
          <w:tcPr>
            <w:tcW w:w="2720" w:type="dxa"/>
            <w:vAlign w:val="bottom"/>
          </w:tcPr>
          <w:p>
            <w:pPr>
              <w:spacing w:after="0"/>
              <w:rPr>
                <w:sz w:val="24"/>
                <w:szCs w:val="24"/>
                <w:color w:val="auto"/>
              </w:rPr>
            </w:pPr>
          </w:p>
        </w:tc>
      </w:tr>
    </w:tbl>
    <w:p>
      <w:pPr>
        <w:spacing w:after="0" w:line="208" w:lineRule="exact"/>
        <w:rPr>
          <w:sz w:val="24"/>
          <w:szCs w:val="24"/>
          <w:color w:val="auto"/>
        </w:rPr>
      </w:pPr>
    </w:p>
    <w:p>
      <w:pPr>
        <w:ind w:right="80" w:firstLine="319"/>
        <w:spacing w:after="0" w:line="173"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3" w:lineRule="exact"/>
        <w:rPr>
          <w:sz w:val="24"/>
          <w:szCs w:val="24"/>
          <w:color w:val="auto"/>
        </w:rPr>
      </w:pPr>
    </w:p>
    <w:p>
      <w:pPr>
        <w:ind w:left="32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77" w:lineRule="exact"/>
        <w:rPr>
          <w:sz w:val="24"/>
          <w:szCs w:val="24"/>
          <w:color w:val="auto"/>
        </w:rPr>
      </w:pPr>
    </w:p>
    <w:p>
      <w:pPr>
        <w:ind w:right="220" w:firstLine="307"/>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3"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3"/>
          <w:szCs w:val="13"/>
          <w:color w:val="auto"/>
        </w:rPr>
        <w:t>As of October 18, 2024, the registrant had 213,562,312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656590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199390</wp:posOffset>
            </wp:positionH>
            <wp:positionV relativeFrom="paragraph">
              <wp:posOffset>135255</wp:posOffset>
            </wp:positionV>
            <wp:extent cx="70142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4210" cy="6985"/>
                    </a:xfrm>
                    <a:prstGeom prst="rect">
                      <a:avLst/>
                    </a:prstGeom>
                    <a:noFill/>
                  </pic:spPr>
                </pic:pic>
              </a:graphicData>
            </a:graphic>
          </wp:anchor>
        </w:drawing>
        <w:drawing>
          <wp:anchor simplePos="0" relativeHeight="251657728" behindDoc="1" locked="0" layoutInCell="0" allowOverlap="1">
            <wp:simplePos x="0" y="0"/>
            <wp:positionH relativeFrom="column">
              <wp:posOffset>199390</wp:posOffset>
            </wp:positionH>
            <wp:positionV relativeFrom="paragraph">
              <wp:posOffset>155575</wp:posOffset>
            </wp:positionV>
            <wp:extent cx="70142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4210" cy="6985"/>
                    </a:xfrm>
                    <a:prstGeom prst="rect">
                      <a:avLst/>
                    </a:prstGeom>
                    <a:noFill/>
                  </pic:spPr>
                </pic:pic>
              </a:graphicData>
            </a:graphic>
          </wp:anchor>
        </w:drawing>
      </w:r>
    </w:p>
    <w:p>
      <w:pPr>
        <w:sectPr>
          <w:pgSz w:w="11900" w:h="16838" w:orient="portrait"/>
          <w:cols w:equalWidth="0" w:num="1">
            <w:col w:w="11360"/>
          </w:cols>
          <w:pgMar w:left="300" w:top="118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12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353"/>
        </w:trPr>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0"/>
        </w:trPr>
        <w:tc>
          <w:tcPr>
            <w:tcW w:w="15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PART I.</w:t>
            </w:r>
          </w:p>
        </w:tc>
        <w:tc>
          <w:tcPr>
            <w:tcW w:w="1780" w:type="dxa"/>
            <w:vAlign w:val="bottom"/>
            <w:tcBorders>
              <w:bottom w:val="single" w:sz="8" w:color="0000FF"/>
            </w:tcBorders>
            <w:gridSpan w:val="8"/>
          </w:tcPr>
          <w:p>
            <w:pPr>
              <w:spacing w:after="0" w:line="160" w:lineRule="exact"/>
              <w:rPr>
                <w:sz w:val="20"/>
                <w:szCs w:val="20"/>
                <w:color w:val="auto"/>
              </w:rPr>
            </w:pPr>
            <w:r>
              <w:rPr>
                <w:rFonts w:ascii="Times New Roman" w:cs="Times New Roman" w:eastAsia="Times New Roman" w:hAnsi="Times New Roman"/>
                <w:sz w:val="14"/>
                <w:szCs w:val="14"/>
                <w:color w:val="0000FF"/>
                <w:w w:val="99"/>
              </w:rPr>
              <w:t>FINANCIAL INFORMATION</w:t>
            </w:r>
          </w:p>
        </w:tc>
        <w:tc>
          <w:tcPr>
            <w:tcW w:w="7740" w:type="dxa"/>
            <w:vAlign w:val="bottom"/>
            <w:gridSpan w:val="14"/>
          </w:tcPr>
          <w:p>
            <w:pPr>
              <w:spacing w:after="0"/>
              <w:rPr>
                <w:sz w:val="13"/>
                <w:szCs w:val="13"/>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Financial Statements (Unaudited)</w:t>
            </w:r>
          </w:p>
        </w:tc>
      </w:tr>
      <w:tr>
        <w:trPr>
          <w:trHeight w:val="20"/>
        </w:trPr>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Consolidated Interim Statements of Operations (Unaudited)</w:t>
            </w:r>
          </w:p>
        </w:tc>
        <w:tc>
          <w:tcPr>
            <w:tcW w:w="6120" w:type="dxa"/>
            <w:vAlign w:val="bottom"/>
            <w:gridSpan w:val="9"/>
          </w:tcPr>
          <w:p>
            <w:pPr>
              <w:spacing w:after="0"/>
              <w:rPr>
                <w:sz w:val="15"/>
                <w:szCs w:val="15"/>
                <w:color w:val="auto"/>
              </w:rPr>
            </w:pP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Consolidated Interim Statements of Comprehensive Income (Unaudited)</w:t>
            </w: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12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Consolidated Interim Balance Sheets (Unaudited)</w:t>
            </w:r>
          </w:p>
        </w:tc>
        <w:tc>
          <w:tcPr>
            <w:tcW w:w="5400" w:type="dxa"/>
            <w:vAlign w:val="bottom"/>
            <w:gridSpan w:val="3"/>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Consolidated Interim Statements of Cash Flows (Unaudited)</w:t>
            </w:r>
          </w:p>
        </w:tc>
        <w:tc>
          <w:tcPr>
            <w:tcW w:w="6060" w:type="dxa"/>
            <w:vAlign w:val="bottom"/>
            <w:gridSpan w:val="6"/>
          </w:tcPr>
          <w:p>
            <w:pPr>
              <w:spacing w:after="0"/>
              <w:rPr>
                <w:sz w:val="15"/>
                <w:szCs w:val="15"/>
                <w:color w:val="auto"/>
              </w:rPr>
            </w:pP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Consolidated Interim Statements of Equity (Deficit) (Unaudited)</w:t>
            </w:r>
          </w:p>
        </w:tc>
        <w:tc>
          <w:tcPr>
            <w:tcW w:w="5840" w:type="dxa"/>
            <w:vAlign w:val="bottom"/>
            <w:gridSpan w:val="4"/>
          </w:tcPr>
          <w:p>
            <w:pPr>
              <w:spacing w:after="0"/>
              <w:rPr>
                <w:sz w:val="15"/>
                <w:szCs w:val="15"/>
                <w:color w:val="auto"/>
              </w:rPr>
            </w:pP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 xml:space="preserve">Notes to Consolidated Interim Financial Statements </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FF"/>
              </w:rPr>
              <w:t>Unaudited</w:t>
            </w:r>
            <w:r>
              <w:rPr>
                <w:rFonts w:ascii="Times New Roman" w:cs="Times New Roman" w:eastAsia="Times New Roman" w:hAnsi="Times New Roman"/>
                <w:sz w:val="14"/>
                <w:szCs w:val="14"/>
                <w:color w:val="000000"/>
              </w:rPr>
              <w:t>)</w:t>
            </w:r>
          </w:p>
        </w:tc>
      </w:tr>
      <w:tr>
        <w:trPr>
          <w:trHeight w:val="20"/>
        </w:trPr>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51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4420" w:type="dxa"/>
            <w:vAlign w:val="bottom"/>
            <w:gridSpan w:val="2"/>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34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6080" w:type="dxa"/>
            <w:vAlign w:val="bottom"/>
            <w:gridSpan w:val="7"/>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14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8100" w:type="dxa"/>
            <w:vAlign w:val="bottom"/>
            <w:gridSpan w:val="16"/>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OTHER INFORMATION</w:t>
            </w: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10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420" w:type="dxa"/>
            <w:vAlign w:val="bottom"/>
            <w:tcBorders>
              <w:top w:val="single" w:sz="8" w:color="0000FF"/>
            </w:tcBorders>
            <w:gridSpan w:val="3"/>
          </w:tcPr>
          <w:p>
            <w:pPr>
              <w:spacing w:after="0"/>
              <w:rPr>
                <w:sz w:val="15"/>
                <w:szCs w:val="15"/>
                <w:color w:val="auto"/>
              </w:rPr>
            </w:pPr>
          </w:p>
        </w:tc>
        <w:tc>
          <w:tcPr>
            <w:tcW w:w="8040" w:type="dxa"/>
            <w:vAlign w:val="bottom"/>
            <w:gridSpan w:val="15"/>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1A.</w:t>
            </w:r>
          </w:p>
        </w:tc>
        <w:tc>
          <w:tcPr>
            <w:tcW w:w="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8800" w:type="dxa"/>
            <w:vAlign w:val="bottom"/>
            <w:gridSpan w:val="20"/>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19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Defaults Upon Senior Securities</w:t>
            </w:r>
          </w:p>
        </w:tc>
        <w:tc>
          <w:tcPr>
            <w:tcW w:w="1520" w:type="dxa"/>
            <w:vAlign w:val="bottom"/>
            <w:tcBorders>
              <w:top w:val="single" w:sz="8" w:color="0000FF"/>
            </w:tcBorders>
            <w:gridSpan w:val="5"/>
          </w:tcPr>
          <w:p>
            <w:pPr>
              <w:spacing w:after="0"/>
              <w:rPr>
                <w:sz w:val="15"/>
                <w:szCs w:val="15"/>
                <w:color w:val="auto"/>
              </w:rPr>
            </w:pPr>
          </w:p>
        </w:tc>
        <w:tc>
          <w:tcPr>
            <w:tcW w:w="6100" w:type="dxa"/>
            <w:vAlign w:val="bottom"/>
            <w:gridSpan w:val="8"/>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14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8120" w:type="dxa"/>
            <w:vAlign w:val="bottom"/>
            <w:gridSpan w:val="17"/>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5.</w:t>
            </w:r>
          </w:p>
        </w:tc>
        <w:tc>
          <w:tcPr>
            <w:tcW w:w="10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9"/>
              </w:rPr>
              <w:t>Other Information</w:t>
            </w:r>
          </w:p>
        </w:tc>
        <w:tc>
          <w:tcPr>
            <w:tcW w:w="8480" w:type="dxa"/>
            <w:vAlign w:val="bottom"/>
            <w:gridSpan w:val="19"/>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6.</w:t>
            </w: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Exhibits</w:t>
            </w: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480" w:type="dxa"/>
            <w:vAlign w:val="bottom"/>
            <w:tcBorders>
              <w:top w:val="single" w:sz="8" w:color="0000FF"/>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52070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620" w:top="762" w:right="2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1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CONSOLIDATED INTERIM STATEMENTS OF OPERATIONS</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6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20" w:type="dxa"/>
            <w:vAlign w:val="bottom"/>
          </w:tcPr>
          <w:p>
            <w:pPr>
              <w:spacing w:after="0"/>
              <w:rPr>
                <w:sz w:val="11"/>
                <w:szCs w:val="11"/>
                <w:color w:val="auto"/>
              </w:rPr>
            </w:pPr>
          </w:p>
        </w:tc>
      </w:tr>
      <w:tr>
        <w:trPr>
          <w:trHeight w:val="149"/>
        </w:trPr>
        <w:tc>
          <w:tcPr>
            <w:tcW w:w="4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80" w:type="dxa"/>
            <w:vAlign w:val="bottom"/>
            <w:gridSpan w:val="3"/>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gridSpan w:val="3"/>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20" w:type="dxa"/>
            <w:vAlign w:val="bottom"/>
          </w:tcPr>
          <w:p>
            <w:pPr>
              <w:spacing w:after="0"/>
              <w:rPr>
                <w:sz w:val="12"/>
                <w:szCs w:val="12"/>
                <w:color w:val="auto"/>
              </w:rPr>
            </w:pPr>
          </w:p>
        </w:tc>
      </w:tr>
      <w:tr>
        <w:trPr>
          <w:trHeight w:val="30"/>
        </w:trPr>
        <w:tc>
          <w:tcPr>
            <w:tcW w:w="46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52"/>
        </w:trPr>
        <w:tc>
          <w:tcPr>
            <w:tcW w:w="46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4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6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millions, except per share amounts)</w:t>
            </w: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2"/>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 (Note 3)</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2,631</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2,941</w:t>
            </w:r>
          </w:p>
        </w:tc>
      </w:tr>
      <w:tr>
        <w:trPr>
          <w:trHeight w:val="197"/>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2,108</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2,374</w:t>
            </w:r>
          </w:p>
        </w:tc>
      </w:tr>
      <w:tr>
        <w:trPr>
          <w:trHeight w:val="19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r>
      <w:tr>
        <w:trPr>
          <w:trHeight w:val="18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r>
      <w:tr>
        <w:trPr>
          <w:trHeight w:val="20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20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sale of equity investment (Note 21)</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Non-operating (income) expense</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r>
      <w:tr>
        <w:trPr>
          <w:trHeight w:val="187"/>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Tax expense (Note 5)</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9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r>
      <w:tr>
        <w:trPr>
          <w:trHeight w:val="18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preferred stock dividends</w:t>
            </w:r>
          </w:p>
        </w:tc>
        <w:tc>
          <w:tcPr>
            <w:tcW w:w="38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0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preferred stock deemed dividends</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r>
      <w:tr>
        <w:trPr>
          <w:trHeight w:val="18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available for distribution</w:t>
            </w: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6"/>
                <w:szCs w:val="16"/>
                <w:color w:val="auto"/>
              </w:rPr>
            </w:pPr>
          </w:p>
        </w:tc>
        <w:tc>
          <w:tcPr>
            <w:tcW w:w="56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0"/>
        </w:trPr>
        <w:tc>
          <w:tcPr>
            <w:tcW w:w="46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97"/>
        </w:trPr>
        <w:tc>
          <w:tcPr>
            <w:tcW w:w="4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Earnings (loss) per common share</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(0.73)</w:t>
            </w:r>
          </w:p>
        </w:tc>
      </w:tr>
      <w:tr>
        <w:trPr>
          <w:trHeight w:val="19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0.80</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(0.73)</w:t>
            </w:r>
          </w:p>
        </w:tc>
      </w:tr>
      <w:tr>
        <w:trPr>
          <w:trHeight w:val="219"/>
        </w:trPr>
        <w:tc>
          <w:tcPr>
            <w:tcW w:w="46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19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217,283,749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250,888,716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226,057,803</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141,745,701</w:t>
            </w:r>
          </w:p>
        </w:tc>
      </w:tr>
      <w:tr>
        <w:trPr>
          <w:trHeight w:val="191"/>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218,403,681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252,381,719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227,649,747</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141,745,701</w:t>
            </w:r>
          </w:p>
        </w:tc>
      </w:tr>
    </w:tbl>
    <w:p>
      <w:pPr>
        <w:spacing w:after="0" w:line="21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The Notes to the Consolidated Interim Financial Statements are an integral part of this statement.</w:t>
      </w:r>
    </w:p>
    <w:p>
      <w:pPr>
        <w:spacing w:after="0" w:line="200" w:lineRule="exact"/>
        <w:rPr>
          <w:sz w:val="20"/>
          <w:szCs w:val="20"/>
          <w:color w:val="auto"/>
        </w:rPr>
      </w:pPr>
    </w:p>
    <w:p>
      <w:pPr>
        <w:spacing w:after="0" w:line="2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50165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CONSOLIDATED INTERIM STATEMENTS OF COMPREHENSIVE INCOME</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40" w:type="dxa"/>
            <w:vAlign w:val="bottom"/>
            <w:gridSpan w:val="3"/>
          </w:tcPr>
          <w:p>
            <w:pPr>
              <w:jc w:val="right"/>
              <w:ind w:right="454"/>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980" w:type="dxa"/>
            <w:vAlign w:val="bottom"/>
          </w:tcPr>
          <w:p>
            <w:pPr>
              <w:spacing w:after="0"/>
              <w:rPr>
                <w:sz w:val="12"/>
                <w:szCs w:val="12"/>
                <w:color w:val="auto"/>
              </w:rPr>
            </w:pPr>
          </w:p>
        </w:tc>
      </w:tr>
      <w:tr>
        <w:trPr>
          <w:trHeight w:val="159"/>
        </w:trPr>
        <w:tc>
          <w:tcPr>
            <w:tcW w:w="49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614"/>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980" w:type="dxa"/>
            <w:vAlign w:val="bottom"/>
            <w:tcBorders>
              <w:bottom w:val="single" w:sz="8" w:color="auto"/>
            </w:tcBorders>
          </w:tcPr>
          <w:p>
            <w:pPr>
              <w:spacing w:after="0"/>
              <w:rPr>
                <w:sz w:val="13"/>
                <w:szCs w:val="13"/>
                <w:color w:val="auto"/>
              </w:rPr>
            </w:pPr>
          </w:p>
        </w:tc>
      </w:tr>
      <w:tr>
        <w:trPr>
          <w:trHeight w:val="161"/>
        </w:trPr>
        <w:tc>
          <w:tcPr>
            <w:tcW w:w="4900" w:type="dxa"/>
            <w:vAlign w:val="bottom"/>
          </w:tcPr>
          <w:p>
            <w:pPr>
              <w:spacing w:after="0"/>
              <w:rPr>
                <w:sz w:val="14"/>
                <w:szCs w:val="14"/>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2023</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4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2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1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r>
      <w:tr>
        <w:trPr>
          <w:trHeight w:val="197"/>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8"/>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pension plan adjustment, net of tax</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fair value of effective cash flow hedges, net of tax (Note 16)</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97"/>
              </w:rPr>
              <w:t>(2)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8"/>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fair value of net investment hedges, net of tax (Note 16)</w:t>
            </w: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7"/>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other comprehensive (loss) income, net of tax</w:t>
            </w: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1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 income</w:t>
            </w: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The Notes to the Consolidated Interim Financial Statements are an integral part of this statement.</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4" w:name="page5"/>
    <w:bookmarkEnd w:id="4"/>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CONSOLIDATED INTERIM BALANCE SHEETS</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9"/>
        </w:trPr>
        <w:tc>
          <w:tcPr>
            <w:tcW w:w="8020" w:type="dxa"/>
            <w:vAlign w:val="bottom"/>
          </w:tcPr>
          <w:p>
            <w:pPr>
              <w:spacing w:after="0"/>
              <w:rPr>
                <w:sz w:val="13"/>
                <w:szCs w:val="13"/>
                <w:color w:val="auto"/>
              </w:rPr>
            </w:pPr>
          </w:p>
        </w:tc>
        <w:tc>
          <w:tcPr>
            <w:tcW w:w="11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61"/>
        </w:trPr>
        <w:tc>
          <w:tcPr>
            <w:tcW w:w="8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14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197"/>
        </w:trPr>
        <w:tc>
          <w:tcPr>
            <w:tcW w:w="8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1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notes and other receivables – net (Note 6)</w:t>
            </w: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0" w:type="dxa"/>
            <w:vAlign w:val="bottom"/>
          </w:tcPr>
          <w:p>
            <w:pPr>
              <w:spacing w:after="0"/>
              <w:rPr>
                <w:sz w:val="1"/>
                <w:szCs w:val="1"/>
                <w:color w:val="auto"/>
              </w:rPr>
            </w:pPr>
          </w:p>
        </w:tc>
      </w:tr>
      <w:tr>
        <w:trPr>
          <w:trHeight w:val="197"/>
        </w:trPr>
        <w:tc>
          <w:tcPr>
            <w:tcW w:w="8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Inventories – net (Note 8)</w:t>
            </w:r>
          </w:p>
        </w:tc>
        <w:tc>
          <w:tcPr>
            <w:tcW w:w="1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assets</w:t>
            </w:r>
          </w:p>
        </w:tc>
        <w:tc>
          <w:tcPr>
            <w:tcW w:w="1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87"/>
        </w:trPr>
        <w:tc>
          <w:tcPr>
            <w:tcW w:w="8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current assets</w:t>
            </w:r>
          </w:p>
        </w:tc>
        <w:tc>
          <w:tcPr>
            <w:tcW w:w="1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and long-term receivables</w:t>
            </w: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 net</w:t>
            </w:r>
          </w:p>
        </w:tc>
        <w:tc>
          <w:tcPr>
            <w:tcW w:w="1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1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 (Note 9)</w:t>
            </w:r>
          </w:p>
        </w:tc>
        <w:tc>
          <w:tcPr>
            <w:tcW w:w="1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187"/>
        </w:trPr>
        <w:tc>
          <w:tcPr>
            <w:tcW w:w="8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assets</w:t>
            </w:r>
          </w:p>
        </w:tc>
        <w:tc>
          <w:tcPr>
            <w:tcW w:w="114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2,155</w:t>
            </w:r>
          </w:p>
        </w:tc>
        <w:tc>
          <w:tcPr>
            <w:tcW w:w="80" w:type="dxa"/>
            <w:vAlign w:val="bottom"/>
          </w:tcPr>
          <w:p>
            <w:pPr>
              <w:spacing w:after="0"/>
              <w:rPr>
                <w:sz w:val="16"/>
                <w:szCs w:val="16"/>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2,527</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114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0" w:type="dxa"/>
            <w:vAlign w:val="bottom"/>
          </w:tcPr>
          <w:p>
            <w:pPr>
              <w:spacing w:after="0"/>
              <w:rPr>
                <w:sz w:val="1"/>
                <w:szCs w:val="1"/>
                <w:color w:val="auto"/>
              </w:rPr>
            </w:pPr>
          </w:p>
        </w:tc>
      </w:tr>
      <w:tr>
        <w:trPr>
          <w:trHeight w:val="197"/>
        </w:trPr>
        <w:tc>
          <w:tcPr>
            <w:tcW w:w="8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maturities of long-term debt (Note 14)</w:t>
            </w:r>
          </w:p>
        </w:tc>
        <w:tc>
          <w:tcPr>
            <w:tcW w:w="1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liabilities (Note 11)</w:t>
            </w:r>
          </w:p>
        </w:tc>
        <w:tc>
          <w:tcPr>
            <w:tcW w:w="1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87"/>
        </w:trPr>
        <w:tc>
          <w:tcPr>
            <w:tcW w:w="8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(Note 14)</w:t>
            </w: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1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 (Note 12)</w:t>
            </w:r>
          </w:p>
        </w:tc>
        <w:tc>
          <w:tcPr>
            <w:tcW w:w="1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Total liabilities</w:t>
            </w:r>
          </w:p>
        </w:tc>
        <w:tc>
          <w:tcPr>
            <w:tcW w:w="114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2,933</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3,262</w:t>
            </w:r>
          </w:p>
        </w:tc>
        <w:tc>
          <w:tcPr>
            <w:tcW w:w="0" w:type="dxa"/>
            <w:vAlign w:val="bottom"/>
          </w:tcPr>
          <w:p>
            <w:pPr>
              <w:spacing w:after="0"/>
              <w:rPr>
                <w:sz w:val="1"/>
                <w:szCs w:val="1"/>
                <w:color w:val="auto"/>
              </w:rPr>
            </w:pPr>
          </w:p>
        </w:tc>
      </w:tr>
      <w:tr>
        <w:trPr>
          <w:trHeight w:val="19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COMMITMENTS AND CONTINGENCIES </w:t>
            </w:r>
            <w:r>
              <w:rPr>
                <w:rFonts w:ascii="Times New Roman" w:cs="Times New Roman" w:eastAsia="Times New Roman" w:hAnsi="Times New Roman"/>
                <w:sz w:val="14"/>
                <w:szCs w:val="14"/>
                <w:color w:val="auto"/>
              </w:rPr>
              <w:t>(Note 19)</w:t>
            </w:r>
          </w:p>
        </w:tc>
        <w:tc>
          <w:tcPr>
            <w:tcW w:w="1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par value $0.001; 1,000,000,000 and 1,000,000,000 shares authorized, 240,937,724 and 238,543,624 issued and</w:t>
            </w:r>
          </w:p>
        </w:tc>
        <w:tc>
          <w:tcPr>
            <w:tcW w:w="114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214,694,934 and 238,249,056 outstanding as of September 30, 2024 and December 31, 2023, respectively</w:t>
            </w:r>
          </w:p>
        </w:tc>
        <w:tc>
          <w:tcPr>
            <w:tcW w:w="114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deficit</w:t>
            </w: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(1,740)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w:t>
            </w: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 (Note 17)</w:t>
            </w:r>
          </w:p>
        </w:tc>
        <w:tc>
          <w:tcPr>
            <w:tcW w:w="1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at cost; 26,242,790 and 0 shares as of September 30, 2024 and December 31, 2023, respectively (Note 15)</w:t>
            </w:r>
          </w:p>
        </w:tc>
        <w:tc>
          <w:tcPr>
            <w:tcW w:w="1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deficit</w:t>
            </w:r>
          </w:p>
        </w:tc>
        <w:tc>
          <w:tcPr>
            <w:tcW w:w="1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deficit</w:t>
            </w:r>
          </w:p>
        </w:tc>
        <w:tc>
          <w:tcPr>
            <w:tcW w:w="114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The Notes to the Consolidated Interim Financial Statements are an integral part of this statement.</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5" w:name="page6"/>
    <w:bookmarkEnd w:id="5"/>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CONSOLIDATED INTERIM STATEMENTS OF CASH FLOWS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2560" w:type="dxa"/>
            <w:vAlign w:val="bottom"/>
            <w:tcBorders>
              <w:bottom w:val="single" w:sz="8" w:color="auto"/>
            </w:tcBorders>
            <w:gridSpan w:val="4"/>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240" w:type="dxa"/>
            <w:vAlign w:val="bottom"/>
            <w:tcBorders>
              <w:bottom w:val="single" w:sz="8" w:color="auto"/>
            </w:tcBorders>
          </w:tcPr>
          <w:p>
            <w:pPr>
              <w:spacing w:after="0"/>
              <w:rPr>
                <w:sz w:val="13"/>
                <w:szCs w:val="13"/>
                <w:color w:val="auto"/>
              </w:rPr>
            </w:pPr>
          </w:p>
        </w:tc>
      </w:tr>
      <w:tr>
        <w:trPr>
          <w:trHeight w:val="161"/>
        </w:trPr>
        <w:tc>
          <w:tcPr>
            <w:tcW w:w="8240" w:type="dxa"/>
            <w:vAlign w:val="bottom"/>
          </w:tcPr>
          <w:p>
            <w:pPr>
              <w:spacing w:after="0"/>
              <w:rPr>
                <w:sz w:val="14"/>
                <w:szCs w:val="14"/>
                <w:color w:val="auto"/>
              </w:rPr>
            </w:pPr>
          </w:p>
        </w:tc>
        <w:tc>
          <w:tcPr>
            <w:tcW w:w="9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2023</w:t>
            </w:r>
          </w:p>
        </w:tc>
        <w:tc>
          <w:tcPr>
            <w:tcW w:w="240" w:type="dxa"/>
            <w:vAlign w:val="bottom"/>
            <w:tcBorders>
              <w:bottom w:val="single" w:sz="8" w:color="auto"/>
            </w:tcBorders>
          </w:tcPr>
          <w:p>
            <w:pPr>
              <w:spacing w:after="0"/>
              <w:rPr>
                <w:sz w:val="14"/>
                <w:szCs w:val="14"/>
                <w:color w:val="auto"/>
              </w:rPr>
            </w:pPr>
          </w:p>
        </w:tc>
      </w:tr>
      <w:tr>
        <w:trPr>
          <w:trHeight w:val="161"/>
        </w:trPr>
        <w:tc>
          <w:tcPr>
            <w:tcW w:w="8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20" w:type="dxa"/>
            <w:vAlign w:val="bottom"/>
            <w:gridSpan w:val="3"/>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40" w:type="dxa"/>
            <w:vAlign w:val="bottom"/>
          </w:tcPr>
          <w:p>
            <w:pPr>
              <w:spacing w:after="0"/>
              <w:rPr>
                <w:sz w:val="13"/>
                <w:szCs w:val="13"/>
                <w:color w:val="auto"/>
              </w:rPr>
            </w:pPr>
          </w:p>
        </w:tc>
      </w:tr>
      <w:tr>
        <w:trPr>
          <w:trHeight w:val="192"/>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9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r>
      <w:tr>
        <w:trPr>
          <w:trHeight w:val="19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7"/>
                <w:szCs w:val="17"/>
                <w:color w:val="auto"/>
              </w:rPr>
            </w:pPr>
          </w:p>
        </w:tc>
        <w:tc>
          <w:tcPr>
            <w:tcW w:w="1000" w:type="dxa"/>
            <w:vAlign w:val="bottom"/>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7"/>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197"/>
        </w:trPr>
        <w:tc>
          <w:tcPr>
            <w:tcW w:w="8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Deferred income taxes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8"/>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Depreciation</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97"/>
        </w:trPr>
        <w:tc>
          <w:tcPr>
            <w:tcW w:w="8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Amortization of deferred issuance costs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8"/>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Loss on remeasurement of forward purchase contract</w:t>
            </w: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97"/>
        </w:trPr>
        <w:tc>
          <w:tcPr>
            <w:tcW w:w="8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Gain on sale of equity investment</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8"/>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Foreign exchange gain</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97"/>
        </w:trPr>
        <w:tc>
          <w:tcPr>
            <w:tcW w:w="8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 compensation expense</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8"/>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Pension expense</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97"/>
        </w:trPr>
        <w:tc>
          <w:tcPr>
            <w:tcW w:w="8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Unrealized loss on derivatives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8"/>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85"/>
        </w:trPr>
        <w:tc>
          <w:tcPr>
            <w:tcW w:w="8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9"/>
        </w:trPr>
        <w:tc>
          <w:tcPr>
            <w:tcW w:w="8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Accounts, notes and other receivables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82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Inventories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8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assets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97"/>
        </w:trPr>
        <w:tc>
          <w:tcPr>
            <w:tcW w:w="82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8"/>
        </w:trPr>
        <w:tc>
          <w:tcPr>
            <w:tcW w:w="8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Accrued liabilities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97"/>
        </w:trPr>
        <w:tc>
          <w:tcPr>
            <w:tcW w:w="82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Other liabilities</w:t>
            </w: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r>
      <w:tr>
        <w:trPr>
          <w:trHeight w:val="19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94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5"/>
        </w:trPr>
        <w:tc>
          <w:tcPr>
            <w:tcW w:w="8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Expenditures for property, plant and equipment</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46"/>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cross-currency swap contracts</w:t>
            </w:r>
          </w:p>
        </w:tc>
        <w:tc>
          <w:tcPr>
            <w:tcW w:w="9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8"/>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sale of equity investment</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shd w:val="clear" w:color="auto" w:fill="CCEEFF"/>
          </w:tcPr>
          <w:p>
            <w:pPr>
              <w:spacing w:after="0"/>
              <w:rPr>
                <w:sz w:val="18"/>
                <w:szCs w:val="18"/>
                <w:color w:val="auto"/>
              </w:rPr>
            </w:pPr>
          </w:p>
        </w:tc>
      </w:tr>
      <w:tr>
        <w:trPr>
          <w:trHeight w:val="187"/>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Net cash provided by (used for) investing activities</w:t>
            </w:r>
          </w:p>
        </w:tc>
        <w:tc>
          <w:tcPr>
            <w:tcW w:w="94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9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issuance of long-term debt, net of debt financing costs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8"/>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Payments of long-term debt</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Repurchases of Series A Preferred Stock</w:t>
            </w:r>
          </w:p>
        </w:tc>
        <w:tc>
          <w:tcPr>
            <w:tcW w:w="94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8"/>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Payments of Additional Amounts for conversion of Series A Preferred Stock</w:t>
            </w:r>
          </w:p>
        </w:tc>
        <w:tc>
          <w:tcPr>
            <w:tcW w:w="94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Payments for preference dividends</w:t>
            </w: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Payments for debt and revolving facility financing costs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2"/>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9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r>
      <w:tr>
        <w:trPr>
          <w:trHeight w:val="193"/>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Net cash used for financing activities</w:t>
            </w:r>
          </w:p>
        </w:tc>
        <w:tc>
          <w:tcPr>
            <w:tcW w:w="94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 of foreign exchange rate changes on cash, cash equivalents and restricted cash</w:t>
            </w:r>
          </w:p>
        </w:tc>
        <w:tc>
          <w:tcPr>
            <w:tcW w:w="9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r>
      <w:tr>
        <w:trPr>
          <w:trHeight w:val="18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Net decrease in cash, cash equivalents and restricted cash</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the period</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end of the period</w:t>
            </w:r>
          </w:p>
        </w:tc>
        <w:tc>
          <w:tcPr>
            <w:tcW w:w="94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6"/>
                <w:szCs w:val="16"/>
                <w:color w:val="auto"/>
              </w:rPr>
            </w:pPr>
          </w:p>
        </w:tc>
        <w:tc>
          <w:tcPr>
            <w:tcW w:w="100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15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cash flow disclosure:</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r>
      <w:tr>
        <w:trPr>
          <w:trHeight w:val="197"/>
        </w:trPr>
        <w:tc>
          <w:tcPr>
            <w:tcW w:w="82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Income taxes paid (net of refunds)</w:t>
            </w: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7"/>
                <w:szCs w:val="17"/>
                <w:color w:val="auto"/>
              </w:rPr>
            </w:pPr>
          </w:p>
        </w:tc>
        <w:tc>
          <w:tcPr>
            <w:tcW w:w="1000" w:type="dxa"/>
            <w:vAlign w:val="bottom"/>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7"/>
                <w:szCs w:val="17"/>
                <w:color w:val="auto"/>
              </w:rPr>
            </w:pPr>
          </w:p>
        </w:tc>
      </w:tr>
      <w:tr>
        <w:trPr>
          <w:trHeight w:val="208"/>
        </w:trPr>
        <w:tc>
          <w:tcPr>
            <w:tcW w:w="8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Interest paid</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bl>
    <w:p>
      <w:pPr>
        <w:spacing w:after="0" w:line="23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The Notes to the Consolidated Interim Financial Statements are an integral part of this statement</w:t>
      </w:r>
    </w:p>
    <w:p>
      <w:pPr>
        <w:spacing w:after="0" w:line="28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178435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620" w:top="762" w:right="239" w:bottom="1440" w:gutter="0" w:footer="0" w:header="0"/>
        </w:sectPr>
      </w:pPr>
    </w:p>
    <w:bookmarkStart w:id="6" w:name="page7"/>
    <w:bookmarkEnd w:id="6"/>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CONSOLIDATED INTERIM STATEMENTS OF EQUITY (DEFICIT)</w:t>
      </w:r>
    </w:p>
    <w:p>
      <w:pPr>
        <w:spacing w:after="0" w:line="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020" w:type="dxa"/>
            <w:vAlign w:val="bottom"/>
          </w:tcPr>
          <w:p>
            <w:pPr>
              <w:spacing w:after="0"/>
              <w:rPr>
                <w:sz w:val="11"/>
                <w:szCs w:val="11"/>
                <w:color w:val="auto"/>
              </w:rPr>
            </w:pPr>
          </w:p>
        </w:tc>
        <w:tc>
          <w:tcPr>
            <w:tcW w:w="1440" w:type="dxa"/>
            <w:vAlign w:val="bottom"/>
            <w:gridSpan w:val="5"/>
          </w:tcPr>
          <w:p>
            <w:pPr>
              <w:ind w:left="480"/>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020" w:type="dxa"/>
            <w:vAlign w:val="bottom"/>
          </w:tcPr>
          <w:p>
            <w:pPr>
              <w:spacing w:after="0"/>
              <w:rPr>
                <w:sz w:val="14"/>
                <w:szCs w:val="14"/>
                <w:color w:val="auto"/>
              </w:rPr>
            </w:pPr>
          </w:p>
        </w:tc>
        <w:tc>
          <w:tcPr>
            <w:tcW w:w="1440" w:type="dxa"/>
            <w:vAlign w:val="bottom"/>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460" w:type="dxa"/>
            <w:vAlign w:val="bottom"/>
            <w:gridSpan w:val="5"/>
          </w:tcPr>
          <w:p>
            <w:pPr>
              <w:ind w:left="3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20" w:type="dxa"/>
            <w:vAlign w:val="bottom"/>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0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jc w:val="center"/>
              <w:ind w:right="220"/>
              <w:spacing w:after="0" w:line="110" w:lineRule="exact"/>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9"/>
                <w:szCs w:val="9"/>
                <w:color w:val="auto"/>
              </w:rPr>
            </w:pPr>
          </w:p>
        </w:tc>
        <w:tc>
          <w:tcPr>
            <w:tcW w:w="760" w:type="dxa"/>
            <w:vAlign w:val="bottom"/>
            <w:gridSpan w:val="2"/>
          </w:tcPr>
          <w:p>
            <w:pPr>
              <w:jc w:val="center"/>
              <w:ind w:right="240"/>
              <w:spacing w:after="0" w:line="110"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240" w:type="dxa"/>
            <w:vAlign w:val="bottom"/>
            <w:gridSpan w:val="3"/>
          </w:tcPr>
          <w:p>
            <w:pPr>
              <w:spacing w:after="0" w:line="110" w:lineRule="exact"/>
              <w:rPr>
                <w:sz w:val="20"/>
                <w:szCs w:val="20"/>
                <w:color w:val="auto"/>
              </w:rPr>
            </w:pPr>
            <w:r>
              <w:rPr>
                <w:rFonts w:ascii="Times New Roman" w:cs="Times New Roman" w:eastAsia="Times New Roman" w:hAnsi="Times New Roman"/>
                <w:sz w:val="11"/>
                <w:szCs w:val="11"/>
                <w:b w:val="1"/>
                <w:bCs w:val="1"/>
                <w:color w:val="auto"/>
              </w:rPr>
              <w:t>Comprehensive (Loss) /</w:t>
            </w:r>
          </w:p>
        </w:tc>
        <w:tc>
          <w:tcPr>
            <w:tcW w:w="180" w:type="dxa"/>
            <w:vAlign w:val="bottom"/>
          </w:tcPr>
          <w:p>
            <w:pPr>
              <w:spacing w:after="0"/>
              <w:rPr>
                <w:sz w:val="9"/>
                <w:szCs w:val="9"/>
                <w:color w:val="auto"/>
              </w:rPr>
            </w:pPr>
          </w:p>
        </w:tc>
        <w:tc>
          <w:tcPr>
            <w:tcW w:w="640" w:type="dxa"/>
            <w:vAlign w:val="bottom"/>
          </w:tcPr>
          <w:p>
            <w:pPr>
              <w:jc w:val="right"/>
              <w:ind w:right="237"/>
              <w:spacing w:after="0" w:line="110"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4"/>
        </w:trPr>
        <w:tc>
          <w:tcPr>
            <w:tcW w:w="3020" w:type="dxa"/>
            <w:vAlign w:val="bottom"/>
          </w:tcPr>
          <w:p>
            <w:pPr>
              <w:spacing w:after="0"/>
              <w:rPr>
                <w:sz w:val="14"/>
                <w:szCs w:val="14"/>
                <w:color w:val="auto"/>
              </w:rPr>
            </w:pPr>
          </w:p>
        </w:tc>
        <w:tc>
          <w:tcPr>
            <w:tcW w:w="7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7"/>
                <w:szCs w:val="7"/>
                <w:b w:val="1"/>
                <w:bCs w:val="1"/>
                <w:color w:val="auto"/>
              </w:rPr>
              <w:t>(1)</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56"/>
        </w:trPr>
        <w:tc>
          <w:tcPr>
            <w:tcW w:w="3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tcPr>
          <w:p>
            <w:pPr>
              <w:jc w:val="center"/>
              <w:ind w:left="37"/>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3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700" w:type="dxa"/>
            <w:vAlign w:val="bottom"/>
            <w:tcBorders>
              <w:bottom w:val="single" w:sz="8" w:color="CFF0FC"/>
            </w:tcBorders>
            <w:gridSpan w:val="2"/>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FF0FC"/>
            </w:tcBorders>
            <w:gridSpan w:val="2"/>
            <w:shd w:val="clear" w:color="auto" w:fill="CFF0FC"/>
          </w:tcPr>
          <w:p>
            <w:pPr>
              <w:jc w:val="center"/>
              <w:ind w:left="1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1,190</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(1,922)</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0" w:type="dxa"/>
            <w:vAlign w:val="bottom"/>
          </w:tcPr>
          <w:p>
            <w:pPr>
              <w:spacing w:after="0"/>
              <w:rPr>
                <w:sz w:val="1"/>
                <w:szCs w:val="1"/>
                <w:color w:val="auto"/>
              </w:rPr>
            </w:pPr>
          </w:p>
        </w:tc>
      </w:tr>
      <w:tr>
        <w:trPr>
          <w:trHeight w:val="20"/>
        </w:trPr>
        <w:tc>
          <w:tcPr>
            <w:tcW w:w="302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020" w:type="dxa"/>
            <w:vAlign w:val="bottom"/>
            <w:vMerge w:val="continue"/>
          </w:tcPr>
          <w:p>
            <w:pPr>
              <w:spacing w:after="0"/>
              <w:rPr>
                <w:sz w:val="11"/>
                <w:szCs w:val="11"/>
                <w:color w:val="auto"/>
              </w:rPr>
            </w:pPr>
          </w:p>
        </w:tc>
        <w:tc>
          <w:tcPr>
            <w:tcW w:w="620" w:type="dxa"/>
            <w:vAlign w:val="bottom"/>
          </w:tcPr>
          <w:p>
            <w:pPr>
              <w:ind w:left="4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left="19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 repurchases</w:t>
            </w: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0" w:type="dxa"/>
            <w:vAlign w:val="bottom"/>
          </w:tcPr>
          <w:p>
            <w:pPr>
              <w:spacing w:after="0"/>
              <w:rPr>
                <w:sz w:val="1"/>
                <w:szCs w:val="1"/>
                <w:color w:val="auto"/>
              </w:rPr>
            </w:pPr>
          </w:p>
        </w:tc>
      </w:tr>
      <w:tr>
        <w:trPr>
          <w:trHeight w:val="166"/>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Excise tax on share repurchases</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Shares issued under stock plan, net of shares withheld for</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0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employee taxes</w:t>
            </w: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6"/>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center"/>
              <w:ind w:left="1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center"/>
              <w:ind w:left="1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57"/>
        </w:trPr>
        <w:tc>
          <w:tcPr>
            <w:tcW w:w="30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Balance at March 31, 2024</w:t>
            </w:r>
          </w:p>
        </w:tc>
        <w:tc>
          <w:tcPr>
            <w:tcW w:w="6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1,198</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(1,856)</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3"/>
                <w:szCs w:val="13"/>
                <w:color w:val="auto"/>
              </w:rPr>
            </w:pPr>
          </w:p>
        </w:tc>
        <w:tc>
          <w:tcPr>
            <w:tcW w:w="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02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Net income</w:t>
            </w:r>
          </w:p>
        </w:tc>
        <w:tc>
          <w:tcPr>
            <w:tcW w:w="620" w:type="dxa"/>
            <w:vAlign w:val="bottom"/>
            <w:tcBorders>
              <w:bottom w:val="single" w:sz="8" w:color="CCEEFF"/>
            </w:tcBorders>
            <w:shd w:val="clear" w:color="auto" w:fill="CCEEFF"/>
          </w:tcPr>
          <w:p>
            <w:pPr>
              <w:ind w:left="440"/>
              <w:spacing w:after="0" w:line="14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ind w:left="380"/>
              <w:spacing w:after="0" w:line="14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ind w:left="380"/>
              <w:spacing w:after="0" w:line="14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center"/>
              <w:ind w:left="277"/>
              <w:spacing w:after="0" w:line="14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64</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64</w:t>
            </w:r>
          </w:p>
        </w:tc>
        <w:tc>
          <w:tcPr>
            <w:tcW w:w="0" w:type="dxa"/>
            <w:vAlign w:val="bottom"/>
          </w:tcPr>
          <w:p>
            <w:pPr>
              <w:spacing w:after="0"/>
              <w:rPr>
                <w:sz w:val="1"/>
                <w:szCs w:val="1"/>
                <w:color w:val="auto"/>
              </w:rPr>
            </w:pPr>
          </w:p>
        </w:tc>
      </w:tr>
      <w:tr>
        <w:trPr>
          <w:trHeight w:val="166"/>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 repurchases</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Excise tax on share repurchases</w:t>
            </w: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49"/>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Shares issued under stock plan, net of shares withheld for</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employee taxes</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center"/>
              <w:ind w:left="1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6"/>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center"/>
              <w:ind w:left="1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26"/>
        </w:trPr>
        <w:tc>
          <w:tcPr>
            <w:tcW w:w="30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02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Balance at June 30, 2024</w:t>
            </w:r>
          </w:p>
        </w:tc>
        <w:tc>
          <w:tcPr>
            <w:tcW w:w="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(1,792)</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020" w:type="dxa"/>
            <w:vAlign w:val="bottom"/>
            <w:vMerge w:val="continue"/>
          </w:tcPr>
          <w:p>
            <w:pPr>
              <w:spacing w:after="0"/>
              <w:rPr>
                <w:sz w:val="11"/>
                <w:szCs w:val="11"/>
                <w:color w:val="auto"/>
              </w:rPr>
            </w:pPr>
          </w:p>
        </w:tc>
        <w:tc>
          <w:tcPr>
            <w:tcW w:w="620" w:type="dxa"/>
            <w:vAlign w:val="bottom"/>
          </w:tcPr>
          <w:p>
            <w:pPr>
              <w:ind w:left="4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left="2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 repurchases</w:t>
            </w: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66"/>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Excise tax on share repurchases</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center"/>
              <w:ind w:left="1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Shares issued under stock plan, net of shares withheld for</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0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employee taxes</w:t>
            </w: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6"/>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center"/>
              <w:ind w:left="1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center"/>
              <w:ind w:left="1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57"/>
        </w:trPr>
        <w:tc>
          <w:tcPr>
            <w:tcW w:w="30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Balance at September 30, 2024</w:t>
            </w:r>
          </w:p>
        </w:tc>
        <w:tc>
          <w:tcPr>
            <w:tcW w:w="6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1,207</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(1,740)</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3"/>
                <w:szCs w:val="13"/>
                <w:color w:val="auto"/>
              </w:rPr>
            </w:pPr>
          </w:p>
        </w:tc>
        <w:tc>
          <w:tcPr>
            <w:tcW w:w="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(778)</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62" w:right="3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28"/>
        </w:trPr>
        <w:tc>
          <w:tcPr>
            <w:tcW w:w="3020" w:type="dxa"/>
            <w:vAlign w:val="bottom"/>
          </w:tcPr>
          <w:p>
            <w:pPr>
              <w:spacing w:after="0"/>
              <w:rPr>
                <w:sz w:val="11"/>
                <w:szCs w:val="11"/>
                <w:color w:val="auto"/>
              </w:rPr>
            </w:pPr>
          </w:p>
        </w:tc>
        <w:tc>
          <w:tcPr>
            <w:tcW w:w="1440" w:type="dxa"/>
            <w:vAlign w:val="bottom"/>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020" w:type="dxa"/>
            <w:vAlign w:val="bottom"/>
          </w:tcPr>
          <w:p>
            <w:pPr>
              <w:spacing w:after="0"/>
              <w:rPr>
                <w:sz w:val="14"/>
                <w:szCs w:val="14"/>
                <w:color w:val="auto"/>
              </w:rPr>
            </w:pPr>
          </w:p>
        </w:tc>
        <w:tc>
          <w:tcPr>
            <w:tcW w:w="1440" w:type="dxa"/>
            <w:vAlign w:val="bottom"/>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460" w:type="dxa"/>
            <w:vAlign w:val="bottom"/>
            <w:gridSpan w:val="5"/>
          </w:tcPr>
          <w:p>
            <w:pPr>
              <w:ind w:left="3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20" w:type="dxa"/>
            <w:vAlign w:val="bottom"/>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0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jc w:val="center"/>
              <w:ind w:right="220"/>
              <w:spacing w:after="0" w:line="110" w:lineRule="exact"/>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9"/>
                <w:szCs w:val="9"/>
                <w:color w:val="auto"/>
              </w:rPr>
            </w:pPr>
          </w:p>
        </w:tc>
        <w:tc>
          <w:tcPr>
            <w:tcW w:w="760" w:type="dxa"/>
            <w:vAlign w:val="bottom"/>
            <w:gridSpan w:val="2"/>
          </w:tcPr>
          <w:p>
            <w:pPr>
              <w:jc w:val="center"/>
              <w:ind w:right="240"/>
              <w:spacing w:after="0" w:line="110"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80" w:type="dxa"/>
            <w:vAlign w:val="bottom"/>
          </w:tcPr>
          <w:p>
            <w:pPr>
              <w:spacing w:after="0"/>
              <w:rPr>
                <w:sz w:val="9"/>
                <w:szCs w:val="9"/>
                <w:color w:val="auto"/>
              </w:rPr>
            </w:pPr>
          </w:p>
        </w:tc>
        <w:tc>
          <w:tcPr>
            <w:tcW w:w="1160" w:type="dxa"/>
            <w:vAlign w:val="bottom"/>
            <w:gridSpan w:val="2"/>
          </w:tcPr>
          <w:p>
            <w:pPr>
              <w:jc w:val="center"/>
              <w:ind w:right="200"/>
              <w:spacing w:after="0" w:line="110"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80" w:type="dxa"/>
            <w:vAlign w:val="bottom"/>
          </w:tcPr>
          <w:p>
            <w:pPr>
              <w:spacing w:after="0"/>
              <w:rPr>
                <w:sz w:val="9"/>
                <w:szCs w:val="9"/>
                <w:color w:val="auto"/>
              </w:rPr>
            </w:pPr>
          </w:p>
        </w:tc>
        <w:tc>
          <w:tcPr>
            <w:tcW w:w="640" w:type="dxa"/>
            <w:vAlign w:val="bottom"/>
          </w:tcPr>
          <w:p>
            <w:pPr>
              <w:jc w:val="right"/>
              <w:ind w:right="237"/>
              <w:spacing w:after="0" w:line="110"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4"/>
        </w:trPr>
        <w:tc>
          <w:tcPr>
            <w:tcW w:w="3020" w:type="dxa"/>
            <w:vAlign w:val="bottom"/>
          </w:tcPr>
          <w:p>
            <w:pPr>
              <w:spacing w:after="0"/>
              <w:rPr>
                <w:sz w:val="14"/>
                <w:szCs w:val="14"/>
                <w:color w:val="auto"/>
              </w:rPr>
            </w:pPr>
          </w:p>
        </w:tc>
        <w:tc>
          <w:tcPr>
            <w:tcW w:w="7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7"/>
                <w:szCs w:val="7"/>
                <w:b w:val="1"/>
                <w:bCs w:val="1"/>
                <w:color w:val="auto"/>
              </w:rPr>
              <w:t>(1)</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66"/>
        </w:trPr>
        <w:tc>
          <w:tcPr>
            <w:tcW w:w="3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left="37"/>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3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December 31, 2022</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FF0FC"/>
            </w:tcBorders>
            <w:gridSpan w:val="2"/>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FF0FC"/>
            </w:tcBorders>
            <w:gridSpan w:val="2"/>
            <w:shd w:val="clear" w:color="auto" w:fill="CFF0FC"/>
          </w:tcPr>
          <w:p>
            <w:pPr>
              <w:jc w:val="center"/>
              <w:ind w:left="1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1,333</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(1,485)</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CFF0FC"/>
            </w:tcBorders>
            <w:shd w:val="clear" w:color="auto" w:fill="CFF0FC"/>
          </w:tcPr>
          <w:p>
            <w:pPr>
              <w:ind w:left="900"/>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0" w:type="dxa"/>
            <w:vAlign w:val="bottom"/>
          </w:tcPr>
          <w:p>
            <w:pPr>
              <w:spacing w:after="0"/>
              <w:rPr>
                <w:sz w:val="1"/>
                <w:szCs w:val="1"/>
                <w:color w:val="auto"/>
              </w:rPr>
            </w:pPr>
          </w:p>
        </w:tc>
      </w:tr>
      <w:tr>
        <w:trPr>
          <w:trHeight w:val="20"/>
        </w:trPr>
        <w:tc>
          <w:tcPr>
            <w:tcW w:w="302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020" w:type="dxa"/>
            <w:vAlign w:val="bottom"/>
            <w:vMerge w:val="continue"/>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0" w:type="dxa"/>
            <w:vAlign w:val="bottom"/>
          </w:tcPr>
          <w:p>
            <w:pPr>
              <w:ind w:left="4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left="19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ind w:left="9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center"/>
              <w:ind w:left="1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w w:val="92"/>
              </w:rPr>
              <w:t>(6)</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66"/>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center"/>
              <w:ind w:left="1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center"/>
              <w:ind w:left="1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57"/>
        </w:trPr>
        <w:tc>
          <w:tcPr>
            <w:tcW w:w="30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Balance at March 31, 2023</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gridSpan w:val="2"/>
          </w:tcPr>
          <w:p>
            <w:pPr>
              <w:jc w:val="center"/>
              <w:ind w:left="1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1,336</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(1,446)</w:t>
            </w:r>
          </w:p>
        </w:tc>
        <w:tc>
          <w:tcPr>
            <w:tcW w:w="1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3"/>
                <w:szCs w:val="13"/>
                <w:color w:val="auto"/>
              </w:rPr>
            </w:pPr>
          </w:p>
        </w:tc>
        <w:tc>
          <w:tcPr>
            <w:tcW w:w="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02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Net income</w:t>
            </w:r>
          </w:p>
        </w:tc>
        <w:tc>
          <w:tcPr>
            <w:tcW w:w="62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ind w:left="380"/>
              <w:spacing w:after="0" w:line="14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ind w:left="380"/>
              <w:spacing w:after="0" w:line="14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ind w:left="420"/>
              <w:spacing w:after="0" w:line="14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center"/>
              <w:ind w:left="277"/>
              <w:spacing w:after="0" w:line="14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71</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ind w:left="900"/>
              <w:spacing w:after="0" w:line="14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166"/>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Repurchases of Series A Preferred Stock</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center"/>
              <w:ind w:left="1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center"/>
              <w:ind w:left="1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66"/>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Excise tax on share repurchases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center"/>
              <w:ind w:left="1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 , net of tax</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center"/>
              <w:ind w:left="1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w w:val="92"/>
              </w:rPr>
              <w:t>(3)</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6"/>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for preference dividends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center"/>
              <w:ind w:left="1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Conversion of Series A Preferred Stock</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center"/>
              <w:ind w:left="1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66"/>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center"/>
              <w:ind w:left="1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26"/>
        </w:trPr>
        <w:tc>
          <w:tcPr>
            <w:tcW w:w="30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02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Balance at June 30, 2023</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CEEFF"/>
            </w:tcBorders>
            <w:shd w:val="clear" w:color="auto" w:fill="CCEEFF"/>
          </w:tcPr>
          <w:p>
            <w:pPr>
              <w:jc w:val="center"/>
              <w:ind w:left="2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(1,834)</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020" w:type="dxa"/>
            <w:vAlign w:val="bottom"/>
            <w:vMerge w:val="continue"/>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0" w:type="dxa"/>
            <w:vAlign w:val="bottom"/>
          </w:tcPr>
          <w:p>
            <w:pPr>
              <w:ind w:left="4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left="2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ind w:left="9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center"/>
              <w:ind w:left="1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0" w:type="dxa"/>
            <w:vAlign w:val="bottom"/>
          </w:tcPr>
          <w:p>
            <w:pPr>
              <w:spacing w:after="0"/>
              <w:rPr>
                <w:sz w:val="1"/>
                <w:szCs w:val="1"/>
                <w:color w:val="auto"/>
              </w:rPr>
            </w:pPr>
          </w:p>
        </w:tc>
      </w:tr>
      <w:tr>
        <w:trPr>
          <w:trHeight w:val="166"/>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Excise tax on share repurchases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center"/>
              <w:ind w:left="1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center"/>
              <w:ind w:left="1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66"/>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center"/>
              <w:ind w:left="1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26"/>
        </w:trPr>
        <w:tc>
          <w:tcPr>
            <w:tcW w:w="3020" w:type="dxa"/>
            <w:vAlign w:val="bottom"/>
            <w:tcBorders>
              <w:bottom w:val="single" w:sz="8" w:color="CFF0F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020" w:type="dxa"/>
            <w:vAlign w:val="bottom"/>
            <w:tcBorders>
              <w:bottom w:val="single" w:sz="8" w:color="CFF0FC"/>
            </w:tcBorders>
            <w:shd w:val="clear" w:color="auto" w:fill="CFF0FC"/>
          </w:tcPr>
          <w:p>
            <w:pPr>
              <w:ind w:left="20"/>
              <w:spacing w:after="0" w:line="146" w:lineRule="exact"/>
              <w:rPr>
                <w:sz w:val="20"/>
                <w:szCs w:val="20"/>
                <w:color w:val="auto"/>
              </w:rPr>
            </w:pPr>
            <w:r>
              <w:rPr>
                <w:rFonts w:ascii="Times New Roman" w:cs="Times New Roman" w:eastAsia="Times New Roman" w:hAnsi="Times New Roman"/>
                <w:sz w:val="13"/>
                <w:szCs w:val="13"/>
                <w:color w:val="auto"/>
              </w:rPr>
              <w:t>Balance at September 30, 2023</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FF0FC"/>
            </w:tcBorders>
            <w:shd w:val="clear" w:color="auto" w:fill="CFF0FC"/>
          </w:tcPr>
          <w:p>
            <w:pPr>
              <w:jc w:val="center"/>
              <w:ind w:left="2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1,188</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(1,939)</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CFF0FC"/>
            </w:tcBorders>
            <w:shd w:val="clear" w:color="auto" w:fill="CFF0FC"/>
          </w:tcPr>
          <w:p>
            <w:pPr>
              <w:ind w:left="900"/>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(692)</w:t>
            </w:r>
          </w:p>
        </w:tc>
        <w:tc>
          <w:tcPr>
            <w:tcW w:w="0" w:type="dxa"/>
            <w:vAlign w:val="bottom"/>
          </w:tcPr>
          <w:p>
            <w:pPr>
              <w:spacing w:after="0"/>
              <w:rPr>
                <w:sz w:val="1"/>
                <w:szCs w:val="1"/>
                <w:color w:val="auto"/>
              </w:rPr>
            </w:pPr>
          </w:p>
        </w:tc>
      </w:tr>
      <w:tr>
        <w:trPr>
          <w:trHeight w:val="20"/>
        </w:trPr>
        <w:tc>
          <w:tcPr>
            <w:tcW w:w="30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1) Common shares issued less treasury shares equals common shares outstanding</w:t>
      </w:r>
    </w:p>
    <w:p>
      <w:pPr>
        <w:spacing w:after="0" w:line="15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231F20"/>
        </w:rPr>
        <w:t>The Notes to the Consolidated Interim Financial Statements are an integral part of this statement.</w:t>
      </w:r>
    </w:p>
    <w:p>
      <w:pPr>
        <w:spacing w:after="0" w:line="2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87" w:right="379" w:bottom="1440" w:gutter="0" w:footer="0" w:header="0"/>
        </w:sectPr>
      </w:pPr>
    </w:p>
    <w:bookmarkStart w:id="8" w:name="page9"/>
    <w:bookmarkEnd w:id="8"/>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NOTES TO CONSOLIDATED INTERIM FINANCIAL STATEMENTS</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Background and Basis of Presentation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Background</w:t>
      </w:r>
    </w:p>
    <w:p>
      <w:pPr>
        <w:spacing w:after="0" w:line="15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Garrett Motion Inc. (the “Company” or “Garrett”) is a cutting-edge technology leader delivering differentiated solutions for emission reduction and energy efficiency. We design, manufacture, and sell highly engineered turbocharging, air and fluid compression, and high-speed electric motor technologies to original equipment manufacturers (“OEMs”) and distributors within the mobility and industrial space. We have significant expertise in delivering products at scale for internal combustion engines using gasoline, diesel, natural gas, and hydrogen, as well as for zero emission technologies using hydrogen fuel cell systems, both for mobility and industrial use. As our customers continue to progress on electrification, we are applying our technological pillars to develop highly engineered E-Powertrain and E-Cooling compressor products to support their ambition. These products are key enablers for fuel economy, energy efficiency, thermal management, and compliance with emissions standards and overall greenhouse gas and other emission reduction targets.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52" w:lineRule="exact"/>
        <w:rPr>
          <w:sz w:val="20"/>
          <w:szCs w:val="20"/>
          <w:color w:val="auto"/>
        </w:rPr>
      </w:pPr>
    </w:p>
    <w:p>
      <w:pPr>
        <w:jc w:val="both"/>
        <w:ind w:firstLine="307"/>
        <w:spacing w:after="0" w:line="260" w:lineRule="auto"/>
        <w:rPr>
          <w:sz w:val="20"/>
          <w:szCs w:val="20"/>
          <w:color w:val="auto"/>
        </w:rPr>
      </w:pPr>
      <w:r>
        <w:rPr>
          <w:rFonts w:ascii="Times New Roman" w:cs="Times New Roman" w:eastAsia="Times New Roman" w:hAnsi="Times New Roman"/>
          <w:sz w:val="14"/>
          <w:szCs w:val="14"/>
          <w:color w:val="auto"/>
        </w:rPr>
        <w:t>The accompanying unaudited Consolidated Interim Financial Statements have been prepared in accordance with the rules and regulations of the Securities and Exchange Commission applicable to interim financial statements. While these statements reflect all normal recurring adjustments that are, in the opinion of management, necessary for fair presentation of the results of the interim period, they do not include all of the information and footnotes required by United States generally accepted accounting principles (“GAAP”) for complete financial statements. The unaudited Consolidated Interim Financial Statements should therefore be read in conjunction with the Consolidated Financial Statements and accompanying notes for the year ended December 31, 2023 included in our Annual Report on Form 10-K, as filed with the Securities and Exchange Commission on February 15, 2024 (our “2023 Form 10-K”). The results of operations for the three and nine months ended September 30, 2024 and cash flows for the nine months ended September 30, 2024 should not necessarily be taken as indicative of the entire year. All amounts presented are in millions, except per share amounts.</w:t>
      </w:r>
    </w:p>
    <w:p>
      <w:pPr>
        <w:spacing w:after="0" w:line="285"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report our quarterly financial information using a calendar convention: the first, second, and third quarters are consistently reported as ending on March 31, June 30 and September 30. It has been our practice to establish actual quarterly closing dates using a predetermined fiscal calendar, which requires our businesses to close their books on a Saturday to minimize the potentially disruptive effects of quarterly closing on our business processes. For differences in actual closing dates that are material to year-over-year comparisons of quarterly or year-to-date results, such differences have been adjusted for the three months ended September 30, 2024. Our actual closing date for the three months ended September 30, 2024 was September 28, 2024. There was no difference in actual closing date for the three months ended September 30, 2023.</w:t>
      </w:r>
    </w:p>
    <w:p>
      <w:pPr>
        <w:spacing w:after="0" w:line="120" w:lineRule="exact"/>
        <w:rPr>
          <w:sz w:val="20"/>
          <w:szCs w:val="20"/>
          <w:color w:val="auto"/>
        </w:rPr>
      </w:pPr>
    </w:p>
    <w:p>
      <w:pPr>
        <w:jc w:val="both"/>
        <w:ind w:firstLine="307"/>
        <w:spacing w:after="0" w:line="266" w:lineRule="auto"/>
        <w:rPr>
          <w:sz w:val="20"/>
          <w:szCs w:val="20"/>
          <w:color w:val="auto"/>
        </w:rPr>
      </w:pPr>
      <w:r>
        <w:rPr>
          <w:rFonts w:ascii="Times New Roman" w:cs="Times New Roman" w:eastAsia="Times New Roman" w:hAnsi="Times New Roman"/>
          <w:sz w:val="14"/>
          <w:szCs w:val="14"/>
          <w:color w:val="auto"/>
        </w:rPr>
        <w:t xml:space="preserve">We evaluate segment reporting in accordance with ASC 280,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We concluded that Garrett operates in a single operating segment and a single reportable segment based on the operating results available and evaluated regularly by the chief operating decision maker (“CODM”), which is our Chief Executive Officer, to make decisions about resource allocation and performance assessment. The CODM makes operational performance assessments and resource allocation decisions on a consolidated basis, inclusive of all of the Company’s products across channels and geographies.</w:t>
      </w:r>
    </w:p>
    <w:p>
      <w:pPr>
        <w:spacing w:after="0" w:line="10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preparation of the financial statements in conformity with GAAP requires management to make estimates that affect the reported amounts of assets and liabilities and disclosure of contingent assets and liabilities at the date of the financial statements and the reported amounts of revenues and expenses during the reporting period. Management bases these estimates on assumptions that it believes to be reasonable under the circumstances. Actual results could differ from the original estimates, requiring adjustments to these balances in future periods.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Summary of Significant Accounting Policies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accounting policies of the Company are set forth in Note 3 to the Consolidated Financial Statements for the year ended December 31, 2023 included in our 2023 Form 10-K.</w:t>
      </w:r>
    </w:p>
    <w:p>
      <w:pPr>
        <w:spacing w:after="0" w:line="28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Standards Issued But Not Yet Adopted</w:t>
      </w:r>
    </w:p>
    <w:p>
      <w:pPr>
        <w:spacing w:after="0" w:line="160" w:lineRule="exact"/>
        <w:rPr>
          <w:sz w:val="20"/>
          <w:szCs w:val="20"/>
          <w:color w:val="auto"/>
        </w:rPr>
      </w:pPr>
    </w:p>
    <w:p>
      <w:pPr>
        <w:jc w:val="both"/>
        <w:ind w:firstLine="307"/>
        <w:spacing w:after="0" w:line="266" w:lineRule="auto"/>
        <w:rPr>
          <w:sz w:val="20"/>
          <w:szCs w:val="20"/>
          <w:color w:val="auto"/>
        </w:rPr>
      </w:pPr>
      <w:r>
        <w:rPr>
          <w:rFonts w:ascii="Times New Roman" w:cs="Times New Roman" w:eastAsia="Times New Roman" w:hAnsi="Times New Roman"/>
          <w:sz w:val="14"/>
          <w:szCs w:val="14"/>
          <w:color w:val="231F20"/>
        </w:rPr>
        <w:t>In November 2023, the Financial Accounting Standards Board (“FASB</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231F20"/>
        </w:rPr>
        <w:t>) issued accounting standards update (</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231F20"/>
        </w:rPr>
        <w:t xml:space="preserve">ASU") 2023-07, </w:t>
      </w:r>
      <w:r>
        <w:rPr>
          <w:rFonts w:ascii="Times New Roman" w:cs="Times New Roman" w:eastAsia="Times New Roman" w:hAnsi="Times New Roman"/>
          <w:sz w:val="14"/>
          <w:szCs w:val="14"/>
          <w:i w:val="1"/>
          <w:iCs w:val="1"/>
          <w:color w:val="231F20"/>
        </w:rPr>
        <w:t>Segment Reporting (Topic 280)</w:t>
      </w:r>
      <w:r>
        <w:rPr>
          <w:rFonts w:ascii="Times New Roman" w:cs="Times New Roman" w:eastAsia="Times New Roman" w:hAnsi="Times New Roman"/>
          <w:sz w:val="14"/>
          <w:szCs w:val="14"/>
          <w:color w:val="231F20"/>
        </w:rPr>
        <w:t>: Improvements to Reportable Segment Disclosures. The amendments in this update require companies with a single reportable segment to provide all existing segment disclosures, as well as requires incremental segment information to be disclosed. The guidance is effective for fiscal years beginning after December 15, 2023 on a retrospective basis, and interim periods within fiscal years beginning after December 15, 2024. The Company is currently evaluating the guidance to determine the impact on its disclosures.</w:t>
      </w:r>
    </w:p>
    <w:p>
      <w:pPr>
        <w:spacing w:after="0" w:line="106" w:lineRule="exact"/>
        <w:rPr>
          <w:sz w:val="20"/>
          <w:szCs w:val="20"/>
          <w:color w:val="auto"/>
        </w:rPr>
      </w:pPr>
    </w:p>
    <w:p>
      <w:pPr>
        <w:jc w:val="both"/>
        <w:ind w:firstLine="307"/>
        <w:spacing w:after="0" w:line="273" w:lineRule="auto"/>
        <w:rPr>
          <w:sz w:val="20"/>
          <w:szCs w:val="20"/>
          <w:color w:val="auto"/>
        </w:rPr>
      </w:pPr>
      <w:r>
        <w:rPr>
          <w:rFonts w:ascii="Times New Roman" w:cs="Times New Roman" w:eastAsia="Times New Roman" w:hAnsi="Times New Roman"/>
          <w:sz w:val="14"/>
          <w:szCs w:val="14"/>
          <w:color w:val="231F20"/>
        </w:rPr>
        <w:t xml:space="preserve">In December 2023, the FASB issued ASU 2023-09, </w:t>
      </w:r>
      <w:r>
        <w:rPr>
          <w:rFonts w:ascii="Times New Roman" w:cs="Times New Roman" w:eastAsia="Times New Roman" w:hAnsi="Times New Roman"/>
          <w:sz w:val="14"/>
          <w:szCs w:val="14"/>
          <w:i w:val="1"/>
          <w:iCs w:val="1"/>
          <w:color w:val="231F20"/>
        </w:rPr>
        <w:t>Income Taxes (Topic 740): Improvements to Income Tax Disclosures</w:t>
      </w:r>
      <w:r>
        <w:rPr>
          <w:rFonts w:ascii="Times New Roman" w:cs="Times New Roman" w:eastAsia="Times New Roman" w:hAnsi="Times New Roman"/>
          <w:sz w:val="14"/>
          <w:szCs w:val="14"/>
          <w:color w:val="231F20"/>
        </w:rPr>
        <w:t>. The amendments in this update increase the transparency around income tax information through improvements to disclosures primarily related to the rate reconciliation and income taxes paid information. The guidance is effective for fiscal years beginning after December 15, 2024 on a prospective basis. Early adoption is permitted. The Company is currently evaluating the guidance to determine the impact on its disclosures.</w:t>
      </w:r>
    </w:p>
    <w:p>
      <w:pPr>
        <w:spacing w:after="0" w:line="1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There are no other recently issued, but not yet adopted, accounting pronouncements that are expected to have a material impact on the Company's Consolidated Interim Financial Statements and related disclosures.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Revenue Recognition and Contracts with Customers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Disaggregated Revenue</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Net sales by region (determined based on country of shipment) and channel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44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Three Months Ended September 30, 2024</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Three Months Ended September 30, 2023</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61"/>
        </w:trPr>
        <w:tc>
          <w:tcPr>
            <w:tcW w:w="144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OEM</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Aftermarket</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OEM</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Aftermarket</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1"/>
        </w:trPr>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12"/>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0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r>
      <w:tr>
        <w:trPr>
          <w:trHeight w:val="197"/>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r>
      <w:tr>
        <w:trPr>
          <w:trHeight w:val="208"/>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r>
      <w:tr>
        <w:trPr>
          <w:trHeight w:val="197"/>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18"/>
        </w:trPr>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321"/>
        </w:trPr>
        <w:tc>
          <w:tcPr>
            <w:tcW w:w="14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Nine Months Ended September 30, 2024</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Nine Months Ended September 30, 2023</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61"/>
        </w:trPr>
        <w:tc>
          <w:tcPr>
            <w:tcW w:w="144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OEM</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Aftermarket</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OEM</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Aftermarket</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1"/>
        </w:trPr>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12"/>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0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r>
      <w:tr>
        <w:trPr>
          <w:trHeight w:val="197"/>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w:t>
            </w:r>
          </w:p>
        </w:tc>
      </w:tr>
      <w:tr>
        <w:trPr>
          <w:trHeight w:val="208"/>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r>
      <w:tr>
        <w:trPr>
          <w:trHeight w:val="197"/>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18"/>
        </w:trPr>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2,631</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2,941</w:t>
            </w: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Balances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our contract assets and liabilities balances: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340" w:type="dxa"/>
            <w:vAlign w:val="bottom"/>
          </w:tcPr>
          <w:p>
            <w:pPr>
              <w:spacing w:after="0"/>
              <w:rPr>
                <w:sz w:val="13"/>
                <w:szCs w:val="13"/>
                <w:color w:val="auto"/>
              </w:rPr>
            </w:pPr>
          </w:p>
        </w:tc>
        <w:tc>
          <w:tcPr>
            <w:tcW w:w="4680" w:type="dxa"/>
            <w:vAlign w:val="bottom"/>
            <w:gridSpan w:val="2"/>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3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Contract assets—January 1</w:t>
            </w:r>
          </w:p>
        </w:tc>
        <w:tc>
          <w:tcPr>
            <w:tcW w:w="3660" w:type="dxa"/>
            <w:vAlign w:val="bottom"/>
            <w:shd w:val="clear" w:color="auto" w:fill="CFF0FC"/>
          </w:tcPr>
          <w:p>
            <w:pPr>
              <w:spacing w:after="0"/>
              <w:rPr>
                <w:sz w:val="18"/>
                <w:szCs w:val="18"/>
                <w:color w:val="auto"/>
              </w:rPr>
            </w:pP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3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Contract assets—September 30</w:t>
            </w:r>
          </w:p>
        </w:tc>
        <w:tc>
          <w:tcPr>
            <w:tcW w:w="366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Change in contract assets—Increase/(Decrease)</w:t>
            </w:r>
          </w:p>
        </w:tc>
        <w:tc>
          <w:tcPr>
            <w:tcW w:w="366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Contract liabilities—January 1</w:t>
            </w:r>
          </w:p>
        </w:tc>
        <w:tc>
          <w:tcPr>
            <w:tcW w:w="36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340" w:type="dxa"/>
            <w:vAlign w:val="bottom"/>
            <w:vMerge w:val="continue"/>
          </w:tcPr>
          <w:p>
            <w:pPr>
              <w:spacing w:after="0"/>
              <w:rPr>
                <w:sz w:val="14"/>
                <w:szCs w:val="14"/>
                <w:color w:val="auto"/>
              </w:rPr>
            </w:pPr>
          </w:p>
        </w:tc>
        <w:tc>
          <w:tcPr>
            <w:tcW w:w="4680" w:type="dxa"/>
            <w:vAlign w:val="bottom"/>
            <w:gridSpan w:val="2"/>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4"/>
                <w:szCs w:val="14"/>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Contract liabilities—September 30</w:t>
            </w:r>
          </w:p>
        </w:tc>
        <w:tc>
          <w:tcPr>
            <w:tcW w:w="366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contract liabilities—Decrease/(Increase)</w:t>
            </w:r>
          </w:p>
        </w:tc>
        <w:tc>
          <w:tcPr>
            <w:tcW w:w="4680" w:type="dxa"/>
            <w:vAlign w:val="bottom"/>
            <w:gridSpan w:val="2"/>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3660" w:type="dxa"/>
            <w:vAlign w:val="bottom"/>
            <w:vMerge w:val="restart"/>
          </w:tcPr>
          <w:p>
            <w:pPr>
              <w:jc w:val="right"/>
              <w:ind w:right="2093"/>
              <w:spacing w:after="0"/>
              <w:rPr>
                <w:sz w:val="20"/>
                <w:szCs w:val="20"/>
                <w:color w:val="auto"/>
              </w:rPr>
            </w:pPr>
            <w:r>
              <w:rPr>
                <w:rFonts w:ascii="Times New Roman" w:cs="Times New Roman" w:eastAsia="Times New Roman" w:hAnsi="Times New Roman"/>
                <w:sz w:val="14"/>
                <w:szCs w:val="14"/>
                <w:color w:val="auto"/>
              </w:rPr>
              <w:t>9</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2"/>
        </w:trPr>
        <w:tc>
          <w:tcPr>
            <w:tcW w:w="434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34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8"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Note 4. Research, Development and Engineering</w:t>
      </w:r>
    </w:p>
    <w:p>
      <w:pPr>
        <w:spacing w:after="0" w:line="160" w:lineRule="exact"/>
        <w:rPr>
          <w:sz w:val="20"/>
          <w:szCs w:val="20"/>
          <w:color w:val="auto"/>
        </w:rPr>
      </w:pPr>
    </w:p>
    <w:p>
      <w:pPr>
        <w:ind w:firstLine="307"/>
        <w:spacing w:after="0" w:line="264" w:lineRule="auto"/>
        <w:rPr>
          <w:sz w:val="20"/>
          <w:szCs w:val="20"/>
          <w:color w:val="auto"/>
        </w:rPr>
      </w:pPr>
      <w:r>
        <w:rPr>
          <w:rFonts w:ascii="Times New Roman" w:cs="Times New Roman" w:eastAsia="Times New Roman" w:hAnsi="Times New Roman"/>
          <w:sz w:val="14"/>
          <w:szCs w:val="14"/>
          <w:color w:val="231F20"/>
        </w:rPr>
        <w:t>Garrett conducts research, development, and engineering (“RD&amp;E”) activities, which consist primarily of the development of new products and product applications. RD&amp;E costs are charged to expense as incurred unless the Company has a contractual guarantee for reimbursement from the customer. Customer reimbursements are netted against gross RD&amp;E expenditures as they are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231F20"/>
              </w:rPr>
              <w:t>considered</w:t>
            </w:r>
          </w:p>
        </w:tc>
        <w:tc>
          <w:tcPr>
            <w:tcW w:w="520" w:type="dxa"/>
            <w:vAlign w:val="bottom"/>
          </w:tcPr>
          <w:p>
            <w:pPr>
              <w:ind w:left="240"/>
              <w:spacing w:after="0"/>
              <w:rPr>
                <w:sz w:val="20"/>
                <w:szCs w:val="20"/>
                <w:color w:val="auto"/>
              </w:rPr>
            </w:pPr>
            <w:r>
              <w:rPr>
                <w:rFonts w:ascii="Times New Roman" w:cs="Times New Roman" w:eastAsia="Times New Roman" w:hAnsi="Times New Roman"/>
                <w:sz w:val="14"/>
                <w:szCs w:val="14"/>
                <w:color w:val="231F20"/>
              </w:rPr>
              <w:t>a</w:t>
            </w:r>
          </w:p>
        </w:tc>
        <w:tc>
          <w:tcPr>
            <w:tcW w:w="960" w:type="dxa"/>
            <w:vAlign w:val="bottom"/>
          </w:tcPr>
          <w:p>
            <w:pPr>
              <w:ind w:left="240"/>
              <w:spacing w:after="0"/>
              <w:rPr>
                <w:sz w:val="20"/>
                <w:szCs w:val="20"/>
                <w:color w:val="auto"/>
              </w:rPr>
            </w:pPr>
            <w:r>
              <w:rPr>
                <w:rFonts w:ascii="Times New Roman" w:cs="Times New Roman" w:eastAsia="Times New Roman" w:hAnsi="Times New Roman"/>
                <w:sz w:val="14"/>
                <w:szCs w:val="14"/>
                <w:color w:val="231F20"/>
              </w:rPr>
              <w:t>recovery</w:t>
            </w:r>
          </w:p>
        </w:tc>
        <w:tc>
          <w:tcPr>
            <w:tcW w:w="580" w:type="dxa"/>
            <w:vAlign w:val="bottom"/>
          </w:tcPr>
          <w:p>
            <w:pPr>
              <w:ind w:left="220"/>
              <w:spacing w:after="0"/>
              <w:rPr>
                <w:sz w:val="20"/>
                <w:szCs w:val="20"/>
                <w:color w:val="auto"/>
              </w:rPr>
            </w:pPr>
            <w:r>
              <w:rPr>
                <w:rFonts w:ascii="Times New Roman" w:cs="Times New Roman" w:eastAsia="Times New Roman" w:hAnsi="Times New Roman"/>
                <w:sz w:val="14"/>
                <w:szCs w:val="14"/>
                <w:color w:val="231F20"/>
              </w:rPr>
              <w:t>of</w:t>
            </w:r>
          </w:p>
        </w:tc>
        <w:tc>
          <w:tcPr>
            <w:tcW w:w="940" w:type="dxa"/>
            <w:vAlign w:val="bottom"/>
          </w:tcPr>
          <w:p>
            <w:pPr>
              <w:ind w:left="220"/>
              <w:spacing w:after="0"/>
              <w:rPr>
                <w:sz w:val="20"/>
                <w:szCs w:val="20"/>
                <w:color w:val="auto"/>
              </w:rPr>
            </w:pPr>
            <w:r>
              <w:rPr>
                <w:rFonts w:ascii="Times New Roman" w:cs="Times New Roman" w:eastAsia="Times New Roman" w:hAnsi="Times New Roman"/>
                <w:sz w:val="14"/>
                <w:szCs w:val="14"/>
                <w:color w:val="231F20"/>
              </w:rPr>
              <w:t>cost.</w:t>
            </w:r>
          </w:p>
        </w:tc>
        <w:tc>
          <w:tcPr>
            <w:tcW w:w="520" w:type="dxa"/>
            <w:vAlign w:val="bottom"/>
          </w:tcPr>
          <w:p>
            <w:pPr>
              <w:spacing w:after="0"/>
              <w:rPr>
                <w:sz w:val="20"/>
                <w:szCs w:val="20"/>
                <w:color w:val="auto"/>
              </w:rPr>
            </w:pPr>
            <w:r>
              <w:rPr>
                <w:rFonts w:ascii="Times New Roman" w:cs="Times New Roman" w:eastAsia="Times New Roman" w:hAnsi="Times New Roman"/>
                <w:sz w:val="14"/>
                <w:szCs w:val="14"/>
                <w:color w:val="231F20"/>
              </w:rPr>
              <w:t>Such</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231F20"/>
              </w:rPr>
              <w:t>costs</w:t>
            </w:r>
          </w:p>
        </w:tc>
        <w:tc>
          <w:tcPr>
            <w:tcW w:w="600" w:type="dxa"/>
            <w:vAlign w:val="bottom"/>
          </w:tcPr>
          <w:p>
            <w:pPr>
              <w:jc w:val="right"/>
              <w:ind w:right="136"/>
              <w:spacing w:after="0"/>
              <w:rPr>
                <w:sz w:val="20"/>
                <w:szCs w:val="20"/>
                <w:color w:val="auto"/>
              </w:rPr>
            </w:pPr>
            <w:r>
              <w:rPr>
                <w:rFonts w:ascii="Times New Roman" w:cs="Times New Roman" w:eastAsia="Times New Roman" w:hAnsi="Times New Roman"/>
                <w:sz w:val="14"/>
                <w:szCs w:val="14"/>
                <w:color w:val="231F20"/>
              </w:rPr>
              <w:t>are</w:t>
            </w:r>
          </w:p>
        </w:tc>
        <w:tc>
          <w:tcPr>
            <w:tcW w:w="1160" w:type="dxa"/>
            <w:vAlign w:val="bottom"/>
            <w:gridSpan w:val="3"/>
          </w:tcPr>
          <w:p>
            <w:pPr>
              <w:jc w:val="right"/>
              <w:ind w:right="349"/>
              <w:spacing w:after="0"/>
              <w:rPr>
                <w:sz w:val="20"/>
                <w:szCs w:val="20"/>
                <w:color w:val="auto"/>
              </w:rPr>
            </w:pPr>
            <w:r>
              <w:rPr>
                <w:rFonts w:ascii="Times New Roman" w:cs="Times New Roman" w:eastAsia="Times New Roman" w:hAnsi="Times New Roman"/>
                <w:sz w:val="14"/>
                <w:szCs w:val="14"/>
                <w:color w:val="231F20"/>
              </w:rPr>
              <w:t>included</w:t>
            </w:r>
          </w:p>
        </w:tc>
        <w:tc>
          <w:tcPr>
            <w:tcW w:w="500" w:type="dxa"/>
            <w:vAlign w:val="bottom"/>
          </w:tcPr>
          <w:p>
            <w:pPr>
              <w:jc w:val="right"/>
              <w:ind w:right="296"/>
              <w:spacing w:after="0"/>
              <w:rPr>
                <w:sz w:val="20"/>
                <w:szCs w:val="20"/>
                <w:color w:val="auto"/>
              </w:rPr>
            </w:pPr>
            <w:r>
              <w:rPr>
                <w:rFonts w:ascii="Times New Roman" w:cs="Times New Roman" w:eastAsia="Times New Roman" w:hAnsi="Times New Roman"/>
                <w:sz w:val="14"/>
                <w:szCs w:val="14"/>
                <w:color w:val="231F20"/>
              </w:rPr>
              <w:t>in</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231F20"/>
              </w:rPr>
              <w:t>Cost</w:t>
            </w:r>
          </w:p>
        </w:tc>
        <w:tc>
          <w:tcPr>
            <w:tcW w:w="5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231F20"/>
              </w:rPr>
              <w:t>of</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goods</w:t>
            </w:r>
          </w:p>
        </w:tc>
        <w:tc>
          <w:tcPr>
            <w:tcW w:w="1060" w:type="dxa"/>
            <w:vAlign w:val="bottom"/>
            <w:gridSpan w:val="3"/>
          </w:tcPr>
          <w:p>
            <w:pPr>
              <w:jc w:val="right"/>
              <w:ind w:right="329"/>
              <w:spacing w:after="0"/>
              <w:rPr>
                <w:sz w:val="20"/>
                <w:szCs w:val="20"/>
                <w:color w:val="auto"/>
              </w:rPr>
            </w:pPr>
            <w:r>
              <w:rPr>
                <w:rFonts w:ascii="Times New Roman" w:cs="Times New Roman" w:eastAsia="Times New Roman" w:hAnsi="Times New Roman"/>
                <w:sz w:val="14"/>
                <w:szCs w:val="14"/>
                <w:color w:val="231F20"/>
              </w:rPr>
              <w:t>sold</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231F20"/>
                <w:w w:val="85"/>
              </w:rPr>
              <w:t>as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follows:</w:t>
            </w:r>
          </w:p>
        </w:tc>
      </w:tr>
      <w:tr>
        <w:trPr>
          <w:trHeight w:val="138"/>
        </w:trPr>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gridSpan w:val="3"/>
          </w:tcPr>
          <w:p>
            <w:pPr>
              <w:jc w:val="center"/>
              <w:ind w:left="14"/>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59"/>
        </w:trPr>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61"/>
        </w:trPr>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61"/>
        </w:trPr>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2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12"/>
        </w:trPr>
        <w:tc>
          <w:tcPr>
            <w:tcW w:w="2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Research and development costs</w:t>
            </w: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spacing w:after="0"/>
              <w:rPr>
                <w:sz w:val="18"/>
                <w:szCs w:val="18"/>
                <w:color w:val="auto"/>
              </w:rPr>
            </w:pPr>
          </w:p>
        </w:tc>
        <w:tc>
          <w:tcPr>
            <w:tcW w:w="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spacing w:after="0"/>
              <w:rPr>
                <w:sz w:val="18"/>
                <w:szCs w:val="18"/>
                <w:color w:val="auto"/>
              </w:rPr>
            </w:pPr>
          </w:p>
        </w:tc>
        <w:tc>
          <w:tcPr>
            <w:tcW w:w="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spacing w:after="0"/>
              <w:rPr>
                <w:sz w:val="18"/>
                <w:szCs w:val="18"/>
                <w:color w:val="auto"/>
              </w:rPr>
            </w:pPr>
          </w:p>
        </w:tc>
        <w:tc>
          <w:tcPr>
            <w:tcW w:w="5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w:t>
            </w:r>
          </w:p>
        </w:tc>
      </w:tr>
      <w:tr>
        <w:trPr>
          <w:trHeight w:val="202"/>
        </w:trPr>
        <w:tc>
          <w:tcPr>
            <w:tcW w:w="3840" w:type="dxa"/>
            <w:vAlign w:val="bottom"/>
            <w:tcBorders>
              <w:bottom w:val="single" w:sz="8" w:color="CFF0FC"/>
            </w:tcBorders>
            <w:gridSpan w:val="5"/>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Engineering-related expenses, net of customer (reimbursements) </w:t>
            </w:r>
            <w:r>
              <w:rPr>
                <w:rFonts w:ascii="Times New Roman" w:cs="Times New Roman" w:eastAsia="Times New Roman" w:hAnsi="Times New Roman"/>
                <w:sz w:val="18"/>
                <w:szCs w:val="18"/>
                <w:color w:val="auto"/>
                <w:vertAlign w:val="superscript"/>
              </w:rPr>
              <w:t>(1)</w:t>
            </w:r>
          </w:p>
        </w:tc>
        <w:tc>
          <w:tcPr>
            <w:tcW w:w="520" w:type="dxa"/>
            <w:vAlign w:val="bottom"/>
            <w:tcBorders>
              <w:bottom w:val="single" w:sz="8" w:color="CFF0FC"/>
            </w:tcBorders>
          </w:tcPr>
          <w:p>
            <w:pPr>
              <w:spacing w:after="0"/>
              <w:rPr>
                <w:sz w:val="17"/>
                <w:szCs w:val="17"/>
                <w:color w:val="auto"/>
              </w:rPr>
            </w:pPr>
          </w:p>
        </w:tc>
        <w:tc>
          <w:tcPr>
            <w:tcW w:w="34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w w:val="97"/>
              </w:rPr>
              <w:t>(6)</w:t>
            </w:r>
          </w:p>
        </w:tc>
        <w:tc>
          <w:tcPr>
            <w:tcW w:w="100" w:type="dxa"/>
            <w:vAlign w:val="bottom"/>
            <w:tcBorders>
              <w:bottom w:val="single" w:sz="8" w:color="CFF0FC"/>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w w:val="97"/>
              </w:rPr>
              <w:t>(3)</w:t>
            </w:r>
          </w:p>
        </w:tc>
        <w:tc>
          <w:tcPr>
            <w:tcW w:w="80" w:type="dxa"/>
            <w:vAlign w:val="bottom"/>
            <w:tcBorders>
              <w:bottom w:val="single" w:sz="8" w:color="CFF0FC"/>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FF0FC"/>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7"/>
        </w:trPr>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spacing w:after="0"/>
              <w:rPr>
                <w:sz w:val="18"/>
                <w:szCs w:val="18"/>
                <w:color w:val="auto"/>
              </w:rPr>
            </w:pPr>
          </w:p>
        </w:tc>
        <w:tc>
          <w:tcPr>
            <w:tcW w:w="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spacing w:after="0"/>
              <w:rPr>
                <w:sz w:val="18"/>
                <w:szCs w:val="18"/>
                <w:color w:val="auto"/>
              </w:rPr>
            </w:pPr>
          </w:p>
        </w:tc>
        <w:tc>
          <w:tcPr>
            <w:tcW w:w="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spacing w:after="0"/>
              <w:rPr>
                <w:sz w:val="18"/>
                <w:szCs w:val="18"/>
                <w:color w:val="auto"/>
              </w:rPr>
            </w:pPr>
          </w:p>
        </w:tc>
        <w:tc>
          <w:tcPr>
            <w:tcW w:w="5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20"/>
        </w:trPr>
        <w:tc>
          <w:tcPr>
            <w:tcW w:w="84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80" w:hanging="255"/>
        <w:spacing w:after="0" w:line="289" w:lineRule="auto"/>
        <w:tabs>
          <w:tab w:leader="none" w:pos="66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Engineering-related expenses include customer reimbursements of $17 million and $10 million for the three months ended September 30, 2024 and 2023, respectively, and $41 million and $34 million for the nine months ended September 30, 2024 and 2023, respectively.</w:t>
      </w:r>
    </w:p>
    <w:p>
      <w:pPr>
        <w:spacing w:after="0" w:line="9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 xml:space="preserve">Certain engineering expenses related to long-term supply arrangements are capitalized when defined criteria, such as the existence of a contractual guarantee for reimbursement, are met. As of </w:t>
      </w:r>
      <w:r>
        <w:rPr>
          <w:rFonts w:ascii="Times New Roman" w:cs="Times New Roman" w:eastAsia="Times New Roman" w:hAnsi="Times New Roman"/>
          <w:sz w:val="14"/>
          <w:szCs w:val="14"/>
          <w:color w:val="000000"/>
        </w:rPr>
        <w:t xml:space="preserve">September 30, 2024 </w:t>
      </w:r>
      <w:r>
        <w:rPr>
          <w:rFonts w:ascii="Times New Roman" w:cs="Times New Roman" w:eastAsia="Times New Roman" w:hAnsi="Times New Roman"/>
          <w:sz w:val="14"/>
          <w:szCs w:val="14"/>
          <w:color w:val="231F20"/>
        </w:rPr>
        <w:t>and December 31, 2023,</w:t>
      </w:r>
      <w:r>
        <w:rPr>
          <w:rFonts w:ascii="Times New Roman" w:cs="Times New Roman" w:eastAsia="Times New Roman" w:hAnsi="Times New Roman"/>
          <w:sz w:val="14"/>
          <w:szCs w:val="14"/>
          <w:color w:val="000000"/>
        </w:rPr>
        <w:t xml:space="preserve"> $30 million </w:t>
      </w:r>
      <w:r>
        <w:rPr>
          <w:rFonts w:ascii="Times New Roman" w:cs="Times New Roman" w:eastAsia="Times New Roman" w:hAnsi="Times New Roman"/>
          <w:sz w:val="14"/>
          <w:szCs w:val="14"/>
          <w:color w:val="231F20"/>
        </w:rPr>
        <w:t>and</w:t>
      </w:r>
      <w:r>
        <w:rPr>
          <w:rFonts w:ascii="Times New Roman" w:cs="Times New Roman" w:eastAsia="Times New Roman" w:hAnsi="Times New Roman"/>
          <w:sz w:val="14"/>
          <w:szCs w:val="14"/>
          <w:color w:val="000000"/>
        </w:rPr>
        <w:t xml:space="preserve"> $12 million</w:t>
      </w:r>
      <w:r>
        <w:rPr>
          <w:rFonts w:ascii="Times New Roman" w:cs="Times New Roman" w:eastAsia="Times New Roman" w:hAnsi="Times New Roman"/>
          <w:sz w:val="14"/>
          <w:szCs w:val="14"/>
          <w:color w:val="231F20"/>
        </w:rPr>
        <w:t>, respectively, of such contractually reimbursable costs were capitalized. These amounts are recorded within Other current</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assets in the Consolidated Interim Balance Sheet.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Income Taxes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40" w:type="dxa"/>
            <w:vAlign w:val="bottom"/>
            <w:gridSpan w:val="2"/>
          </w:tcPr>
          <w:p>
            <w:pPr>
              <w:jc w:val="center"/>
              <w:ind w:right="41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60" w:type="dxa"/>
            <w:vAlign w:val="bottom"/>
          </w:tcPr>
          <w:p>
            <w:pPr>
              <w:spacing w:after="0"/>
              <w:rPr>
                <w:sz w:val="11"/>
                <w:szCs w:val="11"/>
                <w:color w:val="auto"/>
              </w:rPr>
            </w:pPr>
          </w:p>
        </w:tc>
      </w:tr>
      <w:tr>
        <w:trPr>
          <w:trHeight w:val="159"/>
        </w:trPr>
        <w:tc>
          <w:tcPr>
            <w:tcW w:w="446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center"/>
              <w:ind w:right="41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60" w:type="dxa"/>
            <w:vAlign w:val="bottom"/>
            <w:tcBorders>
              <w:bottom w:val="single" w:sz="8" w:color="auto"/>
            </w:tcBorders>
          </w:tcPr>
          <w:p>
            <w:pPr>
              <w:spacing w:after="0"/>
              <w:rPr>
                <w:sz w:val="13"/>
                <w:szCs w:val="13"/>
                <w:color w:val="auto"/>
              </w:rPr>
            </w:pPr>
          </w:p>
        </w:tc>
      </w:tr>
      <w:tr>
        <w:trPr>
          <w:trHeight w:val="161"/>
        </w:trPr>
        <w:tc>
          <w:tcPr>
            <w:tcW w:w="4460" w:type="dxa"/>
            <w:vAlign w:val="bottom"/>
          </w:tcPr>
          <w:p>
            <w:pPr>
              <w:spacing w:after="0"/>
              <w:rPr>
                <w:sz w:val="14"/>
                <w:szCs w:val="14"/>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4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20" w:type="dxa"/>
            <w:vAlign w:val="bottom"/>
            <w:gridSpan w:val="3"/>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2"/>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 expense</w:t>
            </w:r>
          </w:p>
        </w:tc>
        <w:tc>
          <w:tcPr>
            <w:tcW w:w="106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4"/>
                <w:szCs w:val="14"/>
                <w:color w:val="auto"/>
              </w:rPr>
              <w:t>24</w:t>
            </w:r>
          </w:p>
        </w:tc>
        <w:tc>
          <w:tcPr>
            <w:tcW w:w="112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4"/>
                <w:szCs w:val="14"/>
                <w:color w:val="auto"/>
              </w:rPr>
              <w:t>62</w:t>
            </w:r>
          </w:p>
        </w:tc>
        <w:tc>
          <w:tcPr>
            <w:tcW w:w="620" w:type="dxa"/>
            <w:vAlign w:val="bottom"/>
            <w:shd w:val="clear" w:color="auto" w:fill="CFF0FC"/>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70</w:t>
            </w:r>
          </w:p>
        </w:tc>
      </w:tr>
      <w:tr>
        <w:trPr>
          <w:trHeight w:val="191"/>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10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31.6 %</w:t>
            </w:r>
          </w:p>
        </w:tc>
        <w:tc>
          <w:tcPr>
            <w:tcW w:w="1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18.6 %</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25.4 %</w:t>
            </w:r>
          </w:p>
        </w:tc>
        <w:tc>
          <w:tcPr>
            <w:tcW w:w="6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25.1 %</w:t>
            </w:r>
          </w:p>
        </w:tc>
      </w:tr>
    </w:tbl>
    <w:p>
      <w:pPr>
        <w:spacing w:after="0" w:line="200" w:lineRule="exact"/>
        <w:rPr>
          <w:sz w:val="20"/>
          <w:szCs w:val="20"/>
          <w:color w:val="auto"/>
        </w:rPr>
      </w:pP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 xml:space="preserve">The effective tax rates for the </w:t>
      </w:r>
      <w:r>
        <w:rPr>
          <w:rFonts w:ascii="Times New Roman" w:cs="Times New Roman" w:eastAsia="Times New Roman" w:hAnsi="Times New Roman"/>
          <w:sz w:val="14"/>
          <w:szCs w:val="14"/>
          <w:color w:val="000000"/>
        </w:rPr>
        <w:t>three months ended September 30, 2024</w:t>
      </w:r>
      <w:r>
        <w:rPr>
          <w:rFonts w:ascii="Times New Roman" w:cs="Times New Roman" w:eastAsia="Times New Roman" w:hAnsi="Times New Roman"/>
          <w:sz w:val="14"/>
          <w:szCs w:val="14"/>
          <w:color w:val="231F20"/>
        </w:rPr>
        <w:t xml:space="preserve"> and </w:t>
      </w:r>
      <w:r>
        <w:rPr>
          <w:rFonts w:ascii="Times New Roman" w:cs="Times New Roman" w:eastAsia="Times New Roman" w:hAnsi="Times New Roman"/>
          <w:sz w:val="14"/>
          <w:szCs w:val="14"/>
          <w:color w:val="000000"/>
        </w:rPr>
        <w:t>2023</w:t>
      </w:r>
      <w:r>
        <w:rPr>
          <w:rFonts w:ascii="Times New Roman" w:cs="Times New Roman" w:eastAsia="Times New Roman" w:hAnsi="Times New Roman"/>
          <w:sz w:val="14"/>
          <w:szCs w:val="14"/>
          <w:color w:val="231F20"/>
        </w:rPr>
        <w:t xml:space="preserve"> were </w:t>
      </w:r>
      <w:r>
        <w:rPr>
          <w:rFonts w:ascii="Times New Roman" w:cs="Times New Roman" w:eastAsia="Times New Roman" w:hAnsi="Times New Roman"/>
          <w:sz w:val="14"/>
          <w:szCs w:val="14"/>
          <w:color w:val="000000"/>
        </w:rPr>
        <w:t>31.6%</w:t>
      </w:r>
      <w:r>
        <w:rPr>
          <w:rFonts w:ascii="Times New Roman" w:cs="Times New Roman" w:eastAsia="Times New Roman" w:hAnsi="Times New Roman"/>
          <w:sz w:val="14"/>
          <w:szCs w:val="14"/>
          <w:color w:val="231F20"/>
        </w:rPr>
        <w:t xml:space="preserve"> and </w:t>
      </w:r>
      <w:r>
        <w:rPr>
          <w:rFonts w:ascii="Times New Roman" w:cs="Times New Roman" w:eastAsia="Times New Roman" w:hAnsi="Times New Roman"/>
          <w:sz w:val="14"/>
          <w:szCs w:val="14"/>
          <w:color w:val="000000"/>
        </w:rPr>
        <w:t>18.6%</w:t>
      </w:r>
      <w:r>
        <w:rPr>
          <w:rFonts w:ascii="Times New Roman" w:cs="Times New Roman" w:eastAsia="Times New Roman" w:hAnsi="Times New Roman"/>
          <w:sz w:val="14"/>
          <w:szCs w:val="14"/>
          <w:color w:val="231F20"/>
        </w:rPr>
        <w:t xml:space="preserve">, respectively. The effective tax rates for the </w:t>
      </w:r>
      <w:r>
        <w:rPr>
          <w:rFonts w:ascii="Times New Roman" w:cs="Times New Roman" w:eastAsia="Times New Roman" w:hAnsi="Times New Roman"/>
          <w:sz w:val="14"/>
          <w:szCs w:val="14"/>
          <w:color w:val="000000"/>
        </w:rPr>
        <w:t>nine months ended September 30, 2024</w:t>
      </w:r>
      <w:r>
        <w:rPr>
          <w:rFonts w:ascii="Times New Roman" w:cs="Times New Roman" w:eastAsia="Times New Roman" w:hAnsi="Times New Roman"/>
          <w:sz w:val="14"/>
          <w:szCs w:val="14"/>
          <w:color w:val="231F20"/>
        </w:rPr>
        <w:t xml:space="preserve">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2023 </w:t>
      </w:r>
      <w:r>
        <w:rPr>
          <w:rFonts w:ascii="Times New Roman" w:cs="Times New Roman" w:eastAsia="Times New Roman" w:hAnsi="Times New Roman"/>
          <w:sz w:val="14"/>
          <w:szCs w:val="14"/>
          <w:color w:val="231F20"/>
        </w:rPr>
        <w:t>were</w:t>
      </w:r>
      <w:r>
        <w:rPr>
          <w:rFonts w:ascii="Times New Roman" w:cs="Times New Roman" w:eastAsia="Times New Roman" w:hAnsi="Times New Roman"/>
          <w:sz w:val="14"/>
          <w:szCs w:val="14"/>
          <w:color w:val="auto"/>
        </w:rPr>
        <w:t xml:space="preserve"> 25.4% </w:t>
      </w:r>
      <w:r>
        <w:rPr>
          <w:rFonts w:ascii="Times New Roman" w:cs="Times New Roman" w:eastAsia="Times New Roman" w:hAnsi="Times New Roman"/>
          <w:sz w:val="14"/>
          <w:szCs w:val="14"/>
          <w:color w:val="231F20"/>
        </w:rPr>
        <w:t>and</w:t>
      </w:r>
      <w:r>
        <w:rPr>
          <w:rFonts w:ascii="Times New Roman" w:cs="Times New Roman" w:eastAsia="Times New Roman" w:hAnsi="Times New Roman"/>
          <w:sz w:val="14"/>
          <w:szCs w:val="14"/>
          <w:color w:val="auto"/>
        </w:rPr>
        <w:t xml:space="preserve"> 25.1%</w:t>
      </w:r>
      <w:r>
        <w:rPr>
          <w:rFonts w:ascii="Times New Roman" w:cs="Times New Roman" w:eastAsia="Times New Roman" w:hAnsi="Times New Roman"/>
          <w:sz w:val="14"/>
          <w:szCs w:val="14"/>
          <w:color w:val="231F20"/>
        </w:rPr>
        <w:t>, respectively.</w:t>
      </w:r>
    </w:p>
    <w:p>
      <w:pPr>
        <w:spacing w:after="0" w:line="13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 xml:space="preserve">The change in the effective tax rate for the three months ended </w:t>
      </w:r>
      <w:r>
        <w:rPr>
          <w:rFonts w:ascii="Times New Roman" w:cs="Times New Roman" w:eastAsia="Times New Roman" w:hAnsi="Times New Roman"/>
          <w:sz w:val="14"/>
          <w:szCs w:val="14"/>
          <w:color w:val="000000"/>
        </w:rPr>
        <w:t>September 30, 2024</w:t>
      </w:r>
      <w:r>
        <w:rPr>
          <w:rFonts w:ascii="Times New Roman" w:cs="Times New Roman" w:eastAsia="Times New Roman" w:hAnsi="Times New Roman"/>
          <w:sz w:val="14"/>
          <w:szCs w:val="14"/>
          <w:color w:val="231F20"/>
        </w:rPr>
        <w:t xml:space="preserve"> compared to the prior period is primarily related to global mix of earnings, partially offset by adjustments to tax reserves due to expiration of statute of limitations.</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 xml:space="preserve">The change in the effective tax rate for the nine months ended </w:t>
      </w:r>
      <w:r>
        <w:rPr>
          <w:rFonts w:ascii="Times New Roman" w:cs="Times New Roman" w:eastAsia="Times New Roman" w:hAnsi="Times New Roman"/>
          <w:sz w:val="14"/>
          <w:szCs w:val="14"/>
          <w:color w:val="000000"/>
        </w:rPr>
        <w:t>September 30, 2024</w:t>
      </w:r>
      <w:r>
        <w:rPr>
          <w:rFonts w:ascii="Times New Roman" w:cs="Times New Roman" w:eastAsia="Times New Roman" w:hAnsi="Times New Roman"/>
          <w:sz w:val="14"/>
          <w:szCs w:val="14"/>
          <w:color w:val="231F20"/>
        </w:rPr>
        <w:t xml:space="preserve"> compared to the prior period is primarily related to global mix of earnings and tax expense related to the sale of an equity interest in an unconsolidated joint venture, partially offset by reversal of tax reserves and lower non-deductible transaction costs.</w:t>
      </w:r>
    </w:p>
    <w:p>
      <w:pPr>
        <w:spacing w:after="0" w:line="1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 xml:space="preserve">The effective tax rate for the </w:t>
      </w:r>
      <w:r>
        <w:rPr>
          <w:rFonts w:ascii="Times New Roman" w:cs="Times New Roman" w:eastAsia="Times New Roman" w:hAnsi="Times New Roman"/>
          <w:sz w:val="14"/>
          <w:szCs w:val="14"/>
          <w:color w:val="000000"/>
        </w:rPr>
        <w:t>three months ended September 30, 2024</w:t>
      </w:r>
      <w:r>
        <w:rPr>
          <w:rFonts w:ascii="Times New Roman" w:cs="Times New Roman" w:eastAsia="Times New Roman" w:hAnsi="Times New Roman"/>
          <w:sz w:val="14"/>
          <w:szCs w:val="14"/>
          <w:color w:val="231F20"/>
        </w:rPr>
        <w:t xml:space="preserve"> was higher than the U.S. federal statutory rate of 21% primarily because of U.S. taxes on international operations and withholding taxes, partially offset by adjustments to tax reserves due to expiration of statute of limitations, lower taxes on non-U.S. earnings, and global research and development benefits.</w:t>
      </w:r>
    </w:p>
    <w:p>
      <w:pPr>
        <w:spacing w:after="0" w:line="9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 xml:space="preserve">The effective tax rate for the nine months ended </w:t>
      </w:r>
      <w:r>
        <w:rPr>
          <w:rFonts w:ascii="Times New Roman" w:cs="Times New Roman" w:eastAsia="Times New Roman" w:hAnsi="Times New Roman"/>
          <w:sz w:val="14"/>
          <w:szCs w:val="14"/>
          <w:color w:val="000000"/>
        </w:rPr>
        <w:t>September 30, 2024</w:t>
      </w:r>
      <w:r>
        <w:rPr>
          <w:rFonts w:ascii="Times New Roman" w:cs="Times New Roman" w:eastAsia="Times New Roman" w:hAnsi="Times New Roman"/>
          <w:sz w:val="14"/>
          <w:szCs w:val="14"/>
          <w:color w:val="231F20"/>
        </w:rPr>
        <w:t xml:space="preserve"> was higher than the U.S. federal statutory rate of 21% primarily because of U.S. taxes on international operations, withholding taxes, and tax expense related to the sale of an equity interest in an unconsolidated joint venture, partially offset by reversal of tax reserves, lower taxes on non-U.S. earnings, and global research and development benefits.</w:t>
      </w:r>
    </w:p>
    <w:p>
      <w:pPr>
        <w:spacing w:after="0" w:line="25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92"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Note 6. Accounts, Notes and Other Receivables—Net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440" w:type="dxa"/>
            <w:vAlign w:val="bottom"/>
          </w:tcPr>
          <w:p>
            <w:pPr>
              <w:spacing w:after="0"/>
              <w:rPr>
                <w:sz w:val="12"/>
                <w:szCs w:val="12"/>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9"/>
        </w:trPr>
        <w:tc>
          <w:tcPr>
            <w:tcW w:w="80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8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40" w:type="dxa"/>
            <w:vAlign w:val="bottom"/>
          </w:tcPr>
          <w:p>
            <w:pPr>
              <w:spacing w:after="0"/>
              <w:rPr>
                <w:sz w:val="13"/>
                <w:szCs w:val="13"/>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Trade receivables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r>
      <w:tr>
        <w:trPr>
          <w:trHeight w:val="19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receivable</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20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receivables</w:t>
            </w:r>
          </w:p>
        </w:tc>
        <w:tc>
          <w:tcPr>
            <w:tcW w:w="2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93"/>
        </w:trPr>
        <w:tc>
          <w:tcPr>
            <w:tcW w:w="8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w:t>
            </w:r>
          </w:p>
        </w:tc>
      </w:tr>
      <w:tr>
        <w:trPr>
          <w:trHeight w:val="20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Less—Allowance for expected credit losses</w:t>
            </w:r>
          </w:p>
        </w:tc>
        <w:tc>
          <w:tcPr>
            <w:tcW w:w="2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3"/>
        </w:trPr>
        <w:tc>
          <w:tcPr>
            <w:tcW w:w="8000" w:type="dxa"/>
            <w:vAlign w:val="bottom"/>
          </w:tcPr>
          <w:p>
            <w:pPr>
              <w:spacing w:after="0"/>
              <w:rPr>
                <w:sz w:val="16"/>
                <w:szCs w:val="16"/>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808</w:t>
            </w:r>
          </w:p>
        </w:tc>
      </w:tr>
      <w:tr>
        <w:trPr>
          <w:trHeight w:val="20"/>
        </w:trPr>
        <w:tc>
          <w:tcPr>
            <w:tcW w:w="8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336" w:lineRule="auto"/>
        <w:rPr>
          <w:sz w:val="20"/>
          <w:szCs w:val="20"/>
          <w:color w:val="auto"/>
        </w:rPr>
      </w:pPr>
      <w:r>
        <w:rPr>
          <w:rFonts w:ascii="Times New Roman" w:cs="Times New Roman" w:eastAsia="Times New Roman" w:hAnsi="Times New Roman"/>
          <w:sz w:val="14"/>
          <w:szCs w:val="14"/>
          <w:color w:val="auto"/>
        </w:rPr>
        <w:t xml:space="preserve">Trade receivables include $53 million and $38 million of unbilled customer contract asset balances as of </w:t>
      </w:r>
      <w:r>
        <w:rPr>
          <w:rFonts w:ascii="Times New Roman" w:cs="Times New Roman" w:eastAsia="Times New Roman" w:hAnsi="Times New Roman"/>
          <w:sz w:val="14"/>
          <w:szCs w:val="14"/>
          <w:color w:val="231F20"/>
        </w:rPr>
        <w:t>September 30, 2024</w:t>
      </w:r>
      <w:r>
        <w:rPr>
          <w:rFonts w:ascii="Times New Roman" w:cs="Times New Roman" w:eastAsia="Times New Roman" w:hAnsi="Times New Roman"/>
          <w:sz w:val="14"/>
          <w:szCs w:val="14"/>
          <w:color w:val="auto"/>
        </w:rPr>
        <w:t xml:space="preserve"> and December 31, 2023, respectively. These amounts are billed in accordance with the terms of customer contracts to which they relate. See Note 3</w:t>
      </w:r>
      <w:r>
        <w:rPr>
          <w:rFonts w:ascii="Times New Roman" w:cs="Times New Roman" w:eastAsia="Times New Roman" w:hAnsi="Times New Roman"/>
          <w:sz w:val="14"/>
          <w:szCs w:val="14"/>
          <w:i w:val="1"/>
          <w:iCs w:val="1"/>
          <w:color w:val="auto"/>
        </w:rPr>
        <w:t>, Revenue Recognition and Contracts with Customers</w:t>
      </w:r>
      <w:r>
        <w:rPr>
          <w:rFonts w:ascii="Times New Roman" w:cs="Times New Roman" w:eastAsia="Times New Roman" w:hAnsi="Times New Roman"/>
          <w:sz w:val="14"/>
          <w:szCs w:val="14"/>
          <w:color w:val="auto"/>
        </w:rPr>
        <w:t>.</w:t>
      </w:r>
    </w:p>
    <w:p>
      <w:pPr>
        <w:spacing w:after="0" w:line="71"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 xml:space="preserve">Notes receivable is related to guaranteed bank notes without recourse that the Company receives in settlement of accounts receivables, primarily in the Asia Pacific region. See Note 7, </w:t>
      </w:r>
      <w:r>
        <w:rPr>
          <w:rFonts w:ascii="Times New Roman" w:cs="Times New Roman" w:eastAsia="Times New Roman" w:hAnsi="Times New Roman"/>
          <w:sz w:val="14"/>
          <w:szCs w:val="14"/>
          <w:i w:val="1"/>
          <w:iCs w:val="1"/>
          <w:color w:val="auto"/>
        </w:rPr>
        <w:t>Factoring and Notes Receivable</w:t>
      </w:r>
      <w:r>
        <w:rPr>
          <w:rFonts w:ascii="Times New Roman" w:cs="Times New Roman" w:eastAsia="Times New Roman" w:hAnsi="Times New Roman"/>
          <w:sz w:val="14"/>
          <w:szCs w:val="14"/>
          <w:color w:val="auto"/>
        </w:rPr>
        <w:t>.</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Other receivables includes VAT receivables of $59 million and $76 million as of </w:t>
      </w:r>
      <w:r>
        <w:rPr>
          <w:rFonts w:ascii="Times New Roman" w:cs="Times New Roman" w:eastAsia="Times New Roman" w:hAnsi="Times New Roman"/>
          <w:sz w:val="14"/>
          <w:szCs w:val="14"/>
          <w:color w:val="231F20"/>
        </w:rPr>
        <w:t>September 30, 2024</w:t>
      </w:r>
      <w:r>
        <w:rPr>
          <w:rFonts w:ascii="Times New Roman" w:cs="Times New Roman" w:eastAsia="Times New Roman" w:hAnsi="Times New Roman"/>
          <w:sz w:val="14"/>
          <w:szCs w:val="14"/>
          <w:color w:val="auto"/>
        </w:rPr>
        <w:t xml:space="preserve"> and December 31, 2023, respectively.</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Factoring and Notes Receivable</w:t>
      </w:r>
    </w:p>
    <w:p>
      <w:pPr>
        <w:spacing w:after="0" w:line="16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enters into arrangements with financial institutions to sell eligible trade receivables. The receivables are sold without recourse and the Company accounts for these arrangements as true sales. The Company also receives guaranteed bank notes without recourse, in settlement of accounts receivables, primarily in the Asia Pacific region. The Company can hold the bank notes until maturity, exchange them with suppliers to settle liabilities, or sell them to third-party financial institutions in exchange for cash. Bank notes sold to third-party financial institutions without recourse are likewise accounted for as true sales.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20" w:type="dxa"/>
            <w:vAlign w:val="bottom"/>
          </w:tcPr>
          <w:p>
            <w:pPr>
              <w:spacing w:after="0"/>
              <w:rPr>
                <w:sz w:val="13"/>
                <w:szCs w:val="13"/>
                <w:color w:val="auto"/>
              </w:rPr>
            </w:pPr>
          </w:p>
        </w:tc>
        <w:tc>
          <w:tcPr>
            <w:tcW w:w="264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3"/>
          </w:tcPr>
          <w:p>
            <w:pPr>
              <w:jc w:val="right"/>
              <w:ind w:right="674"/>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61"/>
        </w:trPr>
        <w:tc>
          <w:tcPr>
            <w:tcW w:w="4820" w:type="dxa"/>
            <w:vAlign w:val="bottom"/>
          </w:tcPr>
          <w:p>
            <w:pPr>
              <w:spacing w:after="0"/>
              <w:rPr>
                <w:sz w:val="14"/>
                <w:szCs w:val="14"/>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2023</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4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12"/>
        </w:trPr>
        <w:tc>
          <w:tcPr>
            <w:tcW w:w="48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Eligible receivables sold without recourse</w:t>
            </w:r>
          </w:p>
        </w:tc>
        <w:tc>
          <w:tcPr>
            <w:tcW w:w="106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140</w:t>
            </w:r>
          </w:p>
        </w:tc>
        <w:tc>
          <w:tcPr>
            <w:tcW w:w="110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4"/>
                <w:szCs w:val="14"/>
                <w:color w:val="auto"/>
              </w:rPr>
              <w:t>542</w:t>
            </w:r>
          </w:p>
        </w:tc>
        <w:tc>
          <w:tcPr>
            <w:tcW w:w="460" w:type="dxa"/>
            <w:vAlign w:val="bottom"/>
            <w:shd w:val="clear" w:color="auto" w:fill="CFF0FC"/>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584</w:t>
            </w:r>
          </w:p>
        </w:tc>
      </w:tr>
      <w:tr>
        <w:trPr>
          <w:trHeight w:val="191"/>
        </w:trPr>
        <w:tc>
          <w:tcPr>
            <w:tcW w:w="4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Guaranteed bank notes sold without recourse</w:t>
            </w:r>
          </w:p>
        </w:tc>
        <w:tc>
          <w:tcPr>
            <w:tcW w:w="1060" w:type="dxa"/>
            <w:vAlign w:val="bottom"/>
          </w:tcPr>
          <w:p>
            <w:pPr>
              <w:spacing w:after="0"/>
              <w:rPr>
                <w:sz w:val="16"/>
                <w:szCs w:val="16"/>
                <w:color w:val="auto"/>
              </w:rPr>
            </w:pPr>
          </w:p>
        </w:tc>
        <w:tc>
          <w:tcPr>
            <w:tcW w:w="4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95</w:t>
            </w:r>
          </w:p>
        </w:tc>
        <w:tc>
          <w:tcPr>
            <w:tcW w:w="1100" w:type="dxa"/>
            <w:vAlign w:val="bottom"/>
          </w:tcPr>
          <w:p>
            <w:pPr>
              <w:spacing w:after="0"/>
              <w:rPr>
                <w:sz w:val="16"/>
                <w:szCs w:val="16"/>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147</w:t>
            </w:r>
          </w:p>
        </w:tc>
        <w:tc>
          <w:tcPr>
            <w:tcW w:w="460" w:type="dxa"/>
            <w:vAlign w:val="bottom"/>
          </w:tcPr>
          <w:p>
            <w:pPr>
              <w:spacing w:after="0"/>
              <w:rPr>
                <w:sz w:val="16"/>
                <w:szCs w:val="16"/>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41</w:t>
            </w:r>
          </w:p>
        </w:tc>
      </w:tr>
    </w:tbl>
    <w:p>
      <w:pPr>
        <w:spacing w:after="0" w:line="210"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auto"/>
        </w:rPr>
        <w:t xml:space="preserve">The expenses related to the sale of trade receivables and guaranteed bank notes are recognized within Other expense, net in the Consolidated Interim Statements of Operations, and were $1 million and $1 million for the three months ended </w:t>
      </w:r>
      <w:r>
        <w:rPr>
          <w:rFonts w:ascii="Times New Roman" w:cs="Times New Roman" w:eastAsia="Times New Roman" w:hAnsi="Times New Roman"/>
          <w:sz w:val="14"/>
          <w:szCs w:val="14"/>
          <w:color w:val="231F20"/>
        </w:rPr>
        <w:t>September 30, 2024</w:t>
      </w:r>
      <w:r>
        <w:rPr>
          <w:rFonts w:ascii="Times New Roman" w:cs="Times New Roman" w:eastAsia="Times New Roman" w:hAnsi="Times New Roman"/>
          <w:sz w:val="14"/>
          <w:szCs w:val="14"/>
          <w:color w:val="auto"/>
        </w:rPr>
        <w:t xml:space="preserve"> and 2023, respectively, and $3 million and $3 million for the nine months ended </w:t>
      </w:r>
      <w:r>
        <w:rPr>
          <w:rFonts w:ascii="Times New Roman" w:cs="Times New Roman" w:eastAsia="Times New Roman" w:hAnsi="Times New Roman"/>
          <w:sz w:val="14"/>
          <w:szCs w:val="14"/>
          <w:color w:val="231F20"/>
        </w:rPr>
        <w:t>September 30, 2024 and 2023, respectively.</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360" w:type="dxa"/>
            <w:vAlign w:val="bottom"/>
          </w:tcPr>
          <w:p>
            <w:pPr>
              <w:spacing w:after="0"/>
              <w:rPr>
                <w:sz w:val="11"/>
                <w:szCs w:val="11"/>
                <w:color w:val="auto"/>
              </w:rPr>
            </w:pPr>
          </w:p>
        </w:tc>
        <w:tc>
          <w:tcPr>
            <w:tcW w:w="1140" w:type="dxa"/>
            <w:vAlign w:val="bottom"/>
          </w:tcPr>
          <w:p>
            <w:pPr>
              <w:jc w:val="center"/>
              <w:ind w:left="20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300" w:type="dxa"/>
            <w:vAlign w:val="bottom"/>
          </w:tcPr>
          <w:p>
            <w:pPr>
              <w:spacing w:after="0"/>
              <w:rPr>
                <w:sz w:val="11"/>
                <w:szCs w:val="11"/>
                <w:color w:val="auto"/>
              </w:rPr>
            </w:pPr>
          </w:p>
        </w:tc>
        <w:tc>
          <w:tcPr>
            <w:tcW w:w="1200" w:type="dxa"/>
            <w:vAlign w:val="bottom"/>
          </w:tcPr>
          <w:p>
            <w:pPr>
              <w:jc w:val="center"/>
              <w:ind w:left="27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80" w:type="dxa"/>
            <w:vAlign w:val="bottom"/>
          </w:tcPr>
          <w:p>
            <w:pPr>
              <w:spacing w:after="0"/>
              <w:rPr>
                <w:sz w:val="11"/>
                <w:szCs w:val="11"/>
                <w:color w:val="auto"/>
              </w:rPr>
            </w:pPr>
          </w:p>
        </w:tc>
      </w:tr>
      <w:tr>
        <w:trPr>
          <w:trHeight w:val="149"/>
        </w:trPr>
        <w:tc>
          <w:tcPr>
            <w:tcW w:w="8360" w:type="dxa"/>
            <w:vAlign w:val="bottom"/>
          </w:tcPr>
          <w:p>
            <w:pPr>
              <w:spacing w:after="0"/>
              <w:rPr>
                <w:sz w:val="12"/>
                <w:szCs w:val="12"/>
                <w:color w:val="auto"/>
              </w:rPr>
            </w:pPr>
          </w:p>
        </w:tc>
        <w:tc>
          <w:tcPr>
            <w:tcW w:w="1140" w:type="dxa"/>
            <w:vAlign w:val="bottom"/>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300" w:type="dxa"/>
            <w:vAlign w:val="bottom"/>
          </w:tcPr>
          <w:p>
            <w:pPr>
              <w:spacing w:after="0"/>
              <w:rPr>
                <w:sz w:val="12"/>
                <w:szCs w:val="12"/>
                <w:color w:val="auto"/>
              </w:rPr>
            </w:pPr>
          </w:p>
        </w:tc>
        <w:tc>
          <w:tcPr>
            <w:tcW w:w="1200" w:type="dxa"/>
            <w:vAlign w:val="bottom"/>
          </w:tcPr>
          <w:p>
            <w:pPr>
              <w:jc w:val="right"/>
              <w:ind w:right="259"/>
              <w:spacing w:after="0"/>
              <w:rPr>
                <w:sz w:val="20"/>
                <w:szCs w:val="20"/>
                <w:color w:val="auto"/>
              </w:rPr>
            </w:pPr>
            <w:r>
              <w:rPr>
                <w:rFonts w:ascii="Times New Roman" w:cs="Times New Roman" w:eastAsia="Times New Roman" w:hAnsi="Times New Roman"/>
                <w:sz w:val="11"/>
                <w:szCs w:val="11"/>
                <w:b w:val="1"/>
                <w:bCs w:val="1"/>
                <w:color w:val="auto"/>
              </w:rPr>
              <w:t>2023</w:t>
            </w:r>
          </w:p>
        </w:tc>
        <w:tc>
          <w:tcPr>
            <w:tcW w:w="280" w:type="dxa"/>
            <w:vAlign w:val="bottom"/>
          </w:tcPr>
          <w:p>
            <w:pPr>
              <w:spacing w:after="0"/>
              <w:rPr>
                <w:sz w:val="12"/>
                <w:szCs w:val="12"/>
                <w:color w:val="auto"/>
              </w:rPr>
            </w:pPr>
          </w:p>
        </w:tc>
      </w:tr>
      <w:tr>
        <w:trPr>
          <w:trHeight w:val="30"/>
        </w:trPr>
        <w:tc>
          <w:tcPr>
            <w:tcW w:w="8360" w:type="dxa"/>
            <w:vAlign w:val="bottom"/>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151"/>
        </w:trPr>
        <w:tc>
          <w:tcPr>
            <w:tcW w:w="8360" w:type="dxa"/>
            <w:vAlign w:val="bottom"/>
          </w:tcPr>
          <w:p>
            <w:pPr>
              <w:spacing w:after="0"/>
              <w:rPr>
                <w:sz w:val="13"/>
                <w:szCs w:val="13"/>
                <w:color w:val="auto"/>
              </w:rPr>
            </w:pPr>
          </w:p>
        </w:tc>
        <w:tc>
          <w:tcPr>
            <w:tcW w:w="2640" w:type="dxa"/>
            <w:vAlign w:val="bottom"/>
            <w:gridSpan w:val="3"/>
          </w:tcPr>
          <w:p>
            <w:pPr>
              <w:jc w:val="right"/>
              <w:ind w:right="63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80" w:type="dxa"/>
            <w:vAlign w:val="bottom"/>
          </w:tcPr>
          <w:p>
            <w:pPr>
              <w:spacing w:after="0"/>
              <w:rPr>
                <w:sz w:val="13"/>
                <w:szCs w:val="13"/>
                <w:color w:val="auto"/>
              </w:rPr>
            </w:pPr>
          </w:p>
        </w:tc>
      </w:tr>
      <w:tr>
        <w:trPr>
          <w:trHeight w:val="212"/>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Receivables sold but not yet collected by the bank from the customer</w:t>
            </w:r>
          </w:p>
        </w:tc>
        <w:tc>
          <w:tcPr>
            <w:tcW w:w="1140" w:type="dxa"/>
            <w:vAlign w:val="bottom"/>
            <w:shd w:val="clear" w:color="auto" w:fill="CFF0FC"/>
          </w:tcPr>
          <w:p>
            <w:pPr>
              <w:jc w:val="right"/>
              <w:ind w:right="100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4</w:t>
            </w:r>
          </w:p>
        </w:tc>
        <w:tc>
          <w:tcPr>
            <w:tcW w:w="120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1"/>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bank notes sold but not yet collected by the bank from the customer</w:t>
            </w:r>
          </w:p>
        </w:tc>
        <w:tc>
          <w:tcPr>
            <w:tcW w:w="1140" w:type="dxa"/>
            <w:vAlign w:val="bottom"/>
          </w:tcPr>
          <w:p>
            <w:pPr>
              <w:spacing w:after="0"/>
              <w:rPr>
                <w:sz w:val="16"/>
                <w:szCs w:val="16"/>
                <w:color w:val="auto"/>
              </w:rPr>
            </w:pPr>
          </w:p>
        </w:tc>
        <w:tc>
          <w:tcPr>
            <w:tcW w:w="3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41</w:t>
            </w:r>
          </w:p>
        </w:tc>
        <w:tc>
          <w:tcPr>
            <w:tcW w:w="12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September 30, 2024 and December 31, 2023, the Company had no guaranteed bank notes pledged as collateral.</w:t>
      </w:r>
    </w:p>
    <w:p>
      <w:pPr>
        <w:spacing w:after="0" w:line="200" w:lineRule="exact"/>
        <w:rPr>
          <w:sz w:val="20"/>
          <w:szCs w:val="20"/>
          <w:color w:val="auto"/>
        </w:rPr>
      </w:pPr>
    </w:p>
    <w:p>
      <w:pPr>
        <w:spacing w:after="0" w:line="2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92"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Note 8. Inventories—Net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440" w:type="dxa"/>
            <w:vAlign w:val="bottom"/>
          </w:tcPr>
          <w:p>
            <w:pPr>
              <w:spacing w:after="0"/>
              <w:rPr>
                <w:sz w:val="12"/>
                <w:szCs w:val="12"/>
                <w:color w:val="auto"/>
              </w:rPr>
            </w:pPr>
          </w:p>
        </w:tc>
        <w:tc>
          <w:tcPr>
            <w:tcW w:w="1140" w:type="dxa"/>
            <w:vAlign w:val="bottom"/>
          </w:tcPr>
          <w:p>
            <w:pPr>
              <w:jc w:val="center"/>
              <w:ind w:right="37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9"/>
        </w:trPr>
        <w:tc>
          <w:tcPr>
            <w:tcW w:w="80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372"/>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61"/>
        </w:trPr>
        <w:tc>
          <w:tcPr>
            <w:tcW w:w="8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26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19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 in process</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Finished products</w:t>
            </w:r>
          </w:p>
        </w:tc>
        <w:tc>
          <w:tcPr>
            <w:tcW w:w="2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93"/>
        </w:trPr>
        <w:tc>
          <w:tcPr>
            <w:tcW w:w="8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20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Less—Reserves</w:t>
            </w:r>
          </w:p>
        </w:tc>
        <w:tc>
          <w:tcPr>
            <w:tcW w:w="2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89"/>
        </w:trPr>
        <w:tc>
          <w:tcPr>
            <w:tcW w:w="8000" w:type="dxa"/>
            <w:vAlign w:val="bottom"/>
          </w:tcPr>
          <w:p>
            <w:pPr>
              <w:spacing w:after="0"/>
              <w:rPr>
                <w:sz w:val="16"/>
                <w:szCs w:val="16"/>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21"/>
        </w:trPr>
        <w:tc>
          <w:tcPr>
            <w:tcW w:w="8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9. Other Assets</w:t>
            </w: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5"/>
        </w:trPr>
        <w:tc>
          <w:tcPr>
            <w:tcW w:w="80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8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440" w:type="dxa"/>
            <w:vAlign w:val="bottom"/>
          </w:tcPr>
          <w:p>
            <w:pPr>
              <w:spacing w:after="0"/>
              <w:rPr>
                <w:sz w:val="13"/>
                <w:szCs w:val="13"/>
                <w:color w:val="auto"/>
              </w:rPr>
            </w:pPr>
          </w:p>
        </w:tc>
        <w:tc>
          <w:tcPr>
            <w:tcW w:w="1140" w:type="dxa"/>
            <w:vAlign w:val="bottom"/>
          </w:tcPr>
          <w:p>
            <w:pPr>
              <w:jc w:val="center"/>
              <w:ind w:right="37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9"/>
        </w:trPr>
        <w:tc>
          <w:tcPr>
            <w:tcW w:w="80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372"/>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61"/>
        </w:trPr>
        <w:tc>
          <w:tcPr>
            <w:tcW w:w="8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Advanced discounts to customers, non-current</w:t>
            </w:r>
          </w:p>
        </w:tc>
        <w:tc>
          <w:tcPr>
            <w:tcW w:w="26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9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right-of-use assets (Note 13)</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receivable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Pension and other employee related</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 designated as net investment hedges (Note 16)</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Designated and undesignated derivatives (Note 16)</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3"/>
        </w:trPr>
        <w:tc>
          <w:tcPr>
            <w:tcW w:w="8000" w:type="dxa"/>
            <w:vAlign w:val="bottom"/>
          </w:tcPr>
          <w:p>
            <w:pPr>
              <w:spacing w:after="0"/>
              <w:rPr>
                <w:sz w:val="16"/>
                <w:szCs w:val="16"/>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Supplier Financing</w:t>
      </w:r>
    </w:p>
    <w:p>
      <w:pPr>
        <w:spacing w:after="0" w:line="160" w:lineRule="exact"/>
        <w:rPr>
          <w:sz w:val="20"/>
          <w:szCs w:val="20"/>
          <w:color w:val="auto"/>
        </w:rPr>
      </w:pPr>
    </w:p>
    <w:p>
      <w:pPr>
        <w:jc w:val="both"/>
        <w:ind w:firstLine="319"/>
        <w:spacing w:after="0" w:line="265" w:lineRule="auto"/>
        <w:rPr>
          <w:sz w:val="20"/>
          <w:szCs w:val="20"/>
          <w:color w:val="auto"/>
        </w:rPr>
      </w:pPr>
      <w:r>
        <w:rPr>
          <w:rFonts w:ascii="Times New Roman" w:cs="Times New Roman" w:eastAsia="Times New Roman" w:hAnsi="Times New Roman"/>
          <w:sz w:val="14"/>
          <w:szCs w:val="14"/>
          <w:color w:val="auto"/>
        </w:rPr>
        <w:t>The Company has supplier financing arrangements with two third-party financial institutions under which certain suppliers may factor their receivables from Garrett. The Company also enters into arrangements with banking institutions to issue bankers acceptance drafts in settlement of accounts payables, primarily in the Asia Pacific region. The bankers acceptance drafts, or guaranteed bank notes, have a contractual maturity of six months or less, and may be held by suppliers until maturity, transferred to their suppliers, or discounted with financial institutions in exchange for cash. The supplier financing obligations and guaranteed bank notes outstanding are recorded within Accounts payable in our Consolidated Interim Balance Sheet.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8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195"/>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40" w:type="dxa"/>
            <w:vAlign w:val="bottom"/>
          </w:tcPr>
          <w:p>
            <w:pPr>
              <w:spacing w:after="0"/>
              <w:rPr>
                <w:sz w:val="12"/>
                <w:szCs w:val="12"/>
                <w:color w:val="auto"/>
              </w:rPr>
            </w:pPr>
          </w:p>
        </w:tc>
        <w:tc>
          <w:tcPr>
            <w:tcW w:w="1120" w:type="dxa"/>
            <w:vAlign w:val="bottom"/>
          </w:tcPr>
          <w:p>
            <w:pPr>
              <w:jc w:val="center"/>
              <w:ind w:right="374"/>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4"/>
        </w:trPr>
        <w:tc>
          <w:tcPr>
            <w:tcW w:w="48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37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7"/>
        </w:trPr>
        <w:tc>
          <w:tcPr>
            <w:tcW w:w="48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Pr>
          <w:p>
            <w:pPr>
              <w:spacing w:after="0"/>
              <w:rPr>
                <w:sz w:val="13"/>
                <w:szCs w:val="13"/>
                <w:color w:val="auto"/>
              </w:rPr>
            </w:pPr>
          </w:p>
        </w:tc>
      </w:tr>
      <w:tr>
        <w:trPr>
          <w:trHeight w:val="212"/>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Supplier financing obligations outstanding with financial institutions</w:t>
            </w:r>
          </w:p>
        </w:tc>
        <w:tc>
          <w:tcPr>
            <w:tcW w:w="3180" w:type="dxa"/>
            <w:vAlign w:val="bottom"/>
            <w:shd w:val="clear" w:color="auto" w:fill="CFF0FC"/>
          </w:tcPr>
          <w:p>
            <w:pPr>
              <w:spacing w:after="0"/>
              <w:rPr>
                <w:sz w:val="18"/>
                <w:szCs w:val="18"/>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540" w:type="dxa"/>
            <w:vAlign w:val="bottom"/>
            <w:shd w:val="clear" w:color="auto" w:fill="CFF0FC"/>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91"/>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bank notes outstanding</w:t>
            </w:r>
          </w:p>
        </w:tc>
        <w:tc>
          <w:tcPr>
            <w:tcW w:w="3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5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r>
      <w:tr>
        <w:trPr>
          <w:trHeight w:val="394"/>
        </w:trPr>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11. Accrued Liabilities</w:t>
            </w:r>
          </w:p>
        </w:tc>
        <w:tc>
          <w:tcPr>
            <w:tcW w:w="3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28"/>
        </w:trPr>
        <w:tc>
          <w:tcPr>
            <w:tcW w:w="488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40" w:type="dxa"/>
            <w:vAlign w:val="bottom"/>
          </w:tcPr>
          <w:p>
            <w:pPr>
              <w:spacing w:after="0"/>
              <w:rPr>
                <w:sz w:val="11"/>
                <w:szCs w:val="11"/>
                <w:color w:val="auto"/>
              </w:rPr>
            </w:pPr>
          </w:p>
        </w:tc>
        <w:tc>
          <w:tcPr>
            <w:tcW w:w="1120" w:type="dxa"/>
            <w:vAlign w:val="bottom"/>
          </w:tcPr>
          <w:p>
            <w:pPr>
              <w:jc w:val="center"/>
              <w:ind w:right="374"/>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4"/>
        </w:trPr>
        <w:tc>
          <w:tcPr>
            <w:tcW w:w="48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5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37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7"/>
        </w:trPr>
        <w:tc>
          <w:tcPr>
            <w:tcW w:w="48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Pr>
          <w:p>
            <w:pPr>
              <w:spacing w:after="0"/>
              <w:rPr>
                <w:sz w:val="13"/>
                <w:szCs w:val="13"/>
                <w:color w:val="auto"/>
              </w:rPr>
            </w:pPr>
          </w:p>
        </w:tc>
      </w:tr>
      <w:tr>
        <w:trPr>
          <w:trHeight w:val="212"/>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Customer pricing reserve</w:t>
            </w:r>
          </w:p>
        </w:tc>
        <w:tc>
          <w:tcPr>
            <w:tcW w:w="3440" w:type="dxa"/>
            <w:vAlign w:val="bottom"/>
            <w:gridSpan w:val="2"/>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540" w:type="dxa"/>
            <w:vAlign w:val="bottom"/>
            <w:shd w:val="clear" w:color="auto" w:fill="CFF0FC"/>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97"/>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benefit and other employee related</w:t>
            </w:r>
          </w:p>
        </w:tc>
        <w:tc>
          <w:tcPr>
            <w:tcW w:w="3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5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08"/>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Repositioning</w:t>
            </w:r>
          </w:p>
        </w:tc>
        <w:tc>
          <w:tcPr>
            <w:tcW w:w="3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7"/>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Product warranties and performance guarantees - short-term (Note 19)</w:t>
            </w:r>
          </w:p>
        </w:tc>
        <w:tc>
          <w:tcPr>
            <w:tcW w:w="3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5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8"/>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and other taxes</w:t>
            </w:r>
          </w:p>
        </w:tc>
        <w:tc>
          <w:tcPr>
            <w:tcW w:w="3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91"/>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Customer advances and deferred income </w:t>
            </w:r>
            <w:r>
              <w:rPr>
                <w:rFonts w:ascii="Times New Roman" w:cs="Times New Roman" w:eastAsia="Times New Roman" w:hAnsi="Times New Roman"/>
                <w:sz w:val="22"/>
                <w:szCs w:val="22"/>
                <w:color w:val="auto"/>
                <w:vertAlign w:val="superscript"/>
              </w:rPr>
              <w:t>(1)</w:t>
            </w:r>
          </w:p>
        </w:tc>
        <w:tc>
          <w:tcPr>
            <w:tcW w:w="3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5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444"/>
        </w:trPr>
        <w:tc>
          <w:tcPr>
            <w:tcW w:w="4880" w:type="dxa"/>
            <w:vAlign w:val="bottom"/>
          </w:tcPr>
          <w:p>
            <w:pPr>
              <w:spacing w:after="0"/>
              <w:rPr>
                <w:sz w:val="24"/>
                <w:szCs w:val="24"/>
                <w:color w:val="auto"/>
              </w:rPr>
            </w:pPr>
          </w:p>
        </w:tc>
        <w:tc>
          <w:tcPr>
            <w:tcW w:w="3180" w:type="dxa"/>
            <w:vAlign w:val="bottom"/>
          </w:tcPr>
          <w:p>
            <w:pPr>
              <w:jc w:val="right"/>
              <w:ind w:right="2129"/>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8"/>
        </w:trPr>
        <w:tc>
          <w:tcPr>
            <w:tcW w:w="4880" w:type="dxa"/>
            <w:vAlign w:val="bottom"/>
            <w:tcBorders>
              <w:bottom w:val="single" w:sz="8" w:color="9A9A9A"/>
            </w:tcBorders>
          </w:tcPr>
          <w:p>
            <w:pPr>
              <w:spacing w:after="0"/>
              <w:rPr>
                <w:sz w:val="23"/>
                <w:szCs w:val="23"/>
                <w:color w:val="auto"/>
              </w:rPr>
            </w:pPr>
          </w:p>
        </w:tc>
        <w:tc>
          <w:tcPr>
            <w:tcW w:w="3180" w:type="dxa"/>
            <w:vAlign w:val="bottom"/>
            <w:tcBorders>
              <w:bottom w:val="single" w:sz="8" w:color="9A9A9A"/>
            </w:tcBorders>
          </w:tcPr>
          <w:p>
            <w:pPr>
              <w:spacing w:after="0"/>
              <w:rPr>
                <w:sz w:val="23"/>
                <w:szCs w:val="23"/>
                <w:color w:val="auto"/>
              </w:rPr>
            </w:pPr>
          </w:p>
        </w:tc>
        <w:tc>
          <w:tcPr>
            <w:tcW w:w="260" w:type="dxa"/>
            <w:vAlign w:val="bottom"/>
            <w:tcBorders>
              <w:bottom w:val="single" w:sz="8" w:color="9A9A9A"/>
            </w:tcBorders>
          </w:tcPr>
          <w:p>
            <w:pPr>
              <w:spacing w:after="0"/>
              <w:rPr>
                <w:sz w:val="23"/>
                <w:szCs w:val="23"/>
                <w:color w:val="auto"/>
              </w:rPr>
            </w:pPr>
          </w:p>
        </w:tc>
        <w:tc>
          <w:tcPr>
            <w:tcW w:w="1300" w:type="dxa"/>
            <w:vAlign w:val="bottom"/>
            <w:tcBorders>
              <w:bottom w:val="single" w:sz="8" w:color="9A9A9A"/>
            </w:tcBorders>
          </w:tcPr>
          <w:p>
            <w:pPr>
              <w:spacing w:after="0"/>
              <w:rPr>
                <w:sz w:val="23"/>
                <w:szCs w:val="23"/>
                <w:color w:val="auto"/>
              </w:rPr>
            </w:pPr>
          </w:p>
        </w:tc>
        <w:tc>
          <w:tcPr>
            <w:tcW w:w="540" w:type="dxa"/>
            <w:vAlign w:val="bottom"/>
            <w:tcBorders>
              <w:bottom w:val="single" w:sz="8" w:color="9A9A9A"/>
            </w:tcBorders>
          </w:tcPr>
          <w:p>
            <w:pPr>
              <w:spacing w:after="0"/>
              <w:rPr>
                <w:sz w:val="23"/>
                <w:szCs w:val="23"/>
                <w:color w:val="auto"/>
              </w:rPr>
            </w:pPr>
          </w:p>
        </w:tc>
        <w:tc>
          <w:tcPr>
            <w:tcW w:w="11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2"/>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97"/>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lease liability (Note 13)</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8"/>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freight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7"/>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Designated and undesignated derivatives (Note 16)</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08"/>
        </w:trPr>
        <w:tc>
          <w:tcPr>
            <w:tcW w:w="8060" w:type="dxa"/>
            <w:vAlign w:val="bottom"/>
            <w:shd w:val="clear" w:color="auto" w:fill="CCEEFF"/>
          </w:tcPr>
          <w:p>
            <w:pPr>
              <w:ind w:left="20"/>
              <w:spacing w:after="0" w:line="208" w:lineRule="exact"/>
              <w:rPr>
                <w:sz w:val="20"/>
                <w:szCs w:val="20"/>
                <w:color w:val="auto"/>
              </w:rPr>
            </w:pPr>
            <w:r>
              <w:rPr>
                <w:rFonts w:ascii="Times New Roman" w:cs="Times New Roman" w:eastAsia="Times New Roman" w:hAnsi="Times New Roman"/>
                <w:sz w:val="14"/>
                <w:szCs w:val="14"/>
                <w:color w:val="auto"/>
              </w:rPr>
              <w:t xml:space="preserve">Other (primarily operating expenses) </w:t>
            </w:r>
            <w:r>
              <w:rPr>
                <w:rFonts w:ascii="Times New Roman" w:cs="Times New Roman" w:eastAsia="Times New Roman" w:hAnsi="Times New Roman"/>
                <w:sz w:val="22"/>
                <w:szCs w:val="22"/>
                <w:color w:val="auto"/>
                <w:vertAlign w:val="superscript"/>
              </w:rPr>
              <w:t>(2)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7"/>
        </w:trPr>
        <w:tc>
          <w:tcPr>
            <w:tcW w:w="8060" w:type="dxa"/>
            <w:vAlign w:val="bottom"/>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8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20"/>
        </w:trPr>
        <w:tc>
          <w:tcPr>
            <w:tcW w:w="80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left="580" w:hanging="255"/>
        <w:spacing w:after="0" w:line="292" w:lineRule="auto"/>
        <w:tabs>
          <w:tab w:leader="none" w:pos="575"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Customer advances and deferred income include $9 million and $9 million of contract liabilities as of September 30, 2024 and December 31, 2023, respectively. See Note 3, </w:t>
      </w:r>
      <w:r>
        <w:rPr>
          <w:rFonts w:ascii="Times New Roman" w:cs="Times New Roman" w:eastAsia="Times New Roman" w:hAnsi="Times New Roman"/>
          <w:sz w:val="14"/>
          <w:szCs w:val="14"/>
          <w:i w:val="1"/>
          <w:iCs w:val="1"/>
          <w:color w:val="auto"/>
        </w:rPr>
        <w:t>Revenue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Recognition and Contracts with Customers</w:t>
      </w:r>
      <w:r>
        <w:rPr>
          <w:rFonts w:ascii="Times New Roman" w:cs="Times New Roman" w:eastAsia="Times New Roman" w:hAnsi="Times New Roman"/>
          <w:sz w:val="14"/>
          <w:szCs w:val="14"/>
          <w:color w:val="auto"/>
        </w:rPr>
        <w:t>.</w:t>
      </w:r>
    </w:p>
    <w:p>
      <w:pPr>
        <w:spacing w:after="0" w:line="100" w:lineRule="exact"/>
        <w:rPr>
          <w:rFonts w:ascii="Times New Roman" w:cs="Times New Roman" w:eastAsia="Times New Roman" w:hAnsi="Times New Roman"/>
          <w:sz w:val="14"/>
          <w:szCs w:val="14"/>
          <w:color w:val="auto"/>
        </w:rPr>
      </w:pPr>
    </w:p>
    <w:p>
      <w:pPr>
        <w:ind w:left="580" w:hanging="255"/>
        <w:spacing w:after="0"/>
        <w:tabs>
          <w:tab w:leader="none" w:pos="5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 million and $5 million of environmental liabilities as of September 30, 2024 and December 31, 2023, respectively.</w:t>
      </w:r>
    </w:p>
    <w:p>
      <w:pPr>
        <w:spacing w:after="0" w:line="148"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The Company accrues repositioning costs related to projects to optimize its product costs and right-size our organizational structure. Expenses related to the repositioning accruals are included in Cost of goods sold and Selling, general and administrative expenses in our Consolidated Interim Statements of Operations.</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summarize the activity in our repositioning accrual:</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Severance Costs</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center"/>
              <w:ind w:left="75"/>
              <w:spacing w:after="0"/>
              <w:rPr>
                <w:sz w:val="20"/>
                <w:szCs w:val="20"/>
                <w:color w:val="auto"/>
              </w:rPr>
            </w:pPr>
            <w:r>
              <w:rPr>
                <w:rFonts w:ascii="Times New Roman" w:cs="Times New Roman" w:eastAsia="Times New Roman" w:hAnsi="Times New Roman"/>
                <w:sz w:val="11"/>
                <w:szCs w:val="11"/>
                <w:b w:val="1"/>
                <w:bCs w:val="1"/>
                <w:color w:val="auto"/>
              </w:rPr>
              <w:t>Other Costs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1"/>
        </w:trPr>
        <w:tc>
          <w:tcPr>
            <w:tcW w:w="48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left="55"/>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2020" w:type="dxa"/>
            <w:vAlign w:val="bottom"/>
            <w:shd w:val="clear" w:color="auto" w:fill="CCEEFF"/>
          </w:tcPr>
          <w:p>
            <w:pPr>
              <w:spacing w:after="0"/>
              <w:rPr>
                <w:sz w:val="18"/>
                <w:szCs w:val="18"/>
                <w:color w:val="auto"/>
              </w:rPr>
            </w:pPr>
          </w:p>
        </w:tc>
        <w:tc>
          <w:tcPr>
            <w:tcW w:w="1120" w:type="dxa"/>
            <w:vAlign w:val="bottom"/>
            <w:shd w:val="clear" w:color="auto" w:fill="CFF0FC"/>
          </w:tcPr>
          <w:p>
            <w:pPr>
              <w:jc w:val="right"/>
              <w:ind w:right="976"/>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spacing w:after="0"/>
              <w:rPr>
                <w:sz w:val="18"/>
                <w:szCs w:val="18"/>
                <w:color w:val="auto"/>
              </w:rPr>
            </w:pPr>
          </w:p>
        </w:tc>
        <w:tc>
          <w:tcPr>
            <w:tcW w:w="2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Charges</w:t>
            </w:r>
          </w:p>
        </w:tc>
        <w:tc>
          <w:tcPr>
            <w:tcW w:w="2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Usage—cash</w:t>
            </w:r>
          </w:p>
        </w:tc>
        <w:tc>
          <w:tcPr>
            <w:tcW w:w="2020" w:type="dxa"/>
            <w:vAlign w:val="bottom"/>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2020" w:type="dxa"/>
            <w:vAlign w:val="bottom"/>
          </w:tcPr>
          <w:p>
            <w:pPr>
              <w:spacing w:after="0"/>
              <w:rPr>
                <w:sz w:val="16"/>
                <w:szCs w:val="16"/>
                <w:color w:val="auto"/>
              </w:rPr>
            </w:pPr>
          </w:p>
        </w:tc>
        <w:tc>
          <w:tcPr>
            <w:tcW w:w="112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8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Severance Costs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jc w:val="center"/>
              <w:ind w:left="75"/>
              <w:spacing w:after="0"/>
              <w:rPr>
                <w:sz w:val="20"/>
                <w:szCs w:val="20"/>
                <w:color w:val="auto"/>
              </w:rPr>
            </w:pPr>
            <w:r>
              <w:rPr>
                <w:rFonts w:ascii="Times New Roman" w:cs="Times New Roman" w:eastAsia="Times New Roman" w:hAnsi="Times New Roman"/>
                <w:sz w:val="11"/>
                <w:szCs w:val="11"/>
                <w:b w:val="1"/>
                <w:bCs w:val="1"/>
                <w:color w:val="auto"/>
              </w:rPr>
              <w:t>Other Costs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1"/>
        </w:trPr>
        <w:tc>
          <w:tcPr>
            <w:tcW w:w="48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left="55"/>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3140" w:type="dxa"/>
            <w:vAlign w:val="bottom"/>
            <w:gridSpan w:val="2"/>
            <w:shd w:val="clear" w:color="auto" w:fill="CCEEFF"/>
          </w:tcPr>
          <w:p>
            <w:pPr>
              <w:jc w:val="right"/>
              <w:ind w:right="976"/>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Charges</w:t>
            </w:r>
          </w:p>
        </w:tc>
        <w:tc>
          <w:tcPr>
            <w:tcW w:w="2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Usage—cash</w:t>
            </w:r>
          </w:p>
        </w:tc>
        <w:tc>
          <w:tcPr>
            <w:tcW w:w="20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Non-cash asset write-offs</w:t>
            </w:r>
          </w:p>
        </w:tc>
        <w:tc>
          <w:tcPr>
            <w:tcW w:w="20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w w:val="97"/>
              </w:rPr>
              <w:t>(2)</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2023</w:t>
            </w:r>
          </w:p>
        </w:tc>
        <w:tc>
          <w:tcPr>
            <w:tcW w:w="3140" w:type="dxa"/>
            <w:vAlign w:val="bottom"/>
            <w:gridSpan w:val="2"/>
            <w:shd w:val="clear" w:color="auto" w:fill="CCEEFF"/>
          </w:tcPr>
          <w:p>
            <w:pPr>
              <w:jc w:val="right"/>
              <w:ind w:right="976"/>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12. Other Liabilities</w:t>
            </w:r>
          </w:p>
        </w:tc>
        <w:tc>
          <w:tcPr>
            <w:tcW w:w="20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4860" w:type="dxa"/>
            <w:vAlign w:val="bottom"/>
            <w:vMerge w:val="continue"/>
          </w:tcPr>
          <w:p>
            <w:pPr>
              <w:spacing w:after="0"/>
              <w:rPr>
                <w:sz w:val="24"/>
                <w:szCs w:val="24"/>
                <w:color w:val="auto"/>
              </w:rPr>
            </w:pPr>
          </w:p>
        </w:tc>
        <w:tc>
          <w:tcPr>
            <w:tcW w:w="2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8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ind w:right="355"/>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3"/>
        </w:trPr>
        <w:tc>
          <w:tcPr>
            <w:tcW w:w="48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20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4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Designated and undesignated derivatives (Note 16)</w:t>
            </w:r>
          </w:p>
        </w:tc>
        <w:tc>
          <w:tcPr>
            <w:tcW w:w="2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and other employee related</w:t>
            </w:r>
          </w:p>
        </w:tc>
        <w:tc>
          <w:tcPr>
            <w:tcW w:w="2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lease liability (Note 13)</w:t>
            </w:r>
          </w:p>
        </w:tc>
        <w:tc>
          <w:tcPr>
            <w:tcW w:w="2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discounts from suppliers</w:t>
            </w:r>
          </w:p>
        </w:tc>
        <w:tc>
          <w:tcPr>
            <w:tcW w:w="2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Product warranties and performance guarantees – long-term (Note 19)</w:t>
            </w:r>
          </w:p>
        </w:tc>
        <w:tc>
          <w:tcPr>
            <w:tcW w:w="2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Environmental remediation – long term</w:t>
            </w:r>
          </w:p>
        </w:tc>
        <w:tc>
          <w:tcPr>
            <w:tcW w:w="2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accounts payable</w:t>
            </w:r>
          </w:p>
        </w:tc>
        <w:tc>
          <w:tcPr>
            <w:tcW w:w="2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2020" w:type="dxa"/>
            <w:vAlign w:val="bottom"/>
            <w:vMerge w:val="restart"/>
          </w:tcPr>
          <w:p>
            <w:pPr>
              <w:jc w:val="right"/>
              <w:ind w:right="949"/>
              <w:spacing w:after="0"/>
              <w:rPr>
                <w:sz w:val="20"/>
                <w:szCs w:val="20"/>
                <w:color w:val="auto"/>
              </w:rPr>
            </w:pPr>
            <w:r>
              <w:rPr>
                <w:rFonts w:ascii="Times New Roman" w:cs="Times New Roman" w:eastAsia="Times New Roman" w:hAnsi="Times New Roman"/>
                <w:sz w:val="14"/>
                <w:szCs w:val="14"/>
                <w:color w:val="auto"/>
              </w:rPr>
              <w:t>13</w:t>
            </w:r>
          </w:p>
        </w:tc>
        <w:tc>
          <w:tcPr>
            <w:tcW w:w="1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14"/>
        </w:trPr>
        <w:tc>
          <w:tcPr>
            <w:tcW w:w="486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860" w:type="dxa"/>
            <w:vAlign w:val="bottom"/>
            <w:tcBorders>
              <w:bottom w:val="single" w:sz="8" w:color="9A9A9A"/>
            </w:tcBorders>
          </w:tcPr>
          <w:p>
            <w:pPr>
              <w:spacing w:after="0"/>
              <w:rPr>
                <w:sz w:val="23"/>
                <w:szCs w:val="23"/>
                <w:color w:val="auto"/>
              </w:rPr>
            </w:pPr>
          </w:p>
        </w:tc>
        <w:tc>
          <w:tcPr>
            <w:tcW w:w="2020" w:type="dxa"/>
            <w:vAlign w:val="bottom"/>
            <w:tcBorders>
              <w:bottom w:val="single" w:sz="8" w:color="9A9A9A"/>
            </w:tcBorders>
          </w:tcPr>
          <w:p>
            <w:pPr>
              <w:spacing w:after="0"/>
              <w:rPr>
                <w:sz w:val="23"/>
                <w:szCs w:val="23"/>
                <w:color w:val="auto"/>
              </w:rPr>
            </w:pPr>
          </w:p>
        </w:tc>
        <w:tc>
          <w:tcPr>
            <w:tcW w:w="1120" w:type="dxa"/>
            <w:vAlign w:val="bottom"/>
            <w:tcBorders>
              <w:bottom w:val="single" w:sz="8" w:color="9A9A9A"/>
            </w:tcBorders>
          </w:tcPr>
          <w:p>
            <w:pPr>
              <w:spacing w:after="0"/>
              <w:rPr>
                <w:sz w:val="23"/>
                <w:szCs w:val="23"/>
                <w:color w:val="auto"/>
              </w:rPr>
            </w:pPr>
          </w:p>
        </w:tc>
        <w:tc>
          <w:tcPr>
            <w:tcW w:w="28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11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280" w:type="dxa"/>
            <w:vAlign w:val="bottom"/>
            <w:tcBorders>
              <w:bottom w:val="single" w:sz="8" w:color="9A9A9A"/>
            </w:tcBorders>
          </w:tcPr>
          <w:p>
            <w:pPr>
              <w:spacing w:after="0"/>
              <w:rPr>
                <w:sz w:val="23"/>
                <w:szCs w:val="23"/>
                <w:color w:val="auto"/>
              </w:rPr>
            </w:pPr>
          </w:p>
        </w:tc>
        <w:tc>
          <w:tcPr>
            <w:tcW w:w="112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0"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Note 13. Leases</w:t>
      </w:r>
    </w:p>
    <w:p>
      <w:pPr>
        <w:spacing w:after="0" w:line="16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We have operating leases that primarily consist of real estate, machinery, and equipment. As of September 30, 2024, the Company has not identified any material finance leases. Our leases have remaining lease terms of up to 15 years, some of which include options to extend the leases for up to two years, and some of which include options to terminate the leases within the year.</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components of lease expense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2"/>
          </w:tcPr>
          <w:p>
            <w:pPr>
              <w:jc w:val="center"/>
              <w:ind w:right="39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20" w:type="dxa"/>
            <w:vAlign w:val="bottom"/>
          </w:tcPr>
          <w:p>
            <w:pPr>
              <w:spacing w:after="0"/>
              <w:rPr>
                <w:sz w:val="11"/>
                <w:szCs w:val="11"/>
                <w:color w:val="auto"/>
              </w:rPr>
            </w:pPr>
          </w:p>
        </w:tc>
      </w:tr>
      <w:tr>
        <w:trPr>
          <w:trHeight w:val="159"/>
        </w:trPr>
        <w:tc>
          <w:tcPr>
            <w:tcW w:w="46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center"/>
              <w:ind w:right="39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20" w:type="dxa"/>
            <w:vAlign w:val="bottom"/>
            <w:tcBorders>
              <w:bottom w:val="single" w:sz="8" w:color="auto"/>
            </w:tcBorders>
          </w:tcPr>
          <w:p>
            <w:pPr>
              <w:spacing w:after="0"/>
              <w:rPr>
                <w:sz w:val="13"/>
                <w:szCs w:val="13"/>
                <w:color w:val="auto"/>
              </w:rPr>
            </w:pPr>
          </w:p>
        </w:tc>
      </w:tr>
      <w:tr>
        <w:trPr>
          <w:trHeight w:val="161"/>
        </w:trPr>
        <w:tc>
          <w:tcPr>
            <w:tcW w:w="4680" w:type="dxa"/>
            <w:vAlign w:val="bottom"/>
          </w:tcPr>
          <w:p>
            <w:pPr>
              <w:spacing w:after="0"/>
              <w:rPr>
                <w:sz w:val="14"/>
                <w:szCs w:val="14"/>
                <w:color w:val="auto"/>
              </w:rPr>
            </w:pPr>
          </w:p>
        </w:tc>
        <w:tc>
          <w:tcPr>
            <w:tcW w:w="10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4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60" w:type="dxa"/>
            <w:vAlign w:val="bottom"/>
            <w:gridSpan w:val="3"/>
          </w:tcPr>
          <w:p>
            <w:pPr>
              <w:jc w:val="right"/>
              <w:ind w:right="516"/>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2"/>
        </w:trPr>
        <w:tc>
          <w:tcPr>
            <w:tcW w:w="4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Operating lease cost</w:t>
            </w:r>
          </w:p>
        </w:tc>
        <w:tc>
          <w:tcPr>
            <w:tcW w:w="102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4"/>
                <w:szCs w:val="14"/>
                <w:color w:val="auto"/>
              </w:rPr>
              <w:t>4</w:t>
            </w:r>
          </w:p>
        </w:tc>
        <w:tc>
          <w:tcPr>
            <w:tcW w:w="112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4"/>
                <w:szCs w:val="14"/>
                <w:color w:val="auto"/>
              </w:rPr>
              <w:t>11</w:t>
            </w:r>
          </w:p>
        </w:tc>
        <w:tc>
          <w:tcPr>
            <w:tcW w:w="640" w:type="dxa"/>
            <w:vAlign w:val="bottom"/>
            <w:shd w:val="clear" w:color="auto" w:fill="CFF0FC"/>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4"/>
                <w:szCs w:val="14"/>
                <w:color w:val="auto"/>
              </w:rPr>
              <w:t>12</w:t>
            </w: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Supplemental cash flow information related to operating leases is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20" w:type="dxa"/>
            <w:vAlign w:val="bottom"/>
            <w:gridSpan w:val="2"/>
          </w:tcPr>
          <w:p>
            <w:pPr>
              <w:jc w:val="center"/>
              <w:ind w:right="35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jc w:val="center"/>
              <w:ind w:right="35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4"/>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680" w:type="dxa"/>
            <w:vAlign w:val="bottom"/>
          </w:tcPr>
          <w:p>
            <w:pPr>
              <w:spacing w:after="0"/>
              <w:rPr>
                <w:sz w:val="14"/>
                <w:szCs w:val="14"/>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2023</w:t>
            </w: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60" w:type="dxa"/>
            <w:vAlign w:val="bottom"/>
            <w:gridSpan w:val="5"/>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cash outflows from operating leases</w:t>
            </w:r>
          </w:p>
        </w:tc>
        <w:tc>
          <w:tcPr>
            <w:tcW w:w="980" w:type="dxa"/>
            <w:vAlign w:val="bottom"/>
          </w:tcPr>
          <w:p>
            <w:pPr>
              <w:jc w:val="right"/>
              <w:ind w:right="83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100" w:type="dxa"/>
            <w:vAlign w:val="bottom"/>
          </w:tcPr>
          <w:p>
            <w:pPr>
              <w:jc w:val="right"/>
              <w:ind w:right="87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1100" w:type="dxa"/>
            <w:vAlign w:val="bottom"/>
            <w:gridSpan w:val="3"/>
          </w:tcPr>
          <w:p>
            <w:pPr>
              <w:jc w:val="right"/>
              <w:ind w:right="88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lease obligations:</w:t>
            </w: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leases</w:t>
            </w:r>
          </w:p>
        </w:tc>
        <w:tc>
          <w:tcPr>
            <w:tcW w:w="9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56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Supplemental balance sheet information related to operating leases is as follows:</w:t>
            </w: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0" w:type="dxa"/>
            <w:vAlign w:val="bottom"/>
          </w:tcPr>
          <w:p>
            <w:pPr>
              <w:spacing w:after="0"/>
              <w:rPr>
                <w:sz w:val="1"/>
                <w:szCs w:val="1"/>
                <w:color w:val="auto"/>
              </w:rPr>
            </w:pPr>
          </w:p>
        </w:tc>
      </w:tr>
      <w:tr>
        <w:trPr>
          <w:trHeight w:val="153"/>
        </w:trPr>
        <w:tc>
          <w:tcPr>
            <w:tcW w:w="4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90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liabilities</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39</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4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center"/>
              <w:ind w:left="183"/>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53"/>
        </w:trPr>
        <w:tc>
          <w:tcPr>
            <w:tcW w:w="4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46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(in years)</w:t>
            </w:r>
          </w:p>
        </w:tc>
        <w:tc>
          <w:tcPr>
            <w:tcW w:w="98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110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7"/>
        </w:trPr>
        <w:tc>
          <w:tcPr>
            <w:tcW w:w="56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Maturities of operating lease liabilities as of September 30, 2024 were as follows:</w:t>
            </w: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680" w:type="dxa"/>
            <w:vAlign w:val="bottom"/>
            <w:tcBorders>
              <w:bottom w:val="single" w:sz="8" w:color="CFF0FC"/>
            </w:tcBorders>
          </w:tcPr>
          <w:p>
            <w:pPr>
              <w:spacing w:after="0"/>
              <w:rPr>
                <w:sz w:val="15"/>
                <w:szCs w:val="15"/>
                <w:color w:val="auto"/>
              </w:rPr>
            </w:pPr>
          </w:p>
        </w:tc>
        <w:tc>
          <w:tcPr>
            <w:tcW w:w="980" w:type="dxa"/>
            <w:vAlign w:val="bottom"/>
            <w:tcBorders>
              <w:bottom w:val="single" w:sz="8" w:color="CFF0FC"/>
            </w:tcBorders>
          </w:tcPr>
          <w:p>
            <w:pPr>
              <w:spacing w:after="0"/>
              <w:rPr>
                <w:sz w:val="15"/>
                <w:szCs w:val="15"/>
                <w:color w:val="auto"/>
              </w:rPr>
            </w:pPr>
          </w:p>
        </w:tc>
        <w:tc>
          <w:tcPr>
            <w:tcW w:w="620" w:type="dxa"/>
            <w:vAlign w:val="bottom"/>
            <w:tcBorders>
              <w:bottom w:val="single" w:sz="8" w:color="CFF0FC"/>
            </w:tcBorders>
          </w:tcPr>
          <w:p>
            <w:pPr>
              <w:spacing w:after="0"/>
              <w:rPr>
                <w:sz w:val="15"/>
                <w:szCs w:val="15"/>
                <w:color w:val="auto"/>
              </w:rPr>
            </w:pPr>
          </w:p>
        </w:tc>
        <w:tc>
          <w:tcPr>
            <w:tcW w:w="1100" w:type="dxa"/>
            <w:vAlign w:val="bottom"/>
            <w:tcBorders>
              <w:bottom w:val="single" w:sz="8" w:color="CFF0FC"/>
            </w:tcBorders>
          </w:tcPr>
          <w:p>
            <w:pPr>
              <w:spacing w:after="0"/>
              <w:rPr>
                <w:sz w:val="15"/>
                <w:szCs w:val="15"/>
                <w:color w:val="auto"/>
              </w:rPr>
            </w:pPr>
          </w:p>
        </w:tc>
        <w:tc>
          <w:tcPr>
            <w:tcW w:w="44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20" w:type="dxa"/>
            <w:vAlign w:val="bottom"/>
            <w:tcBorders>
              <w:bottom w:val="single" w:sz="8" w:color="CFF0FC"/>
            </w:tcBorders>
          </w:tcPr>
          <w:p>
            <w:pPr>
              <w:spacing w:after="0"/>
              <w:rPr>
                <w:sz w:val="15"/>
                <w:szCs w:val="15"/>
                <w:color w:val="auto"/>
              </w:rPr>
            </w:pPr>
          </w:p>
        </w:tc>
        <w:tc>
          <w:tcPr>
            <w:tcW w:w="46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48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0" w:type="dxa"/>
            <w:vAlign w:val="bottom"/>
          </w:tcPr>
          <w:p>
            <w:pPr>
              <w:spacing w:after="0"/>
              <w:rPr>
                <w:sz w:val="1"/>
                <w:szCs w:val="1"/>
                <w:color w:val="auto"/>
              </w:rPr>
            </w:pPr>
          </w:p>
        </w:tc>
      </w:tr>
      <w:tr>
        <w:trPr>
          <w:trHeight w:val="202"/>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203"/>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6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980" w:type="dxa"/>
            <w:vAlign w:val="bottom"/>
            <w:tcBorders>
              <w:bottom w:val="single" w:sz="8" w:color="CFF0FC"/>
            </w:tcBorders>
          </w:tcPr>
          <w:p>
            <w:pPr>
              <w:spacing w:after="0"/>
              <w:rPr>
                <w:sz w:val="17"/>
                <w:szCs w:val="17"/>
                <w:color w:val="auto"/>
              </w:rPr>
            </w:pPr>
          </w:p>
        </w:tc>
        <w:tc>
          <w:tcPr>
            <w:tcW w:w="62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spacing w:after="0"/>
              <w:rPr>
                <w:sz w:val="17"/>
                <w:szCs w:val="17"/>
                <w:color w:val="auto"/>
              </w:rPr>
            </w:pPr>
          </w:p>
        </w:tc>
        <w:tc>
          <w:tcPr>
            <w:tcW w:w="4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020" w:type="dxa"/>
            <w:vAlign w:val="bottom"/>
            <w:tcBorders>
              <w:bottom w:val="single" w:sz="8" w:color="CFF0FC"/>
            </w:tcBorders>
          </w:tcPr>
          <w:p>
            <w:pPr>
              <w:spacing w:after="0"/>
              <w:rPr>
                <w:sz w:val="17"/>
                <w:szCs w:val="17"/>
                <w:color w:val="auto"/>
              </w:rPr>
            </w:pPr>
          </w:p>
        </w:tc>
        <w:tc>
          <w:tcPr>
            <w:tcW w:w="4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Total lease payments</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6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980" w:type="dxa"/>
            <w:vAlign w:val="bottom"/>
            <w:tcBorders>
              <w:bottom w:val="single" w:sz="8" w:color="CFF0FC"/>
            </w:tcBorders>
          </w:tcPr>
          <w:p>
            <w:pPr>
              <w:spacing w:after="0"/>
              <w:rPr>
                <w:sz w:val="17"/>
                <w:szCs w:val="17"/>
                <w:color w:val="auto"/>
              </w:rPr>
            </w:pPr>
          </w:p>
        </w:tc>
        <w:tc>
          <w:tcPr>
            <w:tcW w:w="62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spacing w:after="0"/>
              <w:rPr>
                <w:sz w:val="17"/>
                <w:szCs w:val="17"/>
                <w:color w:val="auto"/>
              </w:rPr>
            </w:pPr>
          </w:p>
        </w:tc>
        <w:tc>
          <w:tcPr>
            <w:tcW w:w="4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020" w:type="dxa"/>
            <w:vAlign w:val="bottom"/>
            <w:tcBorders>
              <w:bottom w:val="single" w:sz="8" w:color="CFF0FC"/>
            </w:tcBorders>
          </w:tcPr>
          <w:p>
            <w:pPr>
              <w:spacing w:after="0"/>
              <w:rPr>
                <w:sz w:val="17"/>
                <w:szCs w:val="17"/>
                <w:color w:val="auto"/>
              </w:rPr>
            </w:pPr>
          </w:p>
        </w:tc>
        <w:tc>
          <w:tcPr>
            <w:tcW w:w="4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3"/>
        </w:trPr>
        <w:tc>
          <w:tcPr>
            <w:tcW w:w="46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03"/>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bottom w:val="single" w:sz="8" w:color="CFF0FC"/>
            </w:tcBorders>
            <w:vMerge w:val="restart"/>
          </w:tcPr>
          <w:p>
            <w:pPr>
              <w:jc w:val="right"/>
              <w:ind w:right="355"/>
              <w:spacing w:after="0"/>
              <w:rPr>
                <w:sz w:val="20"/>
                <w:szCs w:val="20"/>
                <w:color w:val="auto"/>
              </w:rPr>
            </w:pPr>
            <w:r>
              <w:rPr>
                <w:rFonts w:ascii="Times New Roman" w:cs="Times New Roman" w:eastAsia="Times New Roman" w:hAnsi="Times New Roman"/>
                <w:sz w:val="14"/>
                <w:szCs w:val="14"/>
                <w:color w:val="auto"/>
              </w:rPr>
              <w:t>14</w:t>
            </w:r>
          </w:p>
        </w:tc>
        <w:tc>
          <w:tcPr>
            <w:tcW w:w="1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0"/>
        </w:trPr>
        <w:tc>
          <w:tcPr>
            <w:tcW w:w="4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6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color w:val="auto"/>
        </w:rPr>
        <w:t>Note 14. Long-term Debt and Credit Agreements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Long Term Debt</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Senior Notes</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On May 21, 2024, Garrett Motion Holdings Inc. and Garrett LX I S.à.r.l. (the "Issuers"), wholly owned subsidiaries of the Company, completed an offering of $800 million in aggregate principal amount of 7.75% Senior Unsecured Notes due 2032 (the "2032 Senior Notes"). The 2032 Senior Notes mature on May 31, 2032. The Company incurred $12 million of debt issuance costs, which have been capitalized and will be amortized on a straight-line basis.</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2032 Senior Notes are guaranteed by the Company and each of the Company's wholly owned subsidiaries that guarantee obligations under the existing Credit Agreement (as defined below), subject to certain exceptions. The proceeds from the sale of the 2032 Senior Notes, together with cash on hand, were used to repay approximately $800 million of term loan indebtedness, as described below, and to pay related fees and expenses.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Term Loans</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On April 30, 2021, the Company entered into a credit agreement (as amended from time to time, the "Credit Agreement") with JPMorgan Chase Bank, N.A. as administrative agent. The Credit Agreement provided for the following long-term senior secured financing (collectively, the "Term Loan Facilities"):</w:t>
      </w:r>
    </w:p>
    <w:p>
      <w:pPr>
        <w:spacing w:after="0" w:line="90" w:lineRule="exact"/>
        <w:rPr>
          <w:sz w:val="20"/>
          <w:szCs w:val="20"/>
          <w:color w:val="auto"/>
        </w:rPr>
      </w:pPr>
    </w:p>
    <w:p>
      <w:pPr>
        <w:ind w:left="640" w:hanging="251"/>
        <w:spacing w:after="0"/>
        <w:tabs>
          <w:tab w:leader="none" w:pos="640"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2021 Dollar Term Facility: </w:t>
      </w:r>
      <w:r>
        <w:rPr>
          <w:rFonts w:ascii="Times New Roman" w:cs="Times New Roman" w:eastAsia="Times New Roman" w:hAnsi="Times New Roman"/>
          <w:sz w:val="14"/>
          <w:szCs w:val="14"/>
          <w:color w:val="auto"/>
        </w:rPr>
        <w:t>a seven-year secured first-lien U.S. Dollar term loan facility for $715 million;</w:t>
      </w:r>
    </w:p>
    <w:p>
      <w:pPr>
        <w:spacing w:after="0" w:line="158" w:lineRule="exact"/>
        <w:rPr>
          <w:rFonts w:ascii="Times New Roman" w:cs="Times New Roman" w:eastAsia="Times New Roman" w:hAnsi="Times New Roman"/>
          <w:sz w:val="14"/>
          <w:szCs w:val="14"/>
          <w:i w:val="1"/>
          <w:iCs w:val="1"/>
          <w:color w:val="auto"/>
        </w:rPr>
      </w:pPr>
    </w:p>
    <w:p>
      <w:pPr>
        <w:ind w:left="640" w:hanging="251"/>
        <w:spacing w:after="0"/>
        <w:tabs>
          <w:tab w:leader="none" w:pos="640"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2023 Dollar Term Facility</w:t>
      </w:r>
      <w:r>
        <w:rPr>
          <w:rFonts w:ascii="Times New Roman" w:cs="Times New Roman" w:eastAsia="Times New Roman" w:hAnsi="Times New Roman"/>
          <w:sz w:val="14"/>
          <w:szCs w:val="14"/>
          <w:color w:val="auto"/>
        </w:rPr>
        <w:t>: a five-year secured first-lien U.S. Dollar term loan facility for $500 million; and</w:t>
      </w:r>
    </w:p>
    <w:p>
      <w:pPr>
        <w:spacing w:after="0" w:line="147" w:lineRule="exact"/>
        <w:rPr>
          <w:rFonts w:ascii="Times New Roman" w:cs="Times New Roman" w:eastAsia="Times New Roman" w:hAnsi="Times New Roman"/>
          <w:sz w:val="14"/>
          <w:szCs w:val="14"/>
          <w:i w:val="1"/>
          <w:iCs w:val="1"/>
          <w:color w:val="auto"/>
        </w:rPr>
      </w:pPr>
    </w:p>
    <w:p>
      <w:pPr>
        <w:ind w:left="640" w:hanging="251"/>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Euro Term Facility</w:t>
      </w:r>
      <w:r>
        <w:rPr>
          <w:rFonts w:ascii="Times New Roman" w:cs="Times New Roman" w:eastAsia="Times New Roman" w:hAnsi="Times New Roman"/>
          <w:sz w:val="14"/>
          <w:szCs w:val="14"/>
          <w:color w:val="auto"/>
        </w:rPr>
        <w:t>: a seven-year secured first-lien Euro term loan facility for €450 million.</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In the nine months ended September 30, 2024, we made early debt repayments totaling $985 million on our Euro Term Facility and our 2023 Dollar Term Facility. Both term loans were fully repaid as of September 30, 2024. The early repayments resulted in incremental amortization of debt issuance costs of $27 million, included within Interest expense in the Consolidated Interim Statement of Operations.</w:t>
      </w:r>
    </w:p>
    <w:p>
      <w:pPr>
        <w:spacing w:after="0" w:line="115"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On May 21, 2024, in addition to the above transactions, the Company entered into Amendment No. 4 (the "Fourth Amendment") and Amendment No. 5 (the "Fifth Amendment" and, together with the Fourth Amendment, the "Amendments") to the Credit Agreement (as amended by the Amendments, the "Amended Credit Agreement"). The Fourth Amendment (i) removed the credit spread adjustment with respect to certain US dollar denominated term loan borrowings that are Term Benchmark Loans (as defined in the Amended Credit Agreement) and (ii) reduced the Applicable Rate (as defined in the Amended Credit Agreement) on certain US dollar denominated term loans to 2.75% for Term Benchmark Loans and 1.75% for ABR Loans (as defined in the Amended Credit Agreement).</w:t>
      </w:r>
    </w:p>
    <w:p>
      <w:pPr>
        <w:spacing w:after="0" w:line="11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Fifth Amendment increased the amount of revolving loan commitments available to the Company under the Credit Agreement by $30 million ("Incremental Revolving Commitment") to an aggregate amount of $600 million, as discussed below. The Incremental Revolving Commitment has the same terms and is subject to the same conditions applicable to revolving loans generally under the Amended Credit Agreement.</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principal outstanding and carrying amounts of our long-term debt as of September 30, 2024 and December 31, 2023 are as follows: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16" w:name="page17"/>
    <w:bookmarkEnd w:id="16"/>
    <w:tbl>
      <w:tblPr>
        <w:tblLayout w:type="fixed"/>
        <w:tblInd w:w="320" w:type="dxa"/>
        <w:tblCellMar>
          <w:top w:w="0" w:type="dxa"/>
          <w:left w:w="0" w:type="dxa"/>
          <w:bottom w:w="0" w:type="dxa"/>
          <w:right w:w="0" w:type="dxa"/>
        </w:tblCellMar>
      </w:tblPr>
      <w:tr>
        <w:trPr>
          <w:trHeight w:val="126"/>
        </w:trPr>
        <w:tc>
          <w:tcPr>
            <w:tcW w:w="3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Due</w:t>
            </w:r>
          </w:p>
        </w:tc>
        <w:tc>
          <w:tcPr>
            <w:tcW w:w="80" w:type="dxa"/>
            <w:vAlign w:val="bottom"/>
            <w:vMerge w:val="restart"/>
          </w:tcPr>
          <w:p>
            <w:pPr>
              <w:spacing w:after="0"/>
              <w:rPr>
                <w:sz w:val="11"/>
                <w:szCs w:val="11"/>
                <w:color w:val="auto"/>
              </w:rPr>
            </w:pP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80" w:type="dxa"/>
            <w:vAlign w:val="bottom"/>
            <w:vMerge w:val="restart"/>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3"/>
        </w:trPr>
        <w:tc>
          <w:tcPr>
            <w:tcW w:w="300" w:type="dxa"/>
            <w:vAlign w:val="bottom"/>
            <w:tcBorders>
              <w:bottom w:val="single" w:sz="8" w:color="CCEEFF"/>
            </w:tcBorders>
          </w:tcPr>
          <w:p>
            <w:pPr>
              <w:spacing w:after="0"/>
              <w:rPr>
                <w:sz w:val="13"/>
                <w:szCs w:val="13"/>
                <w:color w:val="auto"/>
              </w:rPr>
            </w:pPr>
          </w:p>
        </w:tc>
        <w:tc>
          <w:tcPr>
            <w:tcW w:w="374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4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1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97"/>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2021</w:t>
            </w: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Dollar Term Facility</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4/30/2028</w:t>
            </w:r>
          </w:p>
        </w:tc>
        <w:tc>
          <w:tcPr>
            <w:tcW w:w="8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SOFR plus 275 bps</w:t>
            </w:r>
          </w:p>
        </w:tc>
        <w:tc>
          <w:tcPr>
            <w:tcW w:w="114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0" w:type="dxa"/>
            <w:vAlign w:val="bottom"/>
          </w:tcPr>
          <w:p>
            <w:pPr>
              <w:spacing w:after="0"/>
              <w:rPr>
                <w:sz w:val="1"/>
                <w:szCs w:val="1"/>
                <w:color w:val="auto"/>
              </w:rPr>
            </w:pPr>
          </w:p>
        </w:tc>
      </w:tr>
      <w:tr>
        <w:trPr>
          <w:trHeight w:val="197"/>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99"/>
              </w:rPr>
              <w:t>2023</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Term Facility</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4/30/2028</w:t>
            </w:r>
          </w:p>
        </w:tc>
        <w:tc>
          <w:tcPr>
            <w:tcW w:w="80" w:type="dxa"/>
            <w:vAlign w:val="bottom"/>
          </w:tcPr>
          <w:p>
            <w:pPr>
              <w:spacing w:after="0"/>
              <w:rPr>
                <w:sz w:val="17"/>
                <w:szCs w:val="17"/>
                <w:color w:val="auto"/>
              </w:rPr>
            </w:pP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SOFR plus 450 bps</w:t>
            </w:r>
          </w:p>
        </w:tc>
        <w:tc>
          <w:tcPr>
            <w:tcW w:w="1140" w:type="dxa"/>
            <w:vAlign w:val="bottom"/>
          </w:tcPr>
          <w:p>
            <w:pPr>
              <w:spacing w:after="0"/>
              <w:rPr>
                <w:sz w:val="17"/>
                <w:szCs w:val="17"/>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208"/>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Euro Term Facility</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4/30/2028</w:t>
            </w:r>
          </w:p>
        </w:tc>
        <w:tc>
          <w:tcPr>
            <w:tcW w:w="8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EURIBOR plus 350 bps</w:t>
            </w:r>
          </w:p>
        </w:tc>
        <w:tc>
          <w:tcPr>
            <w:tcW w:w="1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0" w:type="dxa"/>
            <w:vAlign w:val="bottom"/>
          </w:tcPr>
          <w:p>
            <w:pPr>
              <w:spacing w:after="0"/>
              <w:rPr>
                <w:sz w:val="1"/>
                <w:szCs w:val="1"/>
                <w:color w:val="auto"/>
              </w:rPr>
            </w:pPr>
          </w:p>
        </w:tc>
      </w:tr>
      <w:tr>
        <w:trPr>
          <w:trHeight w:val="197"/>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99"/>
              </w:rPr>
              <w:t>2032</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5/31/2032</w:t>
            </w:r>
          </w:p>
        </w:tc>
        <w:tc>
          <w:tcPr>
            <w:tcW w:w="80" w:type="dxa"/>
            <w:vAlign w:val="bottom"/>
          </w:tcPr>
          <w:p>
            <w:pPr>
              <w:spacing w:after="0"/>
              <w:rPr>
                <w:sz w:val="17"/>
                <w:szCs w:val="17"/>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7.75%</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Total principal outstanding</w:t>
            </w:r>
          </w:p>
        </w:tc>
        <w:tc>
          <w:tcPr>
            <w:tcW w:w="14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0" w:type="dxa"/>
            <w:vAlign w:val="bottom"/>
          </w:tcPr>
          <w:p>
            <w:pPr>
              <w:spacing w:after="0"/>
              <w:rPr>
                <w:sz w:val="1"/>
                <w:szCs w:val="1"/>
                <w:color w:val="auto"/>
              </w:rPr>
            </w:pPr>
          </w:p>
        </w:tc>
      </w:tr>
      <w:tr>
        <w:trPr>
          <w:trHeight w:val="199"/>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unamortized deferred financing costs</w:t>
            </w: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97"/>
        </w:trPr>
        <w:tc>
          <w:tcPr>
            <w:tcW w:w="4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14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24"/>
        </w:trPr>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long-term debt</w:t>
            </w:r>
          </w:p>
        </w:tc>
        <w:tc>
          <w:tcPr>
            <w:tcW w:w="1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Revolving Facility and Letters of Credit</w:t>
      </w:r>
    </w:p>
    <w:p>
      <w:pPr>
        <w:spacing w:after="0" w:line="162" w:lineRule="exact"/>
        <w:rPr>
          <w:sz w:val="20"/>
          <w:szCs w:val="20"/>
          <w:color w:val="auto"/>
        </w:rPr>
      </w:pPr>
    </w:p>
    <w:p>
      <w:pPr>
        <w:jc w:val="both"/>
        <w:ind w:right="80" w:firstLine="307"/>
        <w:spacing w:after="0" w:line="289" w:lineRule="auto"/>
        <w:rPr>
          <w:sz w:val="20"/>
          <w:szCs w:val="20"/>
          <w:color w:val="auto"/>
        </w:rPr>
      </w:pPr>
      <w:r>
        <w:rPr>
          <w:rFonts w:ascii="Times New Roman" w:cs="Times New Roman" w:eastAsia="Times New Roman" w:hAnsi="Times New Roman"/>
          <w:sz w:val="14"/>
          <w:szCs w:val="14"/>
          <w:color w:val="auto"/>
        </w:rPr>
        <w:t>The Amended Credit Agreement also provides for a senior secured first-lien revolving credit facility providing for multi-currency revolving loans (the “Revolving Facility”). The Revolving Facility matures on April 30, 2028 and has a maximum borrowing amount available of $600 million.</w:t>
      </w:r>
    </w:p>
    <w:p>
      <w:pPr>
        <w:spacing w:after="0" w:line="92" w:lineRule="exact"/>
        <w:rPr>
          <w:sz w:val="20"/>
          <w:szCs w:val="20"/>
          <w:color w:val="auto"/>
        </w:rPr>
      </w:pPr>
    </w:p>
    <w:p>
      <w:pPr>
        <w:jc w:val="both"/>
        <w:ind w:right="80" w:firstLine="307"/>
        <w:spacing w:after="0" w:line="271" w:lineRule="auto"/>
        <w:rPr>
          <w:sz w:val="20"/>
          <w:szCs w:val="20"/>
          <w:color w:val="auto"/>
        </w:rPr>
      </w:pPr>
      <w:r>
        <w:rPr>
          <w:rFonts w:ascii="Times New Roman" w:cs="Times New Roman" w:eastAsia="Times New Roman" w:hAnsi="Times New Roman"/>
          <w:sz w:val="14"/>
          <w:szCs w:val="14"/>
          <w:color w:val="auto"/>
        </w:rPr>
        <w:t>Under the Revolving Facility, the Company may use up to $125 million for the issuance of letters of credit to its subsidiaries. Letters of credit are available for issuance under the Amended Credit Agreement on terms and conditions customary for financings of this kind, which issuances reduce availability under the Revolving Facility. As of September 30, 2024, the Company had no loans outstanding under the Revolving Facility, no outstanding letters of credit, and available borrowing capacity of $600 million.</w:t>
      </w:r>
    </w:p>
    <w:p>
      <w:pPr>
        <w:spacing w:after="0" w:line="104" w:lineRule="exact"/>
        <w:rPr>
          <w:sz w:val="20"/>
          <w:szCs w:val="20"/>
          <w:color w:val="auto"/>
        </w:rPr>
      </w:pPr>
    </w:p>
    <w:p>
      <w:pPr>
        <w:jc w:val="both"/>
        <w:ind w:right="80" w:firstLine="307"/>
        <w:spacing w:after="0" w:line="289" w:lineRule="auto"/>
        <w:rPr>
          <w:sz w:val="20"/>
          <w:szCs w:val="20"/>
          <w:color w:val="auto"/>
        </w:rPr>
      </w:pPr>
      <w:r>
        <w:rPr>
          <w:rFonts w:ascii="Times New Roman" w:cs="Times New Roman" w:eastAsia="Times New Roman" w:hAnsi="Times New Roman"/>
          <w:sz w:val="14"/>
          <w:szCs w:val="14"/>
          <w:color w:val="auto"/>
        </w:rPr>
        <w:t>Separate from the Revolving Facility, the Company has a bilateral letter of credit facility in the amount of $15 million, which matures on April 30, 2026. As of September 30, 2024, the Company had $12 million utilized and $3 million of remaining available capacity under such facility.</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Minimum scheduled principal repayments of long-term debt as of September 30, 2024 are as follow:</w:t>
      </w:r>
    </w:p>
    <w:p>
      <w:pPr>
        <w:spacing w:after="0" w:line="166"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8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tcPr>
          <w:p>
            <w:pPr>
              <w:jc w:val="center"/>
              <w:ind w:right="273"/>
              <w:spacing w:after="0"/>
              <w:rPr>
                <w:sz w:val="20"/>
                <w:szCs w:val="20"/>
                <w:color w:val="auto"/>
              </w:rPr>
            </w:pPr>
            <w:r>
              <w:rPr>
                <w:rFonts w:ascii="Times New Roman" w:cs="Times New Roman" w:eastAsia="Times New Roman" w:hAnsi="Times New Roman"/>
                <w:sz w:val="11"/>
                <w:szCs w:val="11"/>
                <w:b w:val="1"/>
                <w:bCs w:val="1"/>
                <w:color w:val="auto"/>
              </w:rPr>
              <w:t>September 30,</w:t>
            </w:r>
          </w:p>
        </w:tc>
      </w:tr>
      <w:tr>
        <w:trPr>
          <w:trHeight w:val="153"/>
        </w:trPr>
        <w:tc>
          <w:tcPr>
            <w:tcW w:w="8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6"/>
        </w:trPr>
        <w:tc>
          <w:tcPr>
            <w:tcW w:w="8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1"/>
                <w:szCs w:val="11"/>
                <w:b w:val="1"/>
                <w:bCs w:val="1"/>
                <w:color w:val="auto"/>
              </w:rPr>
              <w:t>(Dollars in millions)</w:t>
            </w:r>
          </w:p>
        </w:tc>
      </w:tr>
      <w:tr>
        <w:trPr>
          <w:trHeight w:val="202"/>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2"/>
        </w:trPr>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3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3"/>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3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2"/>
        </w:trPr>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3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3"/>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3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r>
      <w:tr>
        <w:trPr>
          <w:trHeight w:val="202"/>
        </w:trPr>
        <w:tc>
          <w:tcPr>
            <w:tcW w:w="8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Thereafter</w:t>
            </w: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w:t>
            </w:r>
          </w:p>
        </w:tc>
      </w:tr>
      <w:tr>
        <w:trPr>
          <w:trHeight w:val="218"/>
        </w:trPr>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debt payments</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Rates and Fees</w:t>
      </w:r>
    </w:p>
    <w:p>
      <w:pPr>
        <w:spacing w:after="0" w:line="152" w:lineRule="exact"/>
        <w:rPr>
          <w:sz w:val="20"/>
          <w:szCs w:val="20"/>
          <w:color w:val="auto"/>
        </w:rPr>
      </w:pPr>
    </w:p>
    <w:p>
      <w:pPr>
        <w:jc w:val="both"/>
        <w:ind w:right="80" w:firstLine="307"/>
        <w:spacing w:after="0" w:line="289" w:lineRule="auto"/>
        <w:rPr>
          <w:sz w:val="20"/>
          <w:szCs w:val="20"/>
          <w:color w:val="auto"/>
        </w:rPr>
      </w:pPr>
      <w:r>
        <w:rPr>
          <w:rFonts w:ascii="Times New Roman" w:cs="Times New Roman" w:eastAsia="Times New Roman" w:hAnsi="Times New Roman"/>
          <w:sz w:val="14"/>
          <w:szCs w:val="14"/>
          <w:color w:val="auto"/>
        </w:rPr>
        <w:t>The 2032 Senior Notes bear interest at a rate of 7.75% per annum. Interest on the 2032 Senior Notes is payable semi-annually in arrears on May 31 and November 30 of each year, commencing on November 30, 2024.</w:t>
      </w:r>
    </w:p>
    <w:p>
      <w:pPr>
        <w:spacing w:after="0" w:line="102" w:lineRule="exact"/>
        <w:rPr>
          <w:sz w:val="20"/>
          <w:szCs w:val="20"/>
          <w:color w:val="auto"/>
        </w:rPr>
      </w:pPr>
    </w:p>
    <w:p>
      <w:pPr>
        <w:jc w:val="both"/>
        <w:ind w:right="80" w:firstLine="307"/>
        <w:spacing w:after="0" w:line="289" w:lineRule="auto"/>
        <w:rPr>
          <w:sz w:val="20"/>
          <w:szCs w:val="20"/>
          <w:color w:val="auto"/>
        </w:rPr>
      </w:pPr>
      <w:r>
        <w:rPr>
          <w:rFonts w:ascii="Times New Roman" w:cs="Times New Roman" w:eastAsia="Times New Roman" w:hAnsi="Times New Roman"/>
          <w:sz w:val="14"/>
          <w:szCs w:val="14"/>
          <w:color w:val="auto"/>
        </w:rPr>
        <w:t>The 2021 Dollar Term Facility is subject to an interest rate, at our option, of either (a) an alternate base rate (“ABR”) (which shall not be less than 1.50%) or (b) an adjusted SOFR rate (“SOFR”) (which shall not be less than 0.50%), in each case, plus an applicable margin equal to 2.75% in the case of SOFR loans and 1.75% in the case of ABR loans.</w:t>
      </w:r>
    </w:p>
    <w:p>
      <w:pPr>
        <w:spacing w:after="0" w:line="92" w:lineRule="exact"/>
        <w:rPr>
          <w:sz w:val="20"/>
          <w:szCs w:val="20"/>
          <w:color w:val="auto"/>
        </w:rPr>
      </w:pPr>
    </w:p>
    <w:p>
      <w:pPr>
        <w:jc w:val="both"/>
        <w:ind w:right="80" w:firstLine="307"/>
        <w:spacing w:after="0" w:line="271" w:lineRule="auto"/>
        <w:rPr>
          <w:sz w:val="20"/>
          <w:szCs w:val="20"/>
          <w:color w:val="auto"/>
        </w:rPr>
      </w:pPr>
      <w:r>
        <w:rPr>
          <w:rFonts w:ascii="Times New Roman" w:cs="Times New Roman" w:eastAsia="Times New Roman" w:hAnsi="Times New Roman"/>
          <w:sz w:val="14"/>
          <w:szCs w:val="14"/>
          <w:color w:val="auto"/>
        </w:rPr>
        <w:t>The Revolving Facility is subject to an interest rate comprised of an applicable benchmark rate as provided under the Credit Agreement (which shall not be less than 1.00% if such benchmark is the ABR rate and not less than 0.00% in the case of other applicable benchmark rates) that is selected based on the currency in which borrowings are outstanding thereunder, in each case, plus an applicable margin that may vary based on our leverage ratio.</w:t>
      </w:r>
    </w:p>
    <w:p>
      <w:pPr>
        <w:spacing w:after="0" w:line="25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920" w:right="239" w:bottom="1440" w:gutter="0" w:footer="0" w:header="0"/>
        </w:sectPr>
      </w:pPr>
    </w:p>
    <w:bookmarkStart w:id="17" w:name="page18"/>
    <w:bookmarkEnd w:id="17"/>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In addition to paying interest on outstanding borrowings under the Revolving Facility, we are also required to pay a quarterly commitment fee based on the average daily unused portion of the Revolving Facility during such quarter, which is determined by our leverage ratio and ranges from 0.25% to 0.50% per annum.</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Certain Covenants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2032 Senior Notes</w:t>
      </w:r>
    </w:p>
    <w:p>
      <w:pPr>
        <w:spacing w:after="0" w:line="15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The 2032 Senior Notes contain certain covenants that limit the ability of the Company and its restricted subsidiaries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2032 Senior Notes indenture. Additionally, the indenture contains certain change of control provisions that, under certain conditions, would require the Company to make an offer to repurchase all of the outstanding 2032 Senior Notes at a price equal to 101% of the aggregate principal amount, plus accrued and unpaid interest. The indenture also contains customary events of default.</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Term Loans</w:t>
      </w:r>
    </w:p>
    <w:p>
      <w:pPr>
        <w:spacing w:after="0" w:line="15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Amended Credit Agreement contains certain affirmative and negative covenants customary for financings of this type. The Revolving Facility also contains a financial covenant requiring the maintenance of a consolidated total leverage ratio of not greater than 4.7 times as of the end of each fiscal quarter if, on the last day of any such fiscal quarter, the aggregate amount of loans and letters of credit (excluding backstopped or cash collateralized letters of credit and other letters of credit with an aggregate face amount not exceeding $30 million) outstanding under the Revolving Facility exceeds 35% of the aggregate commitments in effect thereunder on such date.</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September 30, 2024, the Company was in compliance with all covenants under the 2032 Senior Notes indenture and Amended Credit Agreement.</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Equity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Preferred Stock</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On April 12, 2023, the Company entered into separate definitive agreements with each of Centerbridge Partners, L.P. and funds managed by Oaktree Capital Management, L.P. to effect a series of integrated transactions (collectively, the “Transaction”) designed to simplify the Company’s capital structure by converting all outstanding Series A Preferred Stock into a single class of Common Stock, subject to certain conditions.</w:t>
      </w:r>
    </w:p>
    <w:p>
      <w:pPr>
        <w:spacing w:after="0" w:line="113" w:lineRule="exact"/>
        <w:rPr>
          <w:sz w:val="20"/>
          <w:szCs w:val="20"/>
          <w:color w:val="auto"/>
        </w:rPr>
      </w:pPr>
    </w:p>
    <w:p>
      <w:pPr>
        <w:jc w:val="both"/>
        <w:ind w:firstLine="307"/>
        <w:spacing w:after="0" w:line="292" w:lineRule="auto"/>
        <w:rPr>
          <w:sz w:val="20"/>
          <w:szCs w:val="20"/>
          <w:color w:val="auto"/>
        </w:rPr>
      </w:pPr>
      <w:r>
        <w:rPr>
          <w:rFonts w:ascii="Times New Roman" w:cs="Times New Roman" w:eastAsia="Times New Roman" w:hAnsi="Times New Roman"/>
          <w:sz w:val="14"/>
          <w:szCs w:val="14"/>
          <w:color w:val="auto"/>
        </w:rPr>
        <w:t xml:space="preserve">On June 6, 2023, the Company completed all steps of the Transaction and had no remaining shares of Series A Preferred Stock outstanding as of that date. Please refer to Note 21, </w:t>
      </w:r>
      <w:r>
        <w:rPr>
          <w:rFonts w:ascii="Times New Roman" w:cs="Times New Roman" w:eastAsia="Times New Roman" w:hAnsi="Times New Roman"/>
          <w:sz w:val="14"/>
          <w:szCs w:val="14"/>
          <w:i w:val="1"/>
          <w:iCs w:val="1"/>
          <w:color w:val="auto"/>
        </w:rPr>
        <w:t>Equity</w:t>
      </w:r>
      <w:r>
        <w:rPr>
          <w:rFonts w:ascii="Times New Roman" w:cs="Times New Roman" w:eastAsia="Times New Roman" w:hAnsi="Times New Roman"/>
          <w:sz w:val="14"/>
          <w:szCs w:val="14"/>
          <w:color w:val="auto"/>
        </w:rPr>
        <w:t>, to the Consolidated Financial Statements for the year ended December 31, 2023 included in our 2023 Form 10-K.</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Treasury Stock</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Treasury stock represents shares of the Company's Common Stock that have been issued and subsequently repurchased by the Company or withheld to satisfy withholding tax obligations in connection with equity award vestings, and that have not been retired or cancelled. The Company accounts for treasury stock under the cost method and includes treasury stock as a component of Equity (Deficit) on the Consolidated Interim Balance Sheet. The Company accounts for the reissuance of treasury stock using the average cost method. The Company did not reissue or retire any shares of treasury stock during the three and nine months ended September 30, 2024.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On February 12, 2024, the Board of Directors authorized a $350 million share repurchase program valid until December 31, 2024. The Company may repurchase shares from time to time under the program through various methods, including in open market transactions, block trades, privately negotiated transactions, and otherwise. The timing, as well as the number and value of shares repurchased under the program, will depend on a variety of factors. The Company is not obligated to purchase any shares under the repurchase program, and the program may be suspended, modified, or discontinued at any time without prior notice. During the nine months ended September 30, 2024, the Company repurchased $226 million of Common Stock, and had $124 million remaining under the share repurchase program. The repurchased shares are held as treasury stock.</w:t>
      </w:r>
    </w:p>
    <w:p>
      <w:pPr>
        <w:spacing w:after="0" w:line="26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color w:val="auto"/>
        </w:rPr>
        <w:t>Note 16. Financial Instruments and Fair Value Measures</w:t>
      </w:r>
    </w:p>
    <w:p>
      <w:pPr>
        <w:spacing w:after="0" w:line="148" w:lineRule="exact"/>
        <w:rPr>
          <w:sz w:val="20"/>
          <w:szCs w:val="20"/>
          <w:color w:val="auto"/>
        </w:rPr>
      </w:pPr>
    </w:p>
    <w:p>
      <w:pPr>
        <w:jc w:val="both"/>
        <w:ind w:firstLine="307"/>
        <w:spacing w:after="0" w:line="266" w:lineRule="auto"/>
        <w:rPr>
          <w:sz w:val="20"/>
          <w:szCs w:val="20"/>
          <w:color w:val="auto"/>
        </w:rPr>
      </w:pPr>
      <w:r>
        <w:rPr>
          <w:rFonts w:ascii="Times New Roman" w:cs="Times New Roman" w:eastAsia="Times New Roman" w:hAnsi="Times New Roman"/>
          <w:sz w:val="14"/>
          <w:szCs w:val="14"/>
          <w:color w:val="auto"/>
        </w:rPr>
        <w:t xml:space="preserve">Our credit, market, and foreign currency risk management policies are described in Note 19, </w:t>
      </w:r>
      <w:r>
        <w:rPr>
          <w:rFonts w:ascii="Times New Roman" w:cs="Times New Roman" w:eastAsia="Times New Roman" w:hAnsi="Times New Roman"/>
          <w:sz w:val="14"/>
          <w:szCs w:val="14"/>
          <w:i w:val="1"/>
          <w:iCs w:val="1"/>
          <w:color w:val="auto"/>
        </w:rPr>
        <w:t>Financial Instruments and Fair Value Measures</w:t>
      </w:r>
      <w:r>
        <w:rPr>
          <w:rFonts w:ascii="Times New Roman" w:cs="Times New Roman" w:eastAsia="Times New Roman" w:hAnsi="Times New Roman"/>
          <w:sz w:val="14"/>
          <w:szCs w:val="14"/>
          <w:color w:val="auto"/>
        </w:rPr>
        <w:t>, to the Consolidated Financial Statements for the year ended December 31, 2023 included in our 2023 Form 10-K. As of September 30, 2024 and December 31, 2023, we had contracts with aggregate gross notional amounts of $790 million and $1,171 million, respectively, to hedge foreign currencies, principally the U.S. Dollar, Swiss Franc, British Pound, Euro, Chinese Yuan, Japanese Yen, Mexican Peso, New Romanian Leu, Czech Koruna, Australian Dollar, and Korean Won.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FASB’s accounting guidance defines fair value as the price that would be received to sell an asset or paid to transfer a liability in an orderly transaction between market participants at the measurement date (exit price). Financial and nonfinancial assets and liabilities are classified in their entirety based on the lowest level of input that is significant to the fair value measurement. The following table sets forth the Company’s financial assets and liabilities that were accounted for at fair value on a recurring basis as of September 30, 2024 and December 31,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9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771"/>
              <w:spacing w:after="0"/>
              <w:rPr>
                <w:sz w:val="20"/>
                <w:szCs w:val="20"/>
                <w:color w:val="auto"/>
              </w:rPr>
            </w:pPr>
            <w:r>
              <w:rPr>
                <w:rFonts w:ascii="Times New Roman" w:cs="Times New Roman" w:eastAsia="Times New Roman" w:hAnsi="Times New Roman"/>
                <w:sz w:val="11"/>
                <w:szCs w:val="11"/>
                <w:b w:val="1"/>
                <w:bCs w:val="1"/>
                <w:color w:val="auto"/>
              </w:rPr>
              <w:t>Notional Amounts</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1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991"/>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940" w:type="dxa"/>
            <w:vAlign w:val="bottom"/>
          </w:tcPr>
          <w:p>
            <w:pPr>
              <w:spacing w:after="0"/>
              <w:rPr>
                <w:sz w:val="9"/>
                <w:szCs w:val="9"/>
                <w:color w:val="auto"/>
              </w:rPr>
            </w:pPr>
          </w:p>
        </w:tc>
        <w:tc>
          <w:tcPr>
            <w:tcW w:w="1320" w:type="dxa"/>
            <w:vAlign w:val="bottom"/>
            <w:gridSpan w:val="3"/>
          </w:tcPr>
          <w:p>
            <w:pPr>
              <w:ind w:left="280"/>
              <w:spacing w:after="0" w:line="109"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120" w:type="dxa"/>
            <w:vAlign w:val="bottom"/>
          </w:tcPr>
          <w:p>
            <w:pPr>
              <w:spacing w:after="0"/>
              <w:rPr>
                <w:sz w:val="9"/>
                <w:szCs w:val="9"/>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80" w:type="dxa"/>
            <w:vAlign w:val="bottom"/>
          </w:tcPr>
          <w:p>
            <w:pPr>
              <w:spacing w:after="0"/>
              <w:rPr>
                <w:sz w:val="9"/>
                <w:szCs w:val="9"/>
                <w:color w:val="auto"/>
              </w:rPr>
            </w:pPr>
          </w:p>
        </w:tc>
        <w:tc>
          <w:tcPr>
            <w:tcW w:w="1140" w:type="dxa"/>
            <w:vAlign w:val="bottom"/>
            <w:gridSpan w:val="2"/>
          </w:tcPr>
          <w:p>
            <w:pPr>
              <w:ind w:left="100"/>
              <w:spacing w:after="0" w:line="109"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140" w:type="dxa"/>
            <w:vAlign w:val="bottom"/>
          </w:tcPr>
          <w:p>
            <w:pPr>
              <w:spacing w:after="0"/>
              <w:rPr>
                <w:sz w:val="9"/>
                <w:szCs w:val="9"/>
                <w:color w:val="auto"/>
              </w:rPr>
            </w:pPr>
          </w:p>
        </w:tc>
        <w:tc>
          <w:tcPr>
            <w:tcW w:w="1100" w:type="dxa"/>
            <w:vAlign w:val="bottom"/>
            <w:vMerge w:val="restart"/>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140" w:type="dxa"/>
            <w:vAlign w:val="bottom"/>
          </w:tcPr>
          <w:p>
            <w:pPr>
              <w:spacing w:after="0"/>
              <w:rPr>
                <w:sz w:val="9"/>
                <w:szCs w:val="9"/>
                <w:color w:val="auto"/>
              </w:rPr>
            </w:pPr>
          </w:p>
        </w:tc>
        <w:tc>
          <w:tcPr>
            <w:tcW w:w="1120" w:type="dxa"/>
            <w:vAlign w:val="bottom"/>
            <w:vMerge w:val="restart"/>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43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Designated instruments:</w:t>
            </w:r>
          </w:p>
        </w:tc>
        <w:tc>
          <w:tcPr>
            <w:tcW w:w="7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Designated forward currency exchange contracts</w:t>
            </w:r>
          </w:p>
        </w:tc>
        <w:tc>
          <w:tcPr>
            <w:tcW w:w="78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 xml:space="preserve">(a)    </w:t>
            </w: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w:t>
            </w:r>
          </w:p>
        </w:tc>
        <w:tc>
          <w:tcPr>
            <w:tcW w:w="0" w:type="dxa"/>
            <w:vAlign w:val="bottom"/>
          </w:tcPr>
          <w:p>
            <w:pPr>
              <w:spacing w:after="0"/>
              <w:rPr>
                <w:sz w:val="1"/>
                <w:szCs w:val="1"/>
                <w:color w:val="auto"/>
              </w:rPr>
            </w:pPr>
          </w:p>
        </w:tc>
      </w:tr>
      <w:tr>
        <w:trPr>
          <w:trHeight w:val="18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Designated cross-currency swaps</w:t>
            </w:r>
          </w:p>
        </w:tc>
        <w:tc>
          <w:tcPr>
            <w:tcW w:w="7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5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(b)</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80" w:type="dxa"/>
            <w:vAlign w:val="bottom"/>
          </w:tcPr>
          <w:p>
            <w:pPr>
              <w:spacing w:after="0"/>
              <w:rPr>
                <w:sz w:val="20"/>
                <w:szCs w:val="20"/>
                <w:color w:val="auto"/>
              </w:rPr>
            </w:pPr>
            <w:r>
              <w:rPr>
                <w:rFonts w:ascii="Times New Roman" w:cs="Times New Roman" w:eastAsia="Times New Roman" w:hAnsi="Times New Roman"/>
                <w:sz w:val="10"/>
                <w:szCs w:val="10"/>
                <w:color w:val="auto"/>
              </w:rPr>
              <w:t>(d)</w:t>
            </w:r>
          </w:p>
        </w:tc>
        <w:tc>
          <w:tcPr>
            <w:tcW w:w="0" w:type="dxa"/>
            <w:vAlign w:val="bottom"/>
          </w:tcPr>
          <w:p>
            <w:pPr>
              <w:spacing w:after="0"/>
              <w:rPr>
                <w:sz w:val="1"/>
                <w:szCs w:val="1"/>
                <w:color w:val="auto"/>
              </w:rPr>
            </w:pPr>
          </w:p>
        </w:tc>
      </w:tr>
      <w:tr>
        <w:trPr>
          <w:trHeight w:val="181"/>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Designated interest-rate swaps</w:t>
            </w:r>
          </w:p>
        </w:tc>
        <w:tc>
          <w:tcPr>
            <w:tcW w:w="7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designated instruments</w:t>
            </w:r>
          </w:p>
        </w:tc>
        <w:tc>
          <w:tcPr>
            <w:tcW w:w="7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1,884</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Undesignated instruments:</w:t>
            </w: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Undesignated interest rate swaps</w:t>
            </w:r>
          </w:p>
        </w:tc>
        <w:tc>
          <w:tcPr>
            <w:tcW w:w="7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5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(b)</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tcPr>
          <w:p>
            <w:pPr>
              <w:spacing w:after="0"/>
              <w:rPr>
                <w:sz w:val="20"/>
                <w:szCs w:val="20"/>
                <w:color w:val="auto"/>
              </w:rPr>
            </w:pPr>
            <w:r>
              <w:rPr>
                <w:rFonts w:ascii="Times New Roman" w:cs="Times New Roman" w:eastAsia="Times New Roman" w:hAnsi="Times New Roman"/>
                <w:sz w:val="10"/>
                <w:szCs w:val="10"/>
                <w:color w:val="auto"/>
              </w:rPr>
              <w:t>(d)</w:t>
            </w:r>
          </w:p>
        </w:tc>
        <w:tc>
          <w:tcPr>
            <w:tcW w:w="0" w:type="dxa"/>
            <w:vAlign w:val="bottom"/>
          </w:tcPr>
          <w:p>
            <w:pPr>
              <w:spacing w:after="0"/>
              <w:rPr>
                <w:sz w:val="1"/>
                <w:szCs w:val="1"/>
                <w:color w:val="auto"/>
              </w:rPr>
            </w:pPr>
          </w:p>
        </w:tc>
      </w:tr>
      <w:tr>
        <w:trPr>
          <w:trHeight w:val="138"/>
        </w:trPr>
        <w:tc>
          <w:tcPr>
            <w:tcW w:w="29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Undesignated forward currency exchange</w:t>
            </w: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contracts</w:t>
            </w:r>
          </w:p>
        </w:tc>
        <w:tc>
          <w:tcPr>
            <w:tcW w:w="7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w:t>
            </w:r>
          </w:p>
        </w:tc>
        <w:tc>
          <w:tcPr>
            <w:tcW w:w="0" w:type="dxa"/>
            <w:vAlign w:val="bottom"/>
          </w:tcPr>
          <w:p>
            <w:pPr>
              <w:spacing w:after="0"/>
              <w:rPr>
                <w:sz w:val="1"/>
                <w:szCs w:val="1"/>
                <w:color w:val="auto"/>
              </w:rPr>
            </w:pPr>
          </w:p>
        </w:tc>
      </w:tr>
      <w:tr>
        <w:trPr>
          <w:trHeight w:val="172"/>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undesignated instruments</w:t>
            </w:r>
          </w:p>
        </w:tc>
        <w:tc>
          <w:tcPr>
            <w:tcW w:w="7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designated and undesignated instruments</w:t>
            </w:r>
          </w:p>
        </w:tc>
        <w:tc>
          <w:tcPr>
            <w:tcW w:w="78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Recorded within Other current assets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 Recorded within Other assets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 Recorded within Accrued liabilities</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 Recorded within Other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Hedges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During 2023, the Company entered into float-to-fixed interest rate swap contracts with an aggregate notional amount of $200 million and maturities in July 2024 and October 2024. The Company also entered into a float-to-fixed cross-currency swap contract comprised of an amortizing swap with an aggregate notional amount of €280 million ($300 million) and notional exchanges in June 2026, June 2027, and June 2028. The interest rate swap and cross-currency swap contracts were early settled in 2024, resulting in net gains of $18 million recorded to Interest expense and a $4 million loss recorded to Non-operating expense in the Consolidated Interim Statement of Operations.</w:t>
      </w:r>
    </w:p>
    <w:p>
      <w:pPr>
        <w:spacing w:after="0" w:line="109" w:lineRule="exact"/>
        <w:rPr>
          <w:sz w:val="20"/>
          <w:szCs w:val="20"/>
          <w:color w:val="auto"/>
        </w:rPr>
      </w:pPr>
    </w:p>
    <w:p>
      <w:pPr>
        <w:jc w:val="both"/>
        <w:ind w:firstLine="307"/>
        <w:spacing w:after="0" w:line="268" w:lineRule="auto"/>
        <w:rPr>
          <w:sz w:val="20"/>
          <w:szCs w:val="20"/>
          <w:color w:val="auto"/>
        </w:rPr>
      </w:pPr>
      <w:r>
        <w:rPr>
          <w:rFonts w:ascii="Times New Roman" w:cs="Times New Roman" w:eastAsia="Times New Roman" w:hAnsi="Times New Roman"/>
          <w:sz w:val="14"/>
          <w:szCs w:val="14"/>
          <w:color w:val="auto"/>
        </w:rPr>
        <w:t>The Company also has outstanding forward currency exchange contracts with maturities up to 18 months and an aggregate notional amount of $369 million and $456 million as of September 30, 2024 and December 31, 2023, respectively. These forward currency exchange contracts have been designated as cash flow hedges to mitigate foreign currency exposures primarily on our inventory purchases and manufacturing costs. The gains and losses on the forward currency exchange contracts are recorded in Accumulated Other Comprehensive Income ("AOCI") and reclassified to Cost</w:t>
      </w:r>
    </w:p>
    <w:p>
      <w:pPr>
        <w:spacing w:after="0" w:line="200" w:lineRule="exact"/>
        <w:rPr>
          <w:sz w:val="20"/>
          <w:szCs w:val="20"/>
          <w:color w:val="auto"/>
        </w:rPr>
      </w:pPr>
    </w:p>
    <w:p>
      <w:pPr>
        <w:spacing w:after="0" w:line="2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8"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color w:val="auto"/>
        </w:rPr>
        <w:t>of goods sold in the Consolidated Interim Statement of Operations when the underlying transactions are recognized in earnings.</w:t>
      </w:r>
    </w:p>
    <w:p>
      <w:pPr>
        <w:spacing w:after="0" w:line="158"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In order to mitigate foreign currency risk on its 2032 Senior Notes, the Company entered into fixed-to-fixed cross-currency swap contracts with an aggregate notional amount of €507 million ($550 million) and notional exchanges in May 2027, May 2028, May 2029, and May 2030. Changes in the fair value of the cross-currency swap contracts are recognized in AOCI and reclassified to Non-operating (income) expense in the Consolidated Interim Statement of Operations, based upon changes in the spot rate remeasurement of the underlying debt. The net interest settlements on the cross-currency swap contracts are recorded in Interest expense in the Consolidated Interim Statements of Operations.</w:t>
      </w:r>
    </w:p>
    <w:p>
      <w:pPr>
        <w:spacing w:after="0" w:line="10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All of the Company's cash flow hedges are assessed as highly effective. For the three months ended September 30, 2024 and 2023, the Company recorded a gain of $4 million, net of tax, and a loss of $2 million, net of tax, respectively, in Other comprehensive income. For the nine months ended September 30, 2024 and 2023, the Company recorded a gain of $5 million, net of tax, and a loss of $3 million, net of tax, respectively, in Other comprehensive income.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Investment Hedges</w:t>
      </w:r>
    </w:p>
    <w:p>
      <w:pPr>
        <w:spacing w:after="0" w:line="16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The Company has designated cross-currency swaps with aggregate notional amounts of €858 million ($965 million) and €615 million ($715 million) as of September 30, 2024 and December 31, 2023, respectively, as net investment hedges of its Euro-denominated operations. In April 2024, the Company re-couponed the cross-currency swap contracts and received a cash settlement of $13 million. The fair values of the net investment hedges were net assets of $10 million and $37 million as of September 30, 2024 and December 31, 2023, respectively. Our Consolidated Interim Statements of Comprehensive Income include Changes in fair value of net investment hedges, net of tax, of a $31 million loss and a $20 million gain for the three months ended September 30, 2024 and 2023, respectively, and of a $4 million loss and a $18 million gain for the nine months ended September 30, 2024 and 2023, respectively. No ineffectiveness has been recorded on the net investment hedges.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Non-Designated Derivatives</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As of September 30, 2024 and December 31, 2023, the Company has outstanding float-to-fixed interest rate swap contracts with an aggregate notional amount of €450 million ($502 million) and €830 million ($917 million), respectively, and maturities of October 2024, April 2025, April 2026, April 2027, and April 2028. Changes in the fair value of the undesignated interest rate swap contracts are recorded in Interest expense in the Consolidated Interim Statements of Operations. For the three months ended September 30, 2024 and 2023, the Company recorded losses of $9 million and $5 million, net of tax, respectively, in Non-operating (income) expense. For the nine months ended September 30, 2024 and 2023, the Company recorded losses of $33 million and $11 million, respectively, in Non-operating (income) expense.</w:t>
      </w:r>
    </w:p>
    <w:p>
      <w:pPr>
        <w:spacing w:after="0" w:line="122" w:lineRule="exact"/>
        <w:rPr>
          <w:sz w:val="20"/>
          <w:szCs w:val="20"/>
          <w:color w:val="auto"/>
        </w:rPr>
      </w:pPr>
    </w:p>
    <w:p>
      <w:pPr>
        <w:jc w:val="both"/>
        <w:ind w:firstLine="307"/>
        <w:spacing w:after="0" w:line="264" w:lineRule="auto"/>
        <w:rPr>
          <w:sz w:val="20"/>
          <w:szCs w:val="20"/>
          <w:color w:val="auto"/>
        </w:rPr>
      </w:pPr>
      <w:r>
        <w:rPr>
          <w:rFonts w:ascii="Times New Roman" w:cs="Times New Roman" w:eastAsia="Times New Roman" w:hAnsi="Times New Roman"/>
          <w:sz w:val="14"/>
          <w:szCs w:val="14"/>
          <w:color w:val="auto"/>
        </w:rPr>
        <w:t>The Company also has outstanding forward currency exchange contracts with maturities generally up to 3 months and an aggregate notional amount of $421 million and $715 million as of September 30, 2024 and December 31, 2023, respectively. These derivatives are not designated as hedging instruments and are adjusted to fair value through Non-operating (income) expense in the Consolidated Interim Statements of Operations. For the three months ended September 30, 2024 and 2023, the Company recorded a loss of $5 million, net of tax, and a gain of $4 million, respectively, in Interest expense. For the nine months ended September 30, 2024 and 2023, the Company recorded a gain of $4 million, net of tax, and a loss of $1 million, respectively, in Interest Expense.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foreign currency exchange, interest rate swap and cross-currency swap contracts are valued using market observable inputs. As such, these derivative instruments are classified within Level 2. The assumptions used in measuring the fair value of the cross-currency swap are considered Level 2 inputs, which are based upon market-observable interest rate curves, cross-currency basis curves, credit default swap curves, and foreign exchange rates.</w:t>
      </w:r>
    </w:p>
    <w:p>
      <w:pPr>
        <w:spacing w:after="0" w:line="11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carrying value of Cash, cash equivalents, and restricted cash, Account receivables and Notes and Other receivables contained in the Consolidated Interim Balance Sheet approximates fair value.</w:t>
      </w:r>
    </w:p>
    <w:p>
      <w:pPr>
        <w:spacing w:after="0" w:line="2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20" w:name="page21"/>
    <w:bookmarkEnd w:id="20"/>
    <w:p>
      <w:pPr>
        <w:ind w:left="320"/>
        <w:spacing w:after="0"/>
        <w:rPr>
          <w:sz w:val="20"/>
          <w:szCs w:val="20"/>
          <w:color w:val="auto"/>
        </w:rPr>
      </w:pPr>
      <w:r>
        <w:rPr>
          <w:rFonts w:ascii="Times New Roman" w:cs="Times New Roman" w:eastAsia="Times New Roman" w:hAnsi="Times New Roman"/>
          <w:sz w:val="14"/>
          <w:szCs w:val="14"/>
          <w:color w:val="auto"/>
        </w:rPr>
        <w:t>The following table sets forth the Company’s financial assets and liabilities that were not carried at fair value: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20" w:type="dxa"/>
            <w:vAlign w:val="bottom"/>
          </w:tcPr>
          <w:p>
            <w:pPr>
              <w:spacing w:after="0"/>
              <w:rPr>
                <w:sz w:val="13"/>
                <w:szCs w:val="13"/>
                <w:color w:val="auto"/>
              </w:rPr>
            </w:pPr>
          </w:p>
        </w:tc>
        <w:tc>
          <w:tcPr>
            <w:tcW w:w="2760" w:type="dxa"/>
            <w:vAlign w:val="bottom"/>
            <w:tcBorders>
              <w:bottom w:val="single" w:sz="8" w:color="auto"/>
            </w:tcBorders>
            <w:gridSpan w:val="3"/>
          </w:tcPr>
          <w:p>
            <w:pPr>
              <w:jc w:val="right"/>
              <w:ind w:right="596"/>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100" w:type="dxa"/>
            <w:vAlign w:val="bottom"/>
            <w:tcBorders>
              <w:bottom w:val="single" w:sz="8" w:color="auto"/>
            </w:tcBorders>
          </w:tcPr>
          <w:p>
            <w:pPr>
              <w:spacing w:after="0"/>
              <w:rPr>
                <w:sz w:val="13"/>
                <w:szCs w:val="13"/>
                <w:color w:val="auto"/>
              </w:rPr>
            </w:pPr>
          </w:p>
        </w:tc>
      </w:tr>
      <w:tr>
        <w:trPr>
          <w:trHeight w:val="161"/>
        </w:trPr>
        <w:tc>
          <w:tcPr>
            <w:tcW w:w="4720" w:type="dxa"/>
            <w:vAlign w:val="bottom"/>
          </w:tcPr>
          <w:p>
            <w:pPr>
              <w:spacing w:after="0"/>
              <w:rPr>
                <w:sz w:val="14"/>
                <w:szCs w:val="14"/>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61"/>
        </w:trPr>
        <w:tc>
          <w:tcPr>
            <w:tcW w:w="4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20" w:type="dxa"/>
            <w:vAlign w:val="bottom"/>
            <w:gridSpan w:val="3"/>
          </w:tcPr>
          <w:p>
            <w:pPr>
              <w:jc w:val="right"/>
              <w:ind w:right="656"/>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361"/>
        </w:trPr>
        <w:tc>
          <w:tcPr>
            <w:tcW w:w="4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Term Loan Facilities</w:t>
            </w:r>
          </w:p>
        </w:tc>
        <w:tc>
          <w:tcPr>
            <w:tcW w:w="1240" w:type="dxa"/>
            <w:vAlign w:val="bottom"/>
            <w:shd w:val="clear" w:color="auto" w:fill="CCEEFF"/>
          </w:tcPr>
          <w:p>
            <w:pPr>
              <w:jc w:val="right"/>
              <w:ind w:right="109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680</w:t>
            </w:r>
          </w:p>
        </w:tc>
        <w:tc>
          <w:tcPr>
            <w:tcW w:w="116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1,650</w:t>
            </w:r>
          </w:p>
        </w:tc>
        <w:tc>
          <w:tcPr>
            <w:tcW w:w="54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w:t>
            </w:r>
          </w:p>
        </w:tc>
      </w:tr>
      <w:tr>
        <w:trPr>
          <w:trHeight w:val="202"/>
        </w:trPr>
        <w:tc>
          <w:tcPr>
            <w:tcW w:w="4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2032 Senior Notes</w:t>
            </w:r>
          </w:p>
        </w:tc>
        <w:tc>
          <w:tcPr>
            <w:tcW w:w="1240" w:type="dxa"/>
            <w:vAlign w:val="bottom"/>
          </w:tcPr>
          <w:p>
            <w:pPr>
              <w:spacing w:after="0"/>
              <w:rPr>
                <w:sz w:val="17"/>
                <w:szCs w:val="17"/>
                <w:color w:val="auto"/>
              </w:rPr>
            </w:pPr>
          </w:p>
        </w:tc>
        <w:tc>
          <w:tcPr>
            <w:tcW w:w="3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789</w:t>
            </w:r>
          </w:p>
        </w:tc>
        <w:tc>
          <w:tcPr>
            <w:tcW w:w="11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1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 determined the fair value of its Term Loan Facilities and related current maturities utilizing transactions in the listed markets for similar liabilities. As such, the fair value of the Term Loan Facilities and related current maturities is considered Level 2. The fair value of the 2032 Senior Notes was determined using quoted prices from daily exchange traded markets and is classified as a Level 1 measurement.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Accumulated Other Comprehensive Income</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changes in AOCI by component are set forth below:</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60" w:type="dxa"/>
            <w:vAlign w:val="bottom"/>
            <w:gridSpan w:val="3"/>
          </w:tcPr>
          <w:p>
            <w:pPr>
              <w:jc w:val="right"/>
              <w:ind w:right="314"/>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860" w:type="dxa"/>
            <w:vAlign w:val="bottom"/>
          </w:tcPr>
          <w:p>
            <w:pPr>
              <w:spacing w:after="0"/>
              <w:rPr>
                <w:sz w:val="11"/>
                <w:szCs w:val="11"/>
                <w:color w:val="auto"/>
              </w:rPr>
            </w:pPr>
          </w:p>
        </w:tc>
      </w:tr>
      <w:tr>
        <w:trPr>
          <w:trHeight w:val="155"/>
        </w:trPr>
        <w:tc>
          <w:tcPr>
            <w:tcW w:w="55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494"/>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860" w:type="dxa"/>
            <w:vAlign w:val="bottom"/>
            <w:tcBorders>
              <w:bottom w:val="single" w:sz="8" w:color="auto"/>
            </w:tcBorders>
          </w:tcPr>
          <w:p>
            <w:pPr>
              <w:spacing w:after="0"/>
              <w:rPr>
                <w:sz w:val="13"/>
                <w:szCs w:val="13"/>
                <w:color w:val="auto"/>
              </w:rPr>
            </w:pPr>
          </w:p>
        </w:tc>
      </w:tr>
      <w:tr>
        <w:trPr>
          <w:trHeight w:val="149"/>
        </w:trPr>
        <w:tc>
          <w:tcPr>
            <w:tcW w:w="5560" w:type="dxa"/>
            <w:vAlign w:val="bottom"/>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5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gridSpan w:val="3"/>
          </w:tcPr>
          <w:p>
            <w:pPr>
              <w:jc w:val="right"/>
              <w:ind w:right="354"/>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Foreign Exchange Translation Adjustment</w:t>
            </w: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1"/>
        </w:trPr>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840" w:type="dxa"/>
            <w:vAlign w:val="bottom"/>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5"/>
                <w:szCs w:val="15"/>
                <w:color w:val="auto"/>
              </w:rPr>
            </w:pPr>
          </w:p>
        </w:tc>
        <w:tc>
          <w:tcPr>
            <w:tcW w:w="860" w:type="dxa"/>
            <w:vAlign w:val="bottom"/>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5"/>
                <w:szCs w:val="15"/>
                <w:color w:val="auto"/>
              </w:rPr>
            </w:pPr>
          </w:p>
        </w:tc>
        <w:tc>
          <w:tcPr>
            <w:tcW w:w="840" w:type="dxa"/>
            <w:vAlign w:val="bottom"/>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45"/>
        </w:trPr>
        <w:tc>
          <w:tcPr>
            <w:tcW w:w="556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Other comprehensive (loss) income before</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85"/>
        </w:trPr>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reclassifications</w:t>
            </w: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1"/>
        </w:trPr>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84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55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8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13"/>
        </w:trPr>
        <w:tc>
          <w:tcPr>
            <w:tcW w:w="5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Pension Adjustments</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1"/>
        </w:trPr>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42"/>
        </w:trPr>
        <w:tc>
          <w:tcPr>
            <w:tcW w:w="556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Other comprehensive income (loss) before</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88"/>
        </w:trPr>
        <w:tc>
          <w:tcPr>
            <w:tcW w:w="5560" w:type="dxa"/>
            <w:vAlign w:val="bottom"/>
            <w:shd w:val="clear" w:color="auto" w:fill="CCEEFF"/>
          </w:tcPr>
          <w:p>
            <w:pPr>
              <w:ind w:left="200"/>
              <w:spacing w:after="0" w:line="189" w:lineRule="exact"/>
              <w:rPr>
                <w:sz w:val="20"/>
                <w:szCs w:val="20"/>
                <w:color w:val="auto"/>
              </w:rPr>
            </w:pPr>
            <w:r>
              <w:rPr>
                <w:rFonts w:ascii="Times New Roman" w:cs="Times New Roman" w:eastAsia="Times New Roman" w:hAnsi="Times New Roman"/>
                <w:sz w:val="14"/>
                <w:szCs w:val="14"/>
                <w:color w:val="auto"/>
              </w:rPr>
              <w:t xml:space="preserve">reclassifications </w:t>
            </w:r>
            <w:r>
              <w:rPr>
                <w:rFonts w:ascii="Times New Roman" w:cs="Times New Roman" w:eastAsia="Times New Roman" w:hAnsi="Times New Roman"/>
                <w:sz w:val="18"/>
                <w:szCs w:val="18"/>
                <w:color w:val="auto"/>
                <w:vertAlign w:val="superscript"/>
              </w:rPr>
              <w:t>(1)</w:t>
            </w: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8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13"/>
        </w:trPr>
        <w:tc>
          <w:tcPr>
            <w:tcW w:w="5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81"/>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Changes in Fair Value of Effective Cash Flow Hedges</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1"/>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42"/>
        </w:trPr>
        <w:tc>
          <w:tcPr>
            <w:tcW w:w="55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Other comprehensive (loss) income before</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88"/>
        </w:trPr>
        <w:tc>
          <w:tcPr>
            <w:tcW w:w="5560" w:type="dxa"/>
            <w:vAlign w:val="bottom"/>
          </w:tcPr>
          <w:p>
            <w:pPr>
              <w:ind w:left="200"/>
              <w:spacing w:after="0" w:line="189" w:lineRule="exact"/>
              <w:rPr>
                <w:sz w:val="20"/>
                <w:szCs w:val="20"/>
                <w:color w:val="auto"/>
              </w:rPr>
            </w:pPr>
            <w:r>
              <w:rPr>
                <w:rFonts w:ascii="Times New Roman" w:cs="Times New Roman" w:eastAsia="Times New Roman" w:hAnsi="Times New Roman"/>
                <w:sz w:val="14"/>
                <w:szCs w:val="14"/>
                <w:color w:val="auto"/>
              </w:rPr>
              <w:t xml:space="preserve">reclassifications </w:t>
            </w:r>
            <w:r>
              <w:rPr>
                <w:rFonts w:ascii="Times New Roman" w:cs="Times New Roman" w:eastAsia="Times New Roman" w:hAnsi="Times New Roman"/>
                <w:sz w:val="18"/>
                <w:szCs w:val="18"/>
                <w:color w:val="auto"/>
                <w:vertAlign w:val="superscript"/>
              </w:rPr>
              <w:t>(2)</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1"/>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Amounts reclassified from AOCI, net</w:t>
            </w:r>
          </w:p>
        </w:tc>
        <w:tc>
          <w:tcPr>
            <w:tcW w:w="8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72"/>
        </w:trPr>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13"/>
        </w:trPr>
        <w:tc>
          <w:tcPr>
            <w:tcW w:w="5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81"/>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Changes in Fair Value of Net Investment Hedges</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1"/>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42"/>
        </w:trPr>
        <w:tc>
          <w:tcPr>
            <w:tcW w:w="55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Other comprehensive (loss) income before</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88"/>
        </w:trPr>
        <w:tc>
          <w:tcPr>
            <w:tcW w:w="5560" w:type="dxa"/>
            <w:vAlign w:val="bottom"/>
            <w:tcBorders>
              <w:bottom w:val="single" w:sz="8" w:color="CCEEFF"/>
            </w:tcBorders>
          </w:tcPr>
          <w:p>
            <w:pPr>
              <w:ind w:left="200"/>
              <w:spacing w:after="0" w:line="189" w:lineRule="exact"/>
              <w:rPr>
                <w:sz w:val="20"/>
                <w:szCs w:val="20"/>
                <w:color w:val="auto"/>
              </w:rPr>
            </w:pPr>
            <w:r>
              <w:rPr>
                <w:rFonts w:ascii="Times New Roman" w:cs="Times New Roman" w:eastAsia="Times New Roman" w:hAnsi="Times New Roman"/>
                <w:sz w:val="14"/>
                <w:szCs w:val="14"/>
                <w:color w:val="auto"/>
              </w:rPr>
              <w:t xml:space="preserve">reclassifications, net </w:t>
            </w:r>
            <w:r>
              <w:rPr>
                <w:rFonts w:ascii="Times New Roman" w:cs="Times New Roman" w:eastAsia="Times New Roman" w:hAnsi="Times New Roman"/>
                <w:sz w:val="18"/>
                <w:szCs w:val="18"/>
                <w:color w:val="auto"/>
                <w:vertAlign w:val="superscript"/>
              </w:rPr>
              <w:t>(3)</w:t>
            </w: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72"/>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213"/>
        </w:trPr>
        <w:tc>
          <w:tcPr>
            <w:tcW w:w="55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197"/>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end of period</w:t>
            </w:r>
          </w:p>
        </w:tc>
        <w:tc>
          <w:tcPr>
            <w:tcW w:w="84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5720" w:right="5020" w:hanging="5514"/>
        <w:spacing w:after="0" w:line="717" w:lineRule="auto"/>
        <w:tabs>
          <w:tab w:leader="none" w:pos="505"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income tax effects for the three and nine months ended September 30, 2024 and 2023.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21" w:name="page22"/>
    <w:bookmarkEnd w:id="21"/>
    <w:p>
      <w:pPr>
        <w:ind w:left="500" w:hanging="294"/>
        <w:spacing w:after="0" w:line="264" w:lineRule="auto"/>
        <w:tabs>
          <w:tab w:leader="none" w:pos="58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tax expense (benefit) of $(14) million and $2 million for the three months ended September 30, 2024 and 2023, respectively and $(8) million and $4 million for the nine months ended September 30, 2024 and 2023, respectively.</w:t>
      </w:r>
    </w:p>
    <w:p>
      <w:pPr>
        <w:ind w:left="500" w:hanging="294"/>
        <w:spacing w:after="0" w:line="268" w:lineRule="auto"/>
        <w:tabs>
          <w:tab w:leader="none" w:pos="399"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tax expense (benefit) of $(4) million and $4 million for the three months ended September 30, 2024 and 2023, respectively, and $2 million and $(2) million for the nine months ended September 30, 2024 and 2023, respectively.</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Reclassifications from AOCI to income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80" w:type="dxa"/>
            <w:vAlign w:val="bottom"/>
            <w:gridSpan w:val="3"/>
          </w:tcPr>
          <w:p>
            <w:pPr>
              <w:jc w:val="right"/>
              <w:ind w:right="333"/>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860" w:type="dxa"/>
            <w:vAlign w:val="bottom"/>
          </w:tcPr>
          <w:p>
            <w:pPr>
              <w:spacing w:after="0"/>
              <w:rPr>
                <w:sz w:val="11"/>
                <w:szCs w:val="11"/>
                <w:color w:val="auto"/>
              </w:rPr>
            </w:pPr>
          </w:p>
        </w:tc>
      </w:tr>
      <w:tr>
        <w:trPr>
          <w:trHeight w:val="155"/>
        </w:trPr>
        <w:tc>
          <w:tcPr>
            <w:tcW w:w="55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493"/>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860" w:type="dxa"/>
            <w:vAlign w:val="bottom"/>
            <w:tcBorders>
              <w:bottom w:val="single" w:sz="8" w:color="auto"/>
            </w:tcBorders>
          </w:tcPr>
          <w:p>
            <w:pPr>
              <w:spacing w:after="0"/>
              <w:rPr>
                <w:sz w:val="13"/>
                <w:szCs w:val="13"/>
                <w:color w:val="auto"/>
              </w:rPr>
            </w:pPr>
          </w:p>
        </w:tc>
      </w:tr>
      <w:tr>
        <w:trPr>
          <w:trHeight w:val="149"/>
        </w:trPr>
        <w:tc>
          <w:tcPr>
            <w:tcW w:w="5560" w:type="dxa"/>
            <w:vAlign w:val="bottom"/>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2023</w:t>
            </w: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5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gridSpan w:val="3"/>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Foreign Exchange Translation Adjustment</w:t>
            </w: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02"/>
        </w:trPr>
        <w:tc>
          <w:tcPr>
            <w:tcW w:w="5560" w:type="dxa"/>
            <w:vAlign w:val="bottom"/>
            <w:tcBorders>
              <w:bottom w:val="single" w:sz="8" w:color="CCEEFF"/>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Reclassification adjustments recognized in income </w:t>
            </w:r>
            <w:r>
              <w:rPr>
                <w:rFonts w:ascii="Times New Roman" w:cs="Times New Roman" w:eastAsia="Times New Roman" w:hAnsi="Times New Roman"/>
                <w:sz w:val="18"/>
                <w:szCs w:val="18"/>
                <w:color w:val="auto"/>
                <w:vertAlign w:val="superscript"/>
              </w:rPr>
              <w:t>(1)</w:t>
            </w:r>
          </w:p>
        </w:tc>
        <w:tc>
          <w:tcPr>
            <w:tcW w:w="84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8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5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Changes in Fair Value of Effective Cash Flow Hedges</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1"/>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Reclassification forward currency exchange contracts to Cost of goods sold</w:t>
            </w:r>
          </w:p>
        </w:tc>
        <w:tc>
          <w:tcPr>
            <w:tcW w:w="840" w:type="dxa"/>
            <w:vAlign w:val="bottom"/>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860" w:type="dxa"/>
            <w:vAlign w:val="bottom"/>
          </w:tcPr>
          <w:p>
            <w:pPr>
              <w:jc w:val="right"/>
              <w:ind w:right="713"/>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860" w:type="dxa"/>
            <w:vAlign w:val="bottom"/>
          </w:tcPr>
          <w:p>
            <w:pPr>
              <w:jc w:val="right"/>
              <w:ind w:right="713"/>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cross-currency swaps to Interest expense</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Reclassification cross-currency swaps to Non-operating (income) expense</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effect on reclassification to income</w:t>
            </w:r>
          </w:p>
        </w:tc>
        <w:tc>
          <w:tcPr>
            <w:tcW w:w="8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3"/>
        </w:trPr>
        <w:tc>
          <w:tcPr>
            <w:tcW w:w="5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Amounts reclassified from AOCI, net</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13"/>
        </w:trPr>
        <w:tc>
          <w:tcPr>
            <w:tcW w:w="55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r>
      <w:tr>
        <w:trPr>
          <w:trHeight w:val="172"/>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reclassifications for the period</w:t>
            </w:r>
          </w:p>
        </w:tc>
        <w:tc>
          <w:tcPr>
            <w:tcW w:w="84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4"/>
                <w:szCs w:val="14"/>
                <w:color w:val="auto"/>
              </w:rPr>
            </w:pPr>
          </w:p>
        </w:tc>
        <w:tc>
          <w:tcPr>
            <w:tcW w:w="86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0"/>
        </w:trPr>
        <w:tc>
          <w:tcPr>
            <w:tcW w:w="5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i w:val="1"/>
          <w:iCs w:val="1"/>
          <w:color w:val="auto"/>
        </w:rPr>
        <w:t>(1) Cumulative translation losses reclassified to Net income related to the sale of an equity interest in an unconsolidated joint venture. See Note 21 for discussion.</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Earnings Per Share</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For the three and nine months ended September 30, 2024, as well as the three months ended September 30, 2023, basic earnings per share ("EPS") is computed using the weighted-average number of common shares outstanding during the period.</w:t>
      </w:r>
    </w:p>
    <w:p>
      <w:pPr>
        <w:spacing w:after="0" w:line="10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For the nine months ended September 30, 2023, basic earnings per share was calculated using the two-class method because our Series A Preferred Stock was considered a participating security prior to its conversion into Common Stock and cancellation pursuant to the Transaction. The two-class method requires an allocation of earnings to all securities that participate in dividends with common shares, which included our Series A Preferred Stock, to the extent that each such security may share in the entity’s earnings. Basic earnings per share are then calculated by dividing undistributed earnings allocated to common stock by the weighted average number of common shares outstanding for the period.</w:t>
      </w:r>
    </w:p>
    <w:p>
      <w:pPr>
        <w:spacing w:after="0" w:line="109"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Diluted earnings per share for the three and nine months ended September 30, 2024, as well as the three months ended September 30, 2023, is calculated based on the weighted-average number of common shares outstanding for the period plus the dilutive effect of common stock equivalents using the treasury stock method. Diluted earnings per share for the nine months ended September 30, 2023 is calculated using the more dilutive of the two-class or if-converted methods. The two-class method uses net income available to common shareholders and assumes conversion of all potential shares other than the participating securities. The if-converted method uses net income and assumes conversion of all potential shares including the participating securities.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details of the EPS calculations for the three and nine months ended September 30, 2024 and 2023 are as follows:</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4" w:right="3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28"/>
        </w:trPr>
        <w:tc>
          <w:tcPr>
            <w:tcW w:w="4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6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100" w:type="dxa"/>
            <w:vAlign w:val="bottom"/>
          </w:tcPr>
          <w:p>
            <w:pPr>
              <w:spacing w:after="0"/>
              <w:rPr>
                <w:sz w:val="11"/>
                <w:szCs w:val="11"/>
                <w:color w:val="auto"/>
              </w:rPr>
            </w:pPr>
          </w:p>
        </w:tc>
      </w:tr>
      <w:tr>
        <w:trPr>
          <w:trHeight w:val="149"/>
        </w:trPr>
        <w:tc>
          <w:tcPr>
            <w:tcW w:w="4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gridSpan w:val="3"/>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80" w:type="dxa"/>
            <w:vAlign w:val="bottom"/>
            <w:gridSpan w:val="3"/>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100" w:type="dxa"/>
            <w:vAlign w:val="bottom"/>
          </w:tcPr>
          <w:p>
            <w:pPr>
              <w:spacing w:after="0"/>
              <w:rPr>
                <w:sz w:val="12"/>
                <w:szCs w:val="12"/>
                <w:color w:val="auto"/>
              </w:rPr>
            </w:pPr>
          </w:p>
        </w:tc>
      </w:tr>
      <w:tr>
        <w:trPr>
          <w:trHeight w:val="30"/>
        </w:trPr>
        <w:tc>
          <w:tcPr>
            <w:tcW w:w="46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52"/>
        </w:trPr>
        <w:tc>
          <w:tcPr>
            <w:tcW w:w="46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4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780" w:type="dxa"/>
            <w:vAlign w:val="bottom"/>
            <w:gridSpan w:val="5"/>
          </w:tcPr>
          <w:p>
            <w:pPr>
              <w:ind w:left="160"/>
              <w:spacing w:after="0"/>
              <w:rPr>
                <w:sz w:val="20"/>
                <w:szCs w:val="20"/>
                <w:color w:val="auto"/>
              </w:rPr>
            </w:pPr>
            <w:r>
              <w:rPr>
                <w:rFonts w:ascii="Times New Roman" w:cs="Times New Roman" w:eastAsia="Times New Roman" w:hAnsi="Times New Roman"/>
                <w:sz w:val="11"/>
                <w:szCs w:val="11"/>
                <w:b w:val="1"/>
                <w:bCs w:val="1"/>
                <w:color w:val="auto"/>
              </w:rPr>
              <w:t>(Dollars in millions except per share)</w:t>
            </w:r>
          </w:p>
        </w:tc>
        <w:tc>
          <w:tcPr>
            <w:tcW w:w="4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12"/>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 earnings per share: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7"/>
                <w:szCs w:val="17"/>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7"/>
                <w:szCs w:val="17"/>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7"/>
                <w:szCs w:val="17"/>
                <w:color w:val="auto"/>
              </w:rPr>
            </w:pP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r>
      <w:tr>
        <w:trPr>
          <w:trHeight w:val="20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preferred stock dividend</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9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preferred stock deemed dividends</w:t>
            </w:r>
          </w:p>
        </w:tc>
        <w:tc>
          <w:tcPr>
            <w:tcW w:w="38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r>
      <w:tr>
        <w:trPr>
          <w:trHeight w:val="193"/>
        </w:trPr>
        <w:tc>
          <w:tcPr>
            <w:tcW w:w="468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income (loss) available to common shareholders</w:t>
            </w: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top w:val="single" w:sz="8" w:color="CCEEFF"/>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93"/>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Basic</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217,283,749</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250,888,716</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226,057,803</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141,745,701</w:t>
            </w:r>
          </w:p>
        </w:tc>
      </w:tr>
      <w:tr>
        <w:trPr>
          <w:trHeight w:val="224"/>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EPS – Basic</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0.80</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(0.73)</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4"/>
        </w:trPr>
        <w:tc>
          <w:tcPr>
            <w:tcW w:w="4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2"/>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Diluted earnings per share:</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Method used:</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4"/>
                <w:szCs w:val="14"/>
                <w:i w:val="1"/>
                <w:iCs w:val="1"/>
                <w:color w:val="auto"/>
              </w:rPr>
              <w:t>Two-class</w:t>
            </w:r>
          </w:p>
        </w:tc>
      </w:tr>
      <w:tr>
        <w:trPr>
          <w:trHeight w:val="20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Basic</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217,283,749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250,888,716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226,057,803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141,745,701</w:t>
            </w:r>
          </w:p>
        </w:tc>
      </w:tr>
      <w:tr>
        <w:trPr>
          <w:trHeight w:val="207"/>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Dilutive effect of unvested RSUs and other contingently issuable shares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1,119,932</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1,493,003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1,591,944</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Diluted</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218,403,681</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252,381,719</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227,649,747</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141,745,701</w:t>
            </w:r>
          </w:p>
        </w:tc>
      </w:tr>
      <w:tr>
        <w:trPr>
          <w:trHeight w:val="18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EPS – Diluted</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0.80</w:t>
            </w:r>
          </w:p>
        </w:tc>
        <w:tc>
          <w:tcPr>
            <w:tcW w:w="80" w:type="dxa"/>
            <w:vAlign w:val="bottom"/>
          </w:tcPr>
          <w:p>
            <w:pPr>
              <w:spacing w:after="0"/>
              <w:rPr>
                <w:sz w:val="16"/>
                <w:szCs w:val="16"/>
                <w:color w:val="auto"/>
              </w:rPr>
            </w:pPr>
          </w:p>
        </w:tc>
        <w:tc>
          <w:tcPr>
            <w:tcW w:w="4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(0.73)</w:t>
            </w:r>
          </w:p>
        </w:tc>
      </w:tr>
      <w:tr>
        <w:trPr>
          <w:trHeight w:val="20"/>
        </w:trPr>
        <w:tc>
          <w:tcPr>
            <w:tcW w:w="4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periods where a net loss attributable to common shareholders is present, dilutive securities have been excluded from the calculation of diluted net loss per share attributable to common stockholders as including them would have been anti-dilutive. For the nine months ended September 30, 2023, the weighted-average number of unvested RSUs and other contingently issuable shares excluded from the computations was 1,349,442 shares.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Commitments and Contingencies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Securities Litigation</w:t>
      </w:r>
    </w:p>
    <w:p>
      <w:pPr>
        <w:spacing w:after="0" w:line="16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In 2020, various securities class action complaints were filed against Garrett Motion Inc. and certain current and former Garrett officers and directors in the United States District Court for the Southern District of New York asserting claims under Section 10(b) and 20(a) of the Securities Exchange Act of 1934, as amended, for alleged securities fraud and control person liability. In March 2022, the trial court dismissed with prejudice the claims against certain of the defendants, and in March 2023, the trial court dismissed with prejudice all remaining claims. In April 2023, the plaintiffs appealed the trial court’s decision to the United States Court of Appeals for the Second Circuit. In April 2024, the Second Circuit affirmed dismissal of the claims, and the deadline for further appeals has passed.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Brazilian Tax Matter</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In September 2020, the Brazilian tax authorities issued an infraction notice against Garrett Motion Industria Automotiva Brasil Ltda, challenging the use of certain tax credits (“Befiex Credits”) between January 2017 and February 2020. The infraction notice results in a loss contingency that may or may not ultimately be incurred by the Company. The estimated total amount of the contingency as of September 30, 2024 was $24 million, including penalties and interest. The Company believes, based on management’s assessment and the advice of external legal counsel, that it has meritorious arguments in connection with the infraction notice and any liability for the infraction notice is currently not probable. Accordingly, no accrual is required at this time.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Warranties and Guarantees</w:t>
      </w:r>
    </w:p>
    <w:p>
      <w:pPr>
        <w:spacing w:after="0" w:line="15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In the normal course of business, we issue product warranties and product performance guarantees. We accrue for the estimated cost of product warranties and performance guarantees based on contract terms and historical experience at the</w:t>
      </w: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23" w:name="page24"/>
    <w:bookmarkEnd w:id="23"/>
    <w:p>
      <w:pPr>
        <w:jc w:val="both"/>
        <w:spacing w:after="0" w:line="267" w:lineRule="auto"/>
        <w:rPr>
          <w:sz w:val="20"/>
          <w:szCs w:val="20"/>
          <w:color w:val="auto"/>
        </w:rPr>
      </w:pPr>
      <w:r>
        <w:rPr>
          <w:rFonts w:ascii="Times New Roman" w:cs="Times New Roman" w:eastAsia="Times New Roman" w:hAnsi="Times New Roman"/>
          <w:sz w:val="14"/>
          <w:szCs w:val="14"/>
          <w:color w:val="auto"/>
        </w:rPr>
        <w:t>time of sale to the customer. Adjustments to initial obligations for warranties and guarantees are made as changes to the obligations become reasonably estimable. Product warranties and product performance guarantees are included in Accrued liabilities and Other liabilities. The following table summarizes information concerning our recorded obligations for product warranties and product performance guarantees.</w:t>
      </w:r>
    </w:p>
    <w:tbl>
      <w:tblPr>
        <w:tblLayout w:type="fixed"/>
        <w:tblInd w:w="0" w:type="dxa"/>
        <w:tblCellMar>
          <w:top w:w="0" w:type="dxa"/>
          <w:left w:w="0" w:type="dxa"/>
          <w:bottom w:w="0" w:type="dxa"/>
          <w:right w:w="0" w:type="dxa"/>
        </w:tblCellMar>
      </w:tblPr>
      <w:tr>
        <w:trPr>
          <w:trHeight w:val="118"/>
        </w:trPr>
        <w:tc>
          <w:tcPr>
            <w:tcW w:w="6720" w:type="dxa"/>
            <w:vAlign w:val="bottom"/>
          </w:tcPr>
          <w:p>
            <w:pPr>
              <w:spacing w:after="0"/>
              <w:rPr>
                <w:sz w:val="10"/>
                <w:szCs w:val="10"/>
                <w:color w:val="auto"/>
              </w:rPr>
            </w:pPr>
          </w:p>
        </w:tc>
        <w:tc>
          <w:tcPr>
            <w:tcW w:w="1920" w:type="dxa"/>
            <w:vAlign w:val="bottom"/>
            <w:gridSpan w:val="4"/>
          </w:tcPr>
          <w:p>
            <w:pPr>
              <w:jc w:val="right"/>
              <w:ind w:right="216"/>
              <w:spacing w:after="0" w:line="119" w:lineRule="exact"/>
              <w:rPr>
                <w:sz w:val="20"/>
                <w:szCs w:val="20"/>
                <w:color w:val="auto"/>
              </w:rPr>
            </w:pPr>
            <w:r>
              <w:rPr>
                <w:rFonts w:ascii="Times New Roman" w:cs="Times New Roman" w:eastAsia="Times New Roman" w:hAnsi="Times New Roman"/>
                <w:sz w:val="11"/>
                <w:szCs w:val="11"/>
                <w:b w:val="1"/>
                <w:bCs w:val="1"/>
                <w:color w:val="auto"/>
              </w:rPr>
              <w:t>Three Months Ended</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80" w:type="dxa"/>
            <w:vAlign w:val="bottom"/>
            <w:gridSpan w:val="4"/>
          </w:tcPr>
          <w:p>
            <w:pPr>
              <w:jc w:val="right"/>
              <w:ind w:right="551"/>
              <w:spacing w:after="0" w:line="119" w:lineRule="exact"/>
              <w:rPr>
                <w:sz w:val="20"/>
                <w:szCs w:val="20"/>
                <w:color w:val="auto"/>
              </w:rPr>
            </w:pPr>
            <w:r>
              <w:rPr>
                <w:rFonts w:ascii="Times New Roman" w:cs="Times New Roman" w:eastAsia="Times New Roman" w:hAnsi="Times New Roman"/>
                <w:sz w:val="11"/>
                <w:szCs w:val="11"/>
                <w:b w:val="1"/>
                <w:bCs w:val="1"/>
                <w:color w:val="auto"/>
              </w:rPr>
              <w:t>Nine Months Ended</w:t>
            </w:r>
          </w:p>
        </w:tc>
      </w:tr>
      <w:tr>
        <w:trPr>
          <w:trHeight w:val="153"/>
        </w:trPr>
        <w:tc>
          <w:tcPr>
            <w:tcW w:w="67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700" w:type="dxa"/>
            <w:vAlign w:val="bottom"/>
            <w:tcBorders>
              <w:bottom w:val="single" w:sz="8" w:color="auto"/>
            </w:tcBorders>
          </w:tcPr>
          <w:p>
            <w:pPr>
              <w:spacing w:after="0"/>
              <w:rPr>
                <w:sz w:val="13"/>
                <w:szCs w:val="13"/>
                <w:color w:val="auto"/>
              </w:rPr>
            </w:pPr>
          </w:p>
        </w:tc>
      </w:tr>
      <w:tr>
        <w:trPr>
          <w:trHeight w:val="156"/>
        </w:trPr>
        <w:tc>
          <w:tcPr>
            <w:tcW w:w="672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2023</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6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20" w:type="dxa"/>
            <w:vAlign w:val="bottom"/>
            <w:gridSpan w:val="6"/>
          </w:tcPr>
          <w:p>
            <w:pPr>
              <w:ind w:left="64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1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Warranty and product performance guarantees at beginning of period</w:t>
            </w:r>
          </w:p>
        </w:tc>
        <w:tc>
          <w:tcPr>
            <w:tcW w:w="72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97"/>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Accruals for warranties/guarantees issued during the period</w:t>
            </w:r>
          </w:p>
        </w:tc>
        <w:tc>
          <w:tcPr>
            <w:tcW w:w="7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of warranty/guarantee claims</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7"/>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8"/>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Warranty and product performance guarantees at end of period</w:t>
            </w:r>
          </w:p>
        </w:tc>
        <w:tc>
          <w:tcPr>
            <w:tcW w:w="720" w:type="dxa"/>
            <w:vAlign w:val="bottom"/>
            <w:tcBorders>
              <w:top w:val="single" w:sz="8" w:color="auto"/>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Commitments and Contingencies</w:t>
      </w:r>
    </w:p>
    <w:p>
      <w:pPr>
        <w:spacing w:after="0" w:line="16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are subject to other lawsuits, investigations, and disputes arising out of the conduct of our business, including matters relating to commercial transactions, government contracts, product liability, prior acquisitions and divestitures, employee benefit plans, intellectual property, and environmental, health and safety matters. We recognize a liability for any contingency that is probable of occurring and reasonably estimable. We continually assess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20. Pension Benefits</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sponsor several funded U.S. and non-U.S. defined benefit pension plans. Significant plans outside the U.S. are in Switzerland and Ireland. Other pension plans outside the U.S. are not material to the Company, either individually or in the aggregate.</w:t>
      </w:r>
    </w:p>
    <w:p>
      <w:pPr>
        <w:spacing w:after="0" w:line="10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Our general funding policy for qualified defined benefit pension plans is to contribute amounts at least sufficient to satisfy regulatory funding standards. We are not required to make any contributions to our U.S. pension plan in 2024. We expect to make contributions of cash and/or marketable securities of approximately $7 million to our non-U.S. pension plans to satisfy regulatory funding standards in 2024, of which $5 million has been contributed as of September 30, 2024.</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Net periodic benefit costs for our significant defined benefit plans include the following components: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6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3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3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r>
      <w:tr>
        <w:trPr>
          <w:trHeight w:val="161"/>
        </w:trPr>
        <w:tc>
          <w:tcPr>
            <w:tcW w:w="29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Non-U.S. Plan</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Non-U.S. Plan</w:t>
            </w:r>
          </w:p>
        </w:tc>
        <w:tc>
          <w:tcPr>
            <w:tcW w:w="620" w:type="dxa"/>
            <w:vAlign w:val="bottom"/>
            <w:tcBorders>
              <w:bottom w:val="single" w:sz="8" w:color="auto"/>
            </w:tcBorders>
          </w:tcPr>
          <w:p>
            <w:pPr>
              <w:spacing w:after="0"/>
              <w:rPr>
                <w:sz w:val="14"/>
                <w:szCs w:val="14"/>
                <w:color w:val="auto"/>
              </w:rPr>
            </w:pPr>
          </w:p>
        </w:tc>
      </w:tr>
      <w:tr>
        <w:trPr>
          <w:trHeight w:val="161"/>
        </w:trPr>
        <w:tc>
          <w:tcPr>
            <w:tcW w:w="2960" w:type="dxa"/>
            <w:vAlign w:val="bottom"/>
          </w:tcPr>
          <w:p>
            <w:pPr>
              <w:spacing w:after="0"/>
              <w:rPr>
                <w:sz w:val="14"/>
                <w:szCs w:val="14"/>
                <w:color w:val="auto"/>
              </w:rPr>
            </w:pPr>
          </w:p>
        </w:tc>
        <w:tc>
          <w:tcPr>
            <w:tcW w:w="6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2023</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29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202"/>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680" w:type="dxa"/>
            <w:vAlign w:val="bottom"/>
            <w:shd w:val="clear" w:color="auto" w:fill="CFF0FC"/>
          </w:tcPr>
          <w:p>
            <w:pPr>
              <w:jc w:val="right"/>
              <w:ind w:right="514"/>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53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FF0FC"/>
          </w:tcPr>
          <w:p>
            <w:pPr>
              <w:jc w:val="center"/>
              <w:ind w:left="91"/>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center"/>
              <w:ind w:left="371"/>
              <w:spacing w:after="0"/>
              <w:rPr>
                <w:sz w:val="20"/>
                <w:szCs w:val="20"/>
                <w:color w:val="auto"/>
              </w:rPr>
            </w:pPr>
            <w:r>
              <w:rPr>
                <w:rFonts w:ascii="Times New Roman" w:cs="Times New Roman" w:eastAsia="Times New Roman" w:hAnsi="Times New Roman"/>
                <w:sz w:val="14"/>
                <w:szCs w:val="14"/>
                <w:color w:val="auto"/>
                <w:w w:val="85"/>
              </w:rPr>
              <w:t>4</w:t>
            </w:r>
          </w:p>
        </w:tc>
      </w:tr>
      <w:tr>
        <w:trPr>
          <w:trHeight w:val="197"/>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6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jc w:val="center"/>
              <w:ind w:left="91"/>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jc w:val="center"/>
              <w:ind w:left="371"/>
              <w:spacing w:after="0"/>
              <w:rPr>
                <w:sz w:val="20"/>
                <w:szCs w:val="20"/>
                <w:color w:val="auto"/>
              </w:rPr>
            </w:pPr>
            <w:r>
              <w:rPr>
                <w:rFonts w:ascii="Times New Roman" w:cs="Times New Roman" w:eastAsia="Times New Roman" w:hAnsi="Times New Roman"/>
                <w:sz w:val="14"/>
                <w:szCs w:val="14"/>
                <w:color w:val="auto"/>
                <w:w w:val="85"/>
              </w:rPr>
              <w:t>4</w:t>
            </w:r>
          </w:p>
        </w:tc>
      </w:tr>
      <w:tr>
        <w:trPr>
          <w:trHeight w:val="20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jc w:val="center"/>
              <w:ind w:left="51"/>
              <w:spacing w:after="0"/>
              <w:rPr>
                <w:sz w:val="20"/>
                <w:szCs w:val="20"/>
                <w:color w:val="auto"/>
              </w:rPr>
            </w:pPr>
            <w:r>
              <w:rPr>
                <w:rFonts w:ascii="Times New Roman" w:cs="Times New Roman" w:eastAsia="Times New Roman" w:hAnsi="Times New Roman"/>
                <w:sz w:val="14"/>
                <w:szCs w:val="14"/>
                <w:color w:val="auto"/>
                <w:w w:val="97"/>
              </w:rPr>
              <w:t>(6)</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20" w:type="dxa"/>
            <w:vAlign w:val="bottom"/>
            <w:shd w:val="clear" w:color="auto" w:fill="CFF0FC"/>
          </w:tcPr>
          <w:p>
            <w:pPr>
              <w:jc w:val="center"/>
              <w:ind w:left="351"/>
              <w:spacing w:after="0"/>
              <w:rPr>
                <w:sz w:val="20"/>
                <w:szCs w:val="20"/>
                <w:color w:val="auto"/>
              </w:rPr>
            </w:pPr>
            <w:r>
              <w:rPr>
                <w:rFonts w:ascii="Times New Roman" w:cs="Times New Roman" w:eastAsia="Times New Roman" w:hAnsi="Times New Roman"/>
                <w:sz w:val="14"/>
                <w:szCs w:val="14"/>
                <w:color w:val="auto"/>
                <w:w w:val="97"/>
              </w:rPr>
              <w:t>(6)</w:t>
            </w:r>
          </w:p>
        </w:tc>
      </w:tr>
      <w:tr>
        <w:trPr>
          <w:trHeight w:val="197"/>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Amortization of prior service (credit)</w:t>
            </w:r>
          </w:p>
        </w:tc>
        <w:tc>
          <w:tcPr>
            <w:tcW w:w="6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center"/>
              <w:ind w:left="51"/>
              <w:spacing w:after="0"/>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ind w:left="351"/>
              <w:spacing w:after="0"/>
              <w:rPr>
                <w:sz w:val="20"/>
                <w:szCs w:val="20"/>
                <w:color w:val="auto"/>
              </w:rPr>
            </w:pPr>
            <w:r>
              <w:rPr>
                <w:rFonts w:ascii="Times New Roman" w:cs="Times New Roman" w:eastAsia="Times New Roman" w:hAnsi="Times New Roman"/>
                <w:sz w:val="14"/>
                <w:szCs w:val="14"/>
                <w:color w:val="auto"/>
                <w:w w:val="97"/>
              </w:rPr>
              <w:t>(1)</w:t>
            </w:r>
          </w:p>
        </w:tc>
      </w:tr>
      <w:tr>
        <w:trPr>
          <w:trHeight w:val="21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680" w:type="dxa"/>
            <w:vAlign w:val="bottom"/>
            <w:shd w:val="clear" w:color="auto" w:fill="CFF0FC"/>
          </w:tcPr>
          <w:p>
            <w:pPr>
              <w:jc w:val="right"/>
              <w:ind w:right="514"/>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53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FF0FC"/>
          </w:tcPr>
          <w:p>
            <w:pPr>
              <w:jc w:val="center"/>
              <w:ind w:left="91"/>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center"/>
              <w:ind w:left="371"/>
              <w:spacing w:after="0"/>
              <w:rPr>
                <w:sz w:val="20"/>
                <w:szCs w:val="20"/>
                <w:color w:val="auto"/>
              </w:rPr>
            </w:pPr>
            <w:r>
              <w:rPr>
                <w:rFonts w:ascii="Times New Roman" w:cs="Times New Roman" w:eastAsia="Times New Roman" w:hAnsi="Times New Roman"/>
                <w:sz w:val="14"/>
                <w:szCs w:val="14"/>
                <w:color w:val="auto"/>
                <w:w w:val="85"/>
              </w:rPr>
              <w:t>1</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both our U.S. and non-U.S. defined benefit pension plans, we estimate the service and interest cost components of net periodic benefit (income) cost by utilizing a full yield curve approach in the estimation of these cost components by applying the specific spot rates along the yield curve used in the determination of the pension benefit obligation to their underlying projected cash flows. This approach provides a more precise measurement of service and interest costs by improving the correlation between projected cash flows and their corresponding spot rates.</w:t>
      </w:r>
    </w:p>
    <w:p>
      <w:pPr>
        <w:spacing w:after="0" w:line="200" w:lineRule="exact"/>
        <w:rPr>
          <w:sz w:val="20"/>
          <w:szCs w:val="20"/>
          <w:color w:val="auto"/>
        </w:rPr>
      </w:pPr>
    </w:p>
    <w:p>
      <w:pPr>
        <w:spacing w:after="0" w:line="3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color w:val="auto"/>
        </w:rPr>
        <w:t>Note 21. Acquisitions and Divestitures</w:t>
      </w:r>
    </w:p>
    <w:p>
      <w:pPr>
        <w:spacing w:after="0" w:line="19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On April 3, 2024, the Company divested its equity interest in an unconsolidated joint venture for approximately $58 million, subject to customary debt and working capital adjustments. We received cash consideration on the divestiture date of $46 million, with an additional $7 million to be received in two equal installments due twelve months and thirty-six months from the divestiture date. A pre-tax gain of $27 million was recognized related to this divestiture, including $5 million of cumulative translation losses reclassified from AOCI to Net income. Transaction fees of $1 million were incurred in connection with the divestiture and are included in Selling, general, and administrative expenses in our Consolidated Interim Statement of Operations.</w:t>
      </w:r>
    </w:p>
    <w:p>
      <w:pPr>
        <w:spacing w:after="0" w:line="200" w:lineRule="exact"/>
        <w:rPr>
          <w:sz w:val="20"/>
          <w:szCs w:val="20"/>
          <w:color w:val="auto"/>
        </w:rPr>
      </w:pPr>
    </w:p>
    <w:p>
      <w:pPr>
        <w:spacing w:after="0" w:line="25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58"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which we refer to as our “MD&amp;A,” should be read in conjunction with our Consolidated Interim Financial Statements and related notes appearing elsewhere in this Quarterly Report on Form 10-Q as well as the audited annual Consolidated Financial Statements for the year ended December 31, 2023, included in our 2023 Form 10-K. Some of the information contained in this MD&amp;A or set forth elsewhere in this Quarterly Report on Form 10-Q, including information with respect to our plans and strategy for our business, includes forward-looking statements that involve various risks and uncertainties. Please refer to the "Special Note Regarding Forward-Looking Statements" below.</w:t>
      </w:r>
    </w:p>
    <w:p>
      <w:pPr>
        <w:spacing w:after="0" w:line="281" w:lineRule="exact"/>
        <w:rPr>
          <w:sz w:val="20"/>
          <w:szCs w:val="20"/>
          <w:color w:val="auto"/>
        </w:rPr>
      </w:pPr>
    </w:p>
    <w:p>
      <w:pPr>
        <w:ind w:right="380" w:firstLine="307"/>
        <w:spacing w:after="0" w:line="468" w:lineRule="auto"/>
        <w:rPr>
          <w:sz w:val="20"/>
          <w:szCs w:val="20"/>
          <w:color w:val="auto"/>
        </w:rPr>
      </w:pPr>
      <w:r>
        <w:rPr>
          <w:rFonts w:ascii="Times New Roman" w:cs="Times New Roman" w:eastAsia="Times New Roman" w:hAnsi="Times New Roman"/>
          <w:sz w:val="14"/>
          <w:szCs w:val="14"/>
          <w:color w:val="auto"/>
        </w:rPr>
        <w:t xml:space="preserve">The following MD&amp;A is intended to help you understand the results of operations and financial condition of Garrett Motion Inc. for the three and nine months ended September 30, 2024. </w:t>
      </w:r>
      <w:r>
        <w:rPr>
          <w:rFonts w:ascii="Times New Roman" w:cs="Times New Roman" w:eastAsia="Times New Roman" w:hAnsi="Times New Roman"/>
          <w:sz w:val="14"/>
          <w:szCs w:val="14"/>
          <w:b w:val="1"/>
          <w:bCs w:val="1"/>
          <w:color w:val="auto"/>
        </w:rPr>
        <w:t>Executive Summary</w:t>
      </w: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During the third quarter of 2024, we were exposed to challenges within the light vehicle (diesel and gasoline) vertical, including industry softness in Europe and China, competitive pressure faced by global OEMs and short-term headwinds from customer vehicle platform mix. In response, we efficiently adjusted our variable cost structure and proactively implemented sustainable cost actions to drive operational performance. This enabled us to achieve Net income of $52 million and Adjusted EBITDA of $144 million for the quarter.</w:t>
      </w:r>
    </w:p>
    <w:p>
      <w:pPr>
        <w:spacing w:after="0" w:line="158" w:lineRule="exact"/>
        <w:rPr>
          <w:sz w:val="20"/>
          <w:szCs w:val="20"/>
          <w:color w:val="auto"/>
        </w:rPr>
      </w:pPr>
    </w:p>
    <w:p>
      <w:pPr>
        <w:jc w:val="both"/>
        <w:ind w:firstLine="319"/>
        <w:spacing w:after="0" w:line="265" w:lineRule="auto"/>
        <w:rPr>
          <w:sz w:val="20"/>
          <w:szCs w:val="20"/>
          <w:color w:val="auto"/>
        </w:rPr>
      </w:pPr>
      <w:r>
        <w:rPr>
          <w:rFonts w:ascii="Times New Roman" w:cs="Times New Roman" w:eastAsia="Times New Roman" w:hAnsi="Times New Roman"/>
          <w:sz w:val="14"/>
          <w:szCs w:val="14"/>
          <w:color w:val="auto"/>
        </w:rPr>
        <w:t>We continue to achieve success in our turbocharging, hybrid, and zero-emission technology applications. This quarter, we secured significant industrial contracts in the marine and power generation sectors with our large-size turbochargers. Additionally, we received a letter of intent for our E-Powertrain from a major truck manufacturer in the commercial vehicle industry. Our E-Cooling technology won further pre-development awards from an electric bus manufacturer and we were awarded new series production awards for use of our Fuel Cell technologies for commercial vehicle application.</w:t>
      </w:r>
    </w:p>
    <w:p>
      <w:pPr>
        <w:spacing w:after="0" w:line="109"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For the three and nine months ended September 30, 2024, we repurchased $52 million and $226 million, respectively, of Common Stock under our share repurchase program. As of September 30, 2024, we had $124 million of the authorized amount remaining under our share repurchase program.</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As previously disclosed, on April 3, 2024, we divested our equity interest in an unconsolidated joint venture for approximately $58 million, subject to customary debt and working capital adjustments. We received cash consideration on the divestiture date of $46 million, with an additional $7 million still to be received, and recognized a gain of $27 million related to this divestiture.</w:t>
      </w:r>
    </w:p>
    <w:p>
      <w:pPr>
        <w:spacing w:after="0" w:line="1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Also as previously disclosed, during the second quarter, we completed an offering of $800 million in aggregate principal amount of 7.75% 2032 Senior Notes and made early debt repayments totaling $985 million on our Euro Term Facility and 2023 Dollar Term Facility, both of which were fully repaid as of June 30, 2024.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Disaggregated Revenue</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show our revenues by geographic region and product line for the three and nine months ended September 30, 2024 and 2023,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By Region</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2"/>
          </w:tcPr>
          <w:p>
            <w:pPr>
              <w:jc w:val="right"/>
              <w:ind w:right="22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gridSpan w:val="2"/>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30"/>
        </w:trPr>
        <w:tc>
          <w:tcPr>
            <w:tcW w:w="25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52"/>
        </w:trPr>
        <w:tc>
          <w:tcPr>
            <w:tcW w:w="25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7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780" w:type="dxa"/>
            <w:vAlign w:val="bottom"/>
            <w:tcBorders>
              <w:bottom w:val="single" w:sz="8" w:color="auto"/>
            </w:tcBorders>
          </w:tcPr>
          <w:p>
            <w:pPr>
              <w:spacing w:after="0"/>
              <w:rPr>
                <w:sz w:val="13"/>
                <w:szCs w:val="13"/>
                <w:color w:val="auto"/>
              </w:rPr>
            </w:pPr>
          </w:p>
        </w:tc>
      </w:tr>
      <w:tr>
        <w:trPr>
          <w:trHeight w:val="161"/>
        </w:trPr>
        <w:tc>
          <w:tcPr>
            <w:tcW w:w="2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12"/>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4"/>
                <w:szCs w:val="14"/>
                <w:color w:val="auto"/>
              </w:rPr>
              <w:t>22%</w:t>
            </w:r>
          </w:p>
        </w:tc>
        <w:tc>
          <w:tcPr>
            <w:tcW w:w="1020" w:type="dxa"/>
            <w:vAlign w:val="bottom"/>
            <w:gridSpan w:val="2"/>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4"/>
                <w:szCs w:val="14"/>
                <w:color w:val="auto"/>
              </w:rPr>
              <w:t>21%</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4"/>
                <w:szCs w:val="14"/>
                <w:color w:val="auto"/>
              </w:rPr>
              <w:t>20%</w:t>
            </w:r>
          </w:p>
        </w:tc>
        <w:tc>
          <w:tcPr>
            <w:tcW w:w="960" w:type="dxa"/>
            <w:vAlign w:val="bottom"/>
            <w:gridSpan w:val="2"/>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129"/>
              <w:spacing w:after="0"/>
              <w:rPr>
                <w:sz w:val="20"/>
                <w:szCs w:val="20"/>
                <w:color w:val="auto"/>
              </w:rPr>
            </w:pPr>
            <w:r>
              <w:rPr>
                <w:rFonts w:ascii="Times New Roman" w:cs="Times New Roman" w:eastAsia="Times New Roman" w:hAnsi="Times New Roman"/>
                <w:sz w:val="14"/>
                <w:szCs w:val="14"/>
                <w:color w:val="auto"/>
              </w:rPr>
              <w:t>19%</w:t>
            </w:r>
          </w:p>
        </w:tc>
      </w:tr>
      <w:tr>
        <w:trPr>
          <w:trHeight w:val="202"/>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4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300" w:type="dxa"/>
            <w:vAlign w:val="bottom"/>
          </w:tcPr>
          <w:p>
            <w:pPr>
              <w:spacing w:after="0"/>
              <w:rPr>
                <w:sz w:val="17"/>
                <w:szCs w:val="17"/>
                <w:color w:val="auto"/>
              </w:rPr>
            </w:pPr>
          </w:p>
        </w:tc>
        <w:tc>
          <w:tcPr>
            <w:tcW w:w="460" w:type="dxa"/>
            <w:vAlign w:val="bottom"/>
          </w:tcPr>
          <w:p>
            <w:pPr>
              <w:jc w:val="center"/>
              <w:ind w:left="52"/>
              <w:spacing w:after="0"/>
              <w:rPr>
                <w:sz w:val="20"/>
                <w:szCs w:val="20"/>
                <w:color w:val="auto"/>
              </w:rPr>
            </w:pPr>
            <w:r>
              <w:rPr>
                <w:rFonts w:ascii="Times New Roman" w:cs="Times New Roman" w:eastAsia="Times New Roman" w:hAnsi="Times New Roman"/>
                <w:sz w:val="14"/>
                <w:szCs w:val="14"/>
                <w:color w:val="auto"/>
              </w:rPr>
              <w:t>46%</w:t>
            </w: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300" w:type="dxa"/>
            <w:vAlign w:val="bottom"/>
          </w:tcPr>
          <w:p>
            <w:pPr>
              <w:spacing w:after="0"/>
              <w:rPr>
                <w:sz w:val="17"/>
                <w:szCs w:val="17"/>
                <w:color w:val="auto"/>
              </w:rPr>
            </w:pPr>
          </w:p>
        </w:tc>
        <w:tc>
          <w:tcPr>
            <w:tcW w:w="780" w:type="dxa"/>
            <w:vAlign w:val="bottom"/>
          </w:tcPr>
          <w:p>
            <w:pPr>
              <w:jc w:val="center"/>
              <w:ind w:right="132"/>
              <w:spacing w:after="0"/>
              <w:rPr>
                <w:sz w:val="20"/>
                <w:szCs w:val="20"/>
                <w:color w:val="auto"/>
              </w:rPr>
            </w:pPr>
            <w:r>
              <w:rPr>
                <w:rFonts w:ascii="Times New Roman" w:cs="Times New Roman" w:eastAsia="Times New Roman" w:hAnsi="Times New Roman"/>
                <w:sz w:val="14"/>
                <w:szCs w:val="14"/>
                <w:color w:val="auto"/>
              </w:rPr>
              <w:t>45%</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300" w:type="dxa"/>
            <w:vAlign w:val="bottom"/>
          </w:tcPr>
          <w:p>
            <w:pPr>
              <w:spacing w:after="0"/>
              <w:rPr>
                <w:sz w:val="17"/>
                <w:szCs w:val="17"/>
                <w:color w:val="auto"/>
              </w:rPr>
            </w:pPr>
          </w:p>
        </w:tc>
        <w:tc>
          <w:tcPr>
            <w:tcW w:w="440" w:type="dxa"/>
            <w:vAlign w:val="bottom"/>
          </w:tcPr>
          <w:p>
            <w:pPr>
              <w:jc w:val="center"/>
              <w:ind w:left="32"/>
              <w:spacing w:after="0"/>
              <w:rPr>
                <w:sz w:val="20"/>
                <w:szCs w:val="20"/>
                <w:color w:val="auto"/>
              </w:rPr>
            </w:pPr>
            <w:r>
              <w:rPr>
                <w:rFonts w:ascii="Times New Roman" w:cs="Times New Roman" w:eastAsia="Times New Roman" w:hAnsi="Times New Roman"/>
                <w:sz w:val="14"/>
                <w:szCs w:val="14"/>
                <w:color w:val="auto"/>
              </w:rPr>
              <w:t>49%</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w:t>
            </w:r>
          </w:p>
        </w:tc>
        <w:tc>
          <w:tcPr>
            <w:tcW w:w="300" w:type="dxa"/>
            <w:vAlign w:val="bottom"/>
          </w:tcPr>
          <w:p>
            <w:pPr>
              <w:spacing w:after="0"/>
              <w:rPr>
                <w:sz w:val="17"/>
                <w:szCs w:val="17"/>
                <w:color w:val="auto"/>
              </w:rPr>
            </w:pPr>
          </w:p>
        </w:tc>
        <w:tc>
          <w:tcPr>
            <w:tcW w:w="78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49%</w:t>
            </w:r>
          </w:p>
        </w:tc>
      </w:tr>
      <w:tr>
        <w:trPr>
          <w:trHeight w:val="203"/>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4"/>
                <w:szCs w:val="14"/>
                <w:color w:val="auto"/>
              </w:rPr>
              <w:t>30%</w:t>
            </w: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4"/>
                <w:szCs w:val="14"/>
                <w:color w:val="auto"/>
              </w:rPr>
              <w:t>32%</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4"/>
                <w:szCs w:val="14"/>
                <w:color w:val="auto"/>
              </w:rPr>
              <w:t>29%</w:t>
            </w: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center"/>
              <w:ind w:right="129"/>
              <w:spacing w:after="0"/>
              <w:rPr>
                <w:sz w:val="20"/>
                <w:szCs w:val="20"/>
                <w:color w:val="auto"/>
              </w:rPr>
            </w:pPr>
            <w:r>
              <w:rPr>
                <w:rFonts w:ascii="Times New Roman" w:cs="Times New Roman" w:eastAsia="Times New Roman" w:hAnsi="Times New Roman"/>
                <w:sz w:val="14"/>
                <w:szCs w:val="14"/>
                <w:color w:val="auto"/>
              </w:rPr>
              <w:t>30%</w:t>
            </w:r>
          </w:p>
        </w:tc>
      </w:tr>
      <w:tr>
        <w:trPr>
          <w:trHeight w:val="202"/>
        </w:trPr>
        <w:tc>
          <w:tcPr>
            <w:tcW w:w="25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0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jc w:val="center"/>
              <w:ind w:left="52"/>
              <w:spacing w:after="0"/>
              <w:rPr>
                <w:sz w:val="20"/>
                <w:szCs w:val="20"/>
                <w:color w:val="auto"/>
              </w:rPr>
            </w:pPr>
            <w:r>
              <w:rPr>
                <w:rFonts w:ascii="Times New Roman" w:cs="Times New Roman" w:eastAsia="Times New Roman" w:hAnsi="Times New Roman"/>
                <w:sz w:val="14"/>
                <w:szCs w:val="14"/>
                <w:color w:val="auto"/>
                <w:w w:val="96"/>
              </w:rPr>
              <w:t>2%</w:t>
            </w:r>
          </w:p>
        </w:tc>
        <w:tc>
          <w:tcPr>
            <w:tcW w:w="4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3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center"/>
              <w:ind w:right="152"/>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30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jc w:val="center"/>
              <w:ind w:left="52"/>
              <w:spacing w:after="0"/>
              <w:rPr>
                <w:sz w:val="20"/>
                <w:szCs w:val="20"/>
                <w:color w:val="auto"/>
              </w:rPr>
            </w:pPr>
            <w:r>
              <w:rPr>
                <w:rFonts w:ascii="Times New Roman" w:cs="Times New Roman" w:eastAsia="Times New Roman" w:hAnsi="Times New Roman"/>
                <w:sz w:val="14"/>
                <w:szCs w:val="14"/>
                <w:color w:val="auto"/>
              </w:rPr>
              <w:t>2%</w:t>
            </w:r>
          </w:p>
        </w:tc>
        <w:tc>
          <w:tcPr>
            <w:tcW w:w="4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3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center"/>
              <w:ind w:right="149"/>
              <w:spacing w:after="0"/>
              <w:rPr>
                <w:sz w:val="20"/>
                <w:szCs w:val="20"/>
                <w:color w:val="auto"/>
              </w:rPr>
            </w:pPr>
            <w:r>
              <w:rPr>
                <w:rFonts w:ascii="Times New Roman" w:cs="Times New Roman" w:eastAsia="Times New Roman" w:hAnsi="Times New Roman"/>
                <w:sz w:val="14"/>
                <w:szCs w:val="14"/>
                <w:color w:val="auto"/>
              </w:rPr>
              <w:t>2%</w:t>
            </w:r>
          </w:p>
        </w:tc>
      </w:tr>
      <w:tr>
        <w:trPr>
          <w:trHeight w:val="197"/>
        </w:trPr>
        <w:tc>
          <w:tcPr>
            <w:tcW w:w="2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3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3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2,631</w:t>
            </w:r>
          </w:p>
        </w:tc>
        <w:tc>
          <w:tcPr>
            <w:tcW w:w="3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2,941</w:t>
            </w:r>
          </w:p>
        </w:tc>
        <w:tc>
          <w:tcPr>
            <w:tcW w:w="3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r>
      <w:tr>
        <w:trPr>
          <w:trHeight w:val="20"/>
        </w:trPr>
        <w:tc>
          <w:tcPr>
            <w:tcW w:w="25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r>
        <w:trPr>
          <w:trHeight w:val="676"/>
        </w:trPr>
        <w:tc>
          <w:tcPr>
            <w:tcW w:w="2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25</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8"/>
        </w:trPr>
        <w:tc>
          <w:tcPr>
            <w:tcW w:w="258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58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60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78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500" w:type="dxa"/>
            <w:vAlign w:val="bottom"/>
            <w:tcBorders>
              <w:bottom w:val="single" w:sz="8" w:color="9A9A9A"/>
            </w:tcBorders>
          </w:tcPr>
          <w:p>
            <w:pPr>
              <w:spacing w:after="0"/>
              <w:rPr>
                <w:sz w:val="23"/>
                <w:szCs w:val="23"/>
                <w:color w:val="auto"/>
              </w:rPr>
            </w:pPr>
          </w:p>
        </w:tc>
        <w:tc>
          <w:tcPr>
            <w:tcW w:w="50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540" w:type="dxa"/>
            <w:vAlign w:val="bottom"/>
            <w:tcBorders>
              <w:bottom w:val="single" w:sz="8" w:color="9A9A9A"/>
            </w:tcBorders>
          </w:tcPr>
          <w:p>
            <w:pPr>
              <w:spacing w:after="0"/>
              <w:rPr>
                <w:sz w:val="23"/>
                <w:szCs w:val="23"/>
                <w:color w:val="auto"/>
              </w:rPr>
            </w:pPr>
          </w:p>
        </w:tc>
        <w:tc>
          <w:tcPr>
            <w:tcW w:w="48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7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i w:val="1"/>
          <w:iCs w:val="1"/>
          <w:color w:val="auto"/>
        </w:rPr>
        <w:t>By Product Line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4"/>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gridSpan w:val="3"/>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30"/>
        </w:trPr>
        <w:tc>
          <w:tcPr>
            <w:tcW w:w="26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52"/>
        </w:trPr>
        <w:tc>
          <w:tcPr>
            <w:tcW w:w="26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jc w:val="right"/>
              <w:ind w:right="8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900" w:type="dxa"/>
            <w:vAlign w:val="bottom"/>
            <w:tcBorders>
              <w:bottom w:val="single" w:sz="8" w:color="auto"/>
            </w:tcBorders>
          </w:tcPr>
          <w:p>
            <w:pPr>
              <w:spacing w:after="0"/>
              <w:rPr>
                <w:sz w:val="13"/>
                <w:szCs w:val="13"/>
                <w:color w:val="auto"/>
              </w:rPr>
            </w:pPr>
          </w:p>
        </w:tc>
      </w:tr>
      <w:tr>
        <w:trPr>
          <w:trHeight w:val="161"/>
        </w:trPr>
        <w:tc>
          <w:tcPr>
            <w:tcW w:w="2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12"/>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Diesel</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rPr>
              <w:t>22%</w:t>
            </w:r>
          </w:p>
        </w:tc>
        <w:tc>
          <w:tcPr>
            <w:tcW w:w="920" w:type="dxa"/>
            <w:vAlign w:val="bottom"/>
            <w:gridSpan w:val="4"/>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231"/>
              <w:spacing w:after="0"/>
              <w:rPr>
                <w:sz w:val="20"/>
                <w:szCs w:val="20"/>
                <w:color w:val="auto"/>
              </w:rPr>
            </w:pPr>
            <w:r>
              <w:rPr>
                <w:rFonts w:ascii="Times New Roman" w:cs="Times New Roman" w:eastAsia="Times New Roman" w:hAnsi="Times New Roman"/>
                <w:sz w:val="14"/>
                <w:szCs w:val="14"/>
                <w:color w:val="auto"/>
              </w:rPr>
              <w:t>24%</w:t>
            </w:r>
          </w:p>
        </w:tc>
        <w:tc>
          <w:tcPr>
            <w:tcW w:w="580" w:type="dxa"/>
            <w:vAlign w:val="bottom"/>
            <w:gridSpan w:val="2"/>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641</w:t>
            </w:r>
          </w:p>
        </w:tc>
        <w:tc>
          <w:tcPr>
            <w:tcW w:w="106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4"/>
                <w:szCs w:val="14"/>
                <w:color w:val="auto"/>
              </w:rPr>
              <w:t>24%</w:t>
            </w:r>
          </w:p>
        </w:tc>
        <w:tc>
          <w:tcPr>
            <w:tcW w:w="66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4"/>
                <w:szCs w:val="14"/>
                <w:color w:val="auto"/>
              </w:rPr>
              <w:t>26%</w:t>
            </w:r>
          </w:p>
        </w:tc>
      </w:tr>
      <w:tr>
        <w:trPr>
          <w:trHeight w:val="202"/>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Gas</w:t>
            </w:r>
          </w:p>
        </w:tc>
        <w:tc>
          <w:tcPr>
            <w:tcW w:w="4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300" w:type="dxa"/>
            <w:vAlign w:val="bottom"/>
          </w:tcPr>
          <w:p>
            <w:pPr>
              <w:spacing w:after="0"/>
              <w:rPr>
                <w:sz w:val="17"/>
                <w:szCs w:val="17"/>
                <w:color w:val="auto"/>
              </w:rPr>
            </w:pPr>
          </w:p>
        </w:tc>
        <w:tc>
          <w:tcPr>
            <w:tcW w:w="44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rPr>
              <w:t>43%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380" w:type="dxa"/>
            <w:vAlign w:val="bottom"/>
          </w:tcPr>
          <w:p>
            <w:pPr>
              <w:spacing w:after="0"/>
              <w:rPr>
                <w:sz w:val="17"/>
                <w:szCs w:val="17"/>
                <w:color w:val="auto"/>
              </w:rPr>
            </w:pP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14"/>
                <w:szCs w:val="14"/>
                <w:color w:val="auto"/>
              </w:rPr>
              <w:t>46%</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1,123</w:t>
            </w:r>
          </w:p>
        </w:tc>
        <w:tc>
          <w:tcPr>
            <w:tcW w:w="1060" w:type="dxa"/>
            <w:vAlign w:val="bottom"/>
            <w:gridSpan w:val="2"/>
          </w:tcPr>
          <w:p>
            <w:pPr>
              <w:jc w:val="center"/>
              <w:ind w:left="131"/>
              <w:spacing w:after="0"/>
              <w:rPr>
                <w:sz w:val="20"/>
                <w:szCs w:val="20"/>
                <w:color w:val="auto"/>
              </w:rPr>
            </w:pPr>
            <w:r>
              <w:rPr>
                <w:rFonts w:ascii="Times New Roman" w:cs="Times New Roman" w:eastAsia="Times New Roman" w:hAnsi="Times New Roman"/>
                <w:sz w:val="14"/>
                <w:szCs w:val="14"/>
                <w:color w:val="auto"/>
              </w:rPr>
              <w:t>43%</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180" w:type="dxa"/>
            <w:vAlign w:val="bottom"/>
          </w:tcPr>
          <w:p>
            <w:pPr>
              <w:spacing w:after="0"/>
              <w:rPr>
                <w:sz w:val="17"/>
                <w:szCs w:val="17"/>
                <w:color w:val="auto"/>
              </w:rPr>
            </w:pPr>
          </w:p>
        </w:tc>
        <w:tc>
          <w:tcPr>
            <w:tcW w:w="90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44%</w:t>
            </w:r>
          </w:p>
        </w:tc>
      </w:tr>
      <w:tr>
        <w:trPr>
          <w:trHeight w:val="20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Vehicle</w:t>
            </w: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center"/>
              <w:ind w:right="231"/>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477</w:t>
            </w:r>
          </w:p>
        </w:tc>
        <w:tc>
          <w:tcPr>
            <w:tcW w:w="106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4"/>
                <w:szCs w:val="14"/>
                <w:color w:val="auto"/>
              </w:rPr>
              <w:t>17%</w:t>
            </w:r>
          </w:p>
        </w:tc>
      </w:tr>
      <w:tr>
        <w:trPr>
          <w:trHeight w:val="202"/>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Aftermarket</w:t>
            </w:r>
          </w:p>
        </w:tc>
        <w:tc>
          <w:tcPr>
            <w:tcW w:w="4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300" w:type="dxa"/>
            <w:vAlign w:val="bottom"/>
          </w:tcPr>
          <w:p>
            <w:pPr>
              <w:spacing w:after="0"/>
              <w:rPr>
                <w:sz w:val="17"/>
                <w:szCs w:val="17"/>
                <w:color w:val="auto"/>
              </w:rPr>
            </w:pPr>
          </w:p>
        </w:tc>
        <w:tc>
          <w:tcPr>
            <w:tcW w:w="44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380" w:type="dxa"/>
            <w:vAlign w:val="bottom"/>
          </w:tcPr>
          <w:p>
            <w:pPr>
              <w:spacing w:after="0"/>
              <w:rPr>
                <w:sz w:val="17"/>
                <w:szCs w:val="17"/>
                <w:color w:val="auto"/>
              </w:rPr>
            </w:pP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350</w:t>
            </w:r>
          </w:p>
        </w:tc>
        <w:tc>
          <w:tcPr>
            <w:tcW w:w="1060" w:type="dxa"/>
            <w:vAlign w:val="bottom"/>
            <w:gridSpan w:val="2"/>
          </w:tcPr>
          <w:p>
            <w:pPr>
              <w:jc w:val="center"/>
              <w:ind w:left="131"/>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80" w:type="dxa"/>
            <w:vAlign w:val="bottom"/>
          </w:tcPr>
          <w:p>
            <w:pPr>
              <w:spacing w:after="0"/>
              <w:rPr>
                <w:sz w:val="17"/>
                <w:szCs w:val="17"/>
                <w:color w:val="auto"/>
              </w:rPr>
            </w:pPr>
          </w:p>
        </w:tc>
        <w:tc>
          <w:tcPr>
            <w:tcW w:w="90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12%</w:t>
            </w:r>
          </w:p>
        </w:tc>
      </w:tr>
      <w:tr>
        <w:trPr>
          <w:trHeight w:val="20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center"/>
              <w:ind w:right="231"/>
              <w:spacing w:after="0"/>
              <w:rPr>
                <w:sz w:val="20"/>
                <w:szCs w:val="20"/>
                <w:color w:val="auto"/>
              </w:rPr>
            </w:pPr>
            <w:r>
              <w:rPr>
                <w:rFonts w:ascii="Times New Roman" w:cs="Times New Roman" w:eastAsia="Times New Roman" w:hAnsi="Times New Roman"/>
                <w:sz w:val="14"/>
                <w:szCs w:val="14"/>
                <w:color w:val="auto"/>
                <w:w w:val="96"/>
              </w:rPr>
              <w:t>2%</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40</w:t>
            </w:r>
          </w:p>
        </w:tc>
        <w:tc>
          <w:tcPr>
            <w:tcW w:w="106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4"/>
                <w:szCs w:val="14"/>
                <w:color w:val="auto"/>
                <w:w w:val="96"/>
              </w:rPr>
              <w:t>2%</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4"/>
                <w:szCs w:val="14"/>
                <w:color w:val="auto"/>
              </w:rPr>
              <w:t>1%</w:t>
            </w:r>
          </w:p>
        </w:tc>
      </w:tr>
      <w:tr>
        <w:trPr>
          <w:trHeight w:val="172"/>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2,631</w:t>
            </w:r>
          </w:p>
        </w:tc>
        <w:tc>
          <w:tcPr>
            <w:tcW w:w="40" w:type="dxa"/>
            <w:vAlign w:val="bottom"/>
            <w:tcBorders>
              <w:top w:val="single" w:sz="8" w:color="auto"/>
              <w:bottom w:val="single" w:sz="8" w:color="auto"/>
            </w:tcBorders>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2,941</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
        </w:trPr>
        <w:tc>
          <w:tcPr>
            <w:tcW w:w="26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557"/>
        </w:trPr>
        <w:tc>
          <w:tcPr>
            <w:tcW w:w="526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Results of Operations for the Three and Nine Months Ended September 30, 2024</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09"/>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Net Sales</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2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gridSpan w:val="3"/>
          </w:tcPr>
          <w:p>
            <w:pPr>
              <w:ind w:left="46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900" w:type="dxa"/>
            <w:vAlign w:val="bottom"/>
          </w:tcPr>
          <w:p>
            <w:pPr>
              <w:spacing w:after="0"/>
              <w:rPr>
                <w:sz w:val="15"/>
                <w:szCs w:val="15"/>
                <w:color w:val="auto"/>
              </w:rPr>
            </w:pPr>
          </w:p>
        </w:tc>
      </w:tr>
      <w:tr>
        <w:trPr>
          <w:trHeight w:val="159"/>
        </w:trPr>
        <w:tc>
          <w:tcPr>
            <w:tcW w:w="2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900" w:type="dxa"/>
            <w:vAlign w:val="bottom"/>
            <w:tcBorders>
              <w:bottom w:val="single" w:sz="8" w:color="auto"/>
            </w:tcBorders>
          </w:tcPr>
          <w:p>
            <w:pPr>
              <w:spacing w:after="0"/>
              <w:rPr>
                <w:sz w:val="13"/>
                <w:szCs w:val="13"/>
                <w:color w:val="auto"/>
              </w:rPr>
            </w:pPr>
          </w:p>
        </w:tc>
      </w:tr>
      <w:tr>
        <w:trPr>
          <w:trHeight w:val="161"/>
        </w:trPr>
        <w:tc>
          <w:tcPr>
            <w:tcW w:w="2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2024</w:t>
            </w: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2023</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61"/>
        </w:trPr>
        <w:tc>
          <w:tcPr>
            <w:tcW w:w="2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0" w:type="dxa"/>
            <w:vAlign w:val="bottom"/>
            <w:gridSpan w:val="4"/>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12"/>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3"/>
              <w:spacing w:after="0"/>
              <w:rPr>
                <w:sz w:val="20"/>
                <w:szCs w:val="20"/>
                <w:color w:val="auto"/>
              </w:rPr>
            </w:pPr>
            <w:r>
              <w:rPr>
                <w:rFonts w:ascii="Times New Roman" w:cs="Times New Roman" w:eastAsia="Times New Roman" w:hAnsi="Times New Roman"/>
                <w:sz w:val="14"/>
                <w:szCs w:val="14"/>
                <w:color w:val="auto"/>
              </w:rPr>
              <w:t>826</w:t>
            </w:r>
          </w:p>
        </w:tc>
        <w:tc>
          <w:tcPr>
            <w:tcW w:w="720" w:type="dxa"/>
            <w:vAlign w:val="bottom"/>
            <w:shd w:val="clear" w:color="auto" w:fill="CFF0FC"/>
          </w:tcPr>
          <w:p>
            <w:pPr>
              <w:jc w:val="right"/>
              <w:ind w:right="37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923"/>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2,631</w:t>
            </w:r>
          </w:p>
        </w:tc>
        <w:tc>
          <w:tcPr>
            <w:tcW w:w="50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2,941</w:t>
            </w:r>
          </w:p>
        </w:tc>
      </w:tr>
      <w:tr>
        <w:trPr>
          <w:trHeight w:val="191"/>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change compared with prior period</w:t>
            </w: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gridSpan w:val="3"/>
          </w:tcPr>
          <w:p>
            <w:pPr>
              <w:jc w:val="right"/>
              <w:ind w:right="551"/>
              <w:spacing w:after="0"/>
              <w:rPr>
                <w:sz w:val="20"/>
                <w:szCs w:val="20"/>
                <w:color w:val="auto"/>
              </w:rPr>
            </w:pPr>
            <w:r>
              <w:rPr>
                <w:rFonts w:ascii="Times New Roman" w:cs="Times New Roman" w:eastAsia="Times New Roman" w:hAnsi="Times New Roman"/>
                <w:sz w:val="14"/>
                <w:szCs w:val="14"/>
                <w:color w:val="auto"/>
              </w:rPr>
              <w:t>(14.0)%</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(10.5)%</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4463415" cy="9601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46341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For the three months ended September 30, 2024, net sales compared to prior year decreased by $134 million or 14% (including a favorable impact of $1 million or 0% due to foreign currency translation primarily driven by higher Euro-to-US dollar). This decrease was primarily driven by lower sales in gasoline and diesel applications due to industry softness in Europe and China, competitive pressure on global OEMs and short-term customer vehicle platform mix impacts. Net sales also decreased due to pricing, net of inflation pass-through, driven by commodity deflation, partially offset by favorable product mix.</w:t>
      </w:r>
    </w:p>
    <w:p>
      <w:pPr>
        <w:spacing w:after="0" w:line="12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Gasoline product sales decreased by $81 million or 19% (including a favorable impact of $1 million or 0% due to foreign currency translation), primarily driven by lower demand in China and North America, partially offset by sustained demand in the rest of Asia and South America.</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Diesel product sales decreased by $49 million or 21% (including a favorable impact of $1 million or 1% due to foreign currency translation), primarily driven by lower passenger vehicle sales in Europe, partially offset by sustained demand for pickup truck in South America.</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Commercial vehicle sales are consistent year over year (with no foreign currency translation impact), primarily driven by construction and agriculture industry softness, offset by strong demand and favorable product mix in China with natural gas programs applications.</w:t>
      </w:r>
    </w:p>
    <w:p>
      <w:pPr>
        <w:spacing w:after="0" w:line="1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Aftermarket sales decreased by $1 million or 1% (including a favorable impact of $1 million or 0% due to foreign currency translation), primarily due to softer sales in North America, partially offset by favorable aftermarket conditions and demand for replacement parts in Asia and Europe.</w:t>
      </w:r>
    </w:p>
    <w:p>
      <w:pPr>
        <w:spacing w:after="0" w:line="2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582295</wp:posOffset>
            </wp:positionV>
            <wp:extent cx="4463415" cy="9537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4463415" cy="953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383"/>
        <w:spacing w:after="0" w:line="265" w:lineRule="auto"/>
        <w:rPr>
          <w:sz w:val="20"/>
          <w:szCs w:val="20"/>
          <w:color w:val="auto"/>
        </w:rPr>
      </w:pPr>
      <w:r>
        <w:rPr>
          <w:rFonts w:ascii="Times New Roman" w:cs="Times New Roman" w:eastAsia="Times New Roman" w:hAnsi="Times New Roman"/>
          <w:sz w:val="14"/>
          <w:szCs w:val="14"/>
          <w:color w:val="auto"/>
        </w:rPr>
        <w:t>For the nine months ended September 30, 2024, net sales compared to prior year decreased by $310 million or 11% (including an unfavorable impact of $25 million or 1% due to foreign currency translation primarily driven by lower Chinese Yuan-to-US dollar and Japanese Yen-to-US dollar exchange rates, partially offset by higher Euro-to-US dollar exchange rates) primarily due to demand softness in gasoline, diesel, and commercial vehicle applications across all regions and pricing decreases, net of inflation pass-through, driven by commodity deflation, partially offset by higher demand for replacement parts on aftermarket sales and favorable product mix.</w:t>
      </w:r>
    </w:p>
    <w:p>
      <w:pPr>
        <w:spacing w:after="0" w:line="12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Gasoline product sales decreased by $176 million or 14% (including an unfavorable impact of $13 million or 1% due to foreign currency translation), primarily driven by soft demand in China and North America partially offset by program ramp-ups in Europe, Japan, and India.</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Diesel product sales decreased by $110 million or 15% (including an unfavorable impact of $3 million or 1% due to foreign currency translation), primarily driven by passenger vehicles in Europe, partially offset by sustained demand for pickup trucks in North and South America.</w:t>
      </w:r>
    </w:p>
    <w:p>
      <w:pPr>
        <w:spacing w:after="0" w:line="9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Commercial vehicle sales decreased by $30 million or 6% (including an unfavorable impact of $7 million or 1% due to foreign currency translation), primarily driven by construction and agriculture industry softness due to high interest rates and lower crop prices, partially offset by sustained demand in the on-highway industry, especially in China, with natural gas programs applications.</w:t>
      </w:r>
    </w:p>
    <w:p>
      <w:pPr>
        <w:spacing w:after="0" w:line="11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Aftermarket sales increased by $8 million or 2% (including an unfavorable impact of $1 million or 1% due to foreign currency translation), primarily due to favorable aftermarket conditions and continued high demand for replacement parts in Europe, China, and North America, partially offset by softer sales in other Asian countries.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Goods Sold and Gross Profit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jc w:val="center"/>
              <w:ind w:right="43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2"/>
          </w:tcPr>
          <w:p>
            <w:pPr>
              <w:jc w:val="center"/>
              <w:ind w:left="416"/>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60" w:type="dxa"/>
            <w:vAlign w:val="bottom"/>
          </w:tcPr>
          <w:p>
            <w:pPr>
              <w:spacing w:after="0"/>
              <w:rPr>
                <w:sz w:val="11"/>
                <w:szCs w:val="11"/>
                <w:color w:val="auto"/>
              </w:rPr>
            </w:pPr>
          </w:p>
        </w:tc>
      </w:tr>
      <w:tr>
        <w:trPr>
          <w:trHeight w:val="149"/>
        </w:trPr>
        <w:tc>
          <w:tcPr>
            <w:tcW w:w="4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gridSpan w:val="2"/>
          </w:tcPr>
          <w:p>
            <w:pPr>
              <w:jc w:val="center"/>
              <w:ind w:right="41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20" w:type="dxa"/>
            <w:vAlign w:val="bottom"/>
            <w:gridSpan w:val="2"/>
          </w:tcPr>
          <w:p>
            <w:pPr>
              <w:jc w:val="center"/>
              <w:ind w:left="41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60" w:type="dxa"/>
            <w:vAlign w:val="bottom"/>
          </w:tcPr>
          <w:p>
            <w:pPr>
              <w:spacing w:after="0"/>
              <w:rPr>
                <w:sz w:val="12"/>
                <w:szCs w:val="12"/>
                <w:color w:val="auto"/>
              </w:rPr>
            </w:pPr>
          </w:p>
        </w:tc>
      </w:tr>
      <w:tr>
        <w:trPr>
          <w:trHeight w:val="30"/>
        </w:trPr>
        <w:tc>
          <w:tcPr>
            <w:tcW w:w="45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52"/>
        </w:trPr>
        <w:tc>
          <w:tcPr>
            <w:tcW w:w="4500" w:type="dxa"/>
            <w:vAlign w:val="bottom"/>
          </w:tcPr>
          <w:p>
            <w:pPr>
              <w:spacing w:after="0"/>
              <w:rPr>
                <w:sz w:val="13"/>
                <w:szCs w:val="13"/>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4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2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2"/>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104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4"/>
                <w:szCs w:val="14"/>
                <w:color w:val="auto"/>
              </w:rPr>
              <w:t>660</w:t>
            </w:r>
          </w:p>
        </w:tc>
        <w:tc>
          <w:tcPr>
            <w:tcW w:w="110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784</w:t>
            </w: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4"/>
                <w:szCs w:val="14"/>
                <w:color w:val="auto"/>
              </w:rPr>
              <w:t>2,108</w:t>
            </w:r>
          </w:p>
        </w:tc>
        <w:tc>
          <w:tcPr>
            <w:tcW w:w="620" w:type="dxa"/>
            <w:vAlign w:val="bottom"/>
            <w:shd w:val="clear" w:color="auto" w:fill="CFF0FC"/>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2,374</w:t>
            </w:r>
          </w:p>
        </w:tc>
      </w:tr>
      <w:tr>
        <w:trPr>
          <w:trHeight w:val="197"/>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change compared with prior period</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8"/>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Gross profit percentage</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20.1 %</w:t>
            </w:r>
          </w:p>
        </w:tc>
        <w:tc>
          <w:tcPr>
            <w:tcW w:w="1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18.3 %</w:t>
            </w: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19.9 %</w:t>
            </w:r>
          </w:p>
        </w:tc>
        <w:tc>
          <w:tcPr>
            <w:tcW w:w="6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19.3 %</w:t>
            </w:r>
          </w:p>
        </w:tc>
      </w:tr>
      <w:tr>
        <w:trPr>
          <w:trHeight w:val="521"/>
        </w:trPr>
        <w:tc>
          <w:tcPr>
            <w:tcW w:w="4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jc w:val="right"/>
              <w:ind w:right="254"/>
              <w:spacing w:after="0"/>
              <w:rPr>
                <w:sz w:val="20"/>
                <w:szCs w:val="20"/>
                <w:color w:val="auto"/>
              </w:rPr>
            </w:pPr>
            <w:r>
              <w:rPr>
                <w:rFonts w:ascii="Times New Roman" w:cs="Times New Roman" w:eastAsia="Times New Roman" w:hAnsi="Times New Roman"/>
                <w:sz w:val="14"/>
                <w:szCs w:val="14"/>
                <w:color w:val="auto"/>
              </w:rPr>
              <w:t>27</w:t>
            </w: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9"/>
        </w:trPr>
        <w:tc>
          <w:tcPr>
            <w:tcW w:w="45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59"/>
        </w:trPr>
        <w:tc>
          <w:tcPr>
            <w:tcW w:w="80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Cost of Goods Sold</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1"/>
                <w:szCs w:val="11"/>
                <w:b w:val="1"/>
                <w:bCs w:val="1"/>
                <w:color w:val="auto"/>
              </w:rPr>
              <w:t>Gross Profit</w:t>
            </w:r>
          </w:p>
        </w:tc>
      </w:tr>
      <w:tr>
        <w:trPr>
          <w:trHeight w:val="161"/>
        </w:trPr>
        <w:tc>
          <w:tcPr>
            <w:tcW w:w="8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Pr>
          <w:p>
            <w:pPr>
              <w:spacing w:after="0"/>
              <w:rPr>
                <w:sz w:val="13"/>
                <w:szCs w:val="13"/>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Goods Sold / Gross Profit for the three months ended September 30, 2023</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100" w:type="dxa"/>
            <w:vAlign w:val="bottom"/>
            <w:shd w:val="clear" w:color="auto" w:fill="CFF0FC"/>
          </w:tcPr>
          <w:p>
            <w:pPr>
              <w:spacing w:after="0"/>
              <w:rPr>
                <w:sz w:val="18"/>
                <w:szCs w:val="18"/>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r>
      <w:tr>
        <w:trPr>
          <w:trHeight w:val="181"/>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Increase/(decrease) due to:</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1"/>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Volume</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1"/>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Product mix</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1"/>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Price, net of inflation pass-through</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1"/>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Commodity, transportation &amp; energy inflation</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1"/>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Productivity, net</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81"/>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Research &amp; development</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1"/>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exchange rate impacts</w:t>
            </w: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2"/>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Goods Sold / Gross Profit for the three months ended September 30, 2024</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w:t>
            </w: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three months ended September 30, 2024, cost of goods sold decreased by $124 million, primarily driven by $113 million of lower sales volumes, $16 million of commodity, transportation, and energy deflation, and $38 million of productivity, net of labor inflation. These decreases were partially offset by $32 million of unfavorable product mix, $6 million of higher R&amp;D costs, reflecting Garrett's continued investment in new technologies, and $5 million from foreign currency impacts.</w:t>
      </w:r>
    </w:p>
    <w:p>
      <w:pPr>
        <w:spacing w:after="0" w:line="11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three months ended September 30, 2024, gross profit decreased by $10 million, primarily driven by $46 million of lower sales volumes, $13 million from commodity deflation impacts on pricing, net of inflation pass-through, $6 million of higher R&amp;D costs, and $4 million from foreign currency impacts. These decreases were partially offset by $16 million of commodity, transportation, and energy deflation, $33 million of productivity, net of labor inflation, and $10 million of favorable product mix.</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0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Cost of Goods Sold</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1"/>
                <w:szCs w:val="11"/>
                <w:b w:val="1"/>
                <w:bCs w:val="1"/>
                <w:color w:val="auto"/>
              </w:rPr>
              <w:t>Gross Profit</w:t>
            </w:r>
          </w:p>
        </w:tc>
      </w:tr>
      <w:tr>
        <w:trPr>
          <w:trHeight w:val="161"/>
        </w:trPr>
        <w:tc>
          <w:tcPr>
            <w:tcW w:w="8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Pr>
          <w:p>
            <w:pPr>
              <w:spacing w:after="0"/>
              <w:rPr>
                <w:sz w:val="13"/>
                <w:szCs w:val="13"/>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Goods Sold / Gross Profit for the nine months ended September 30, 2023</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2,374</w:t>
            </w:r>
          </w:p>
        </w:tc>
        <w:tc>
          <w:tcPr>
            <w:tcW w:w="100" w:type="dxa"/>
            <w:vAlign w:val="bottom"/>
            <w:shd w:val="clear" w:color="auto" w:fill="CFF0FC"/>
          </w:tcPr>
          <w:p>
            <w:pPr>
              <w:spacing w:after="0"/>
              <w:rPr>
                <w:sz w:val="18"/>
                <w:szCs w:val="18"/>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r>
      <w:tr>
        <w:trPr>
          <w:trHeight w:val="181"/>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Increase/(decrease) due to:</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1"/>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Volume</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81"/>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Product mix</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Price, net of inflation pass-through</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81"/>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Commodity, transportation &amp; energy inflation</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81"/>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Productivity, net</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81"/>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Research &amp; development</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1"/>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exchange rate impacts</w:t>
            </w: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72"/>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Goods Sold / Gross Profit for the nine months ended September 30, 2024</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2,108</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w:t>
            </w: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nine months ended September 30, 2024, cost of goods sold decreased by $266 million, primarily driven by lower sales volumes of $220 million, $60 million of commodity, transportation, and energy deflation, $67 million of productivity, net of labor inflation and repositioning costs, and $4 million from foreign currency impacts. These decreases were partially offset by $75 million unfavorable product mix and $10 million of higher R&amp;D costs, reflecting Garrett's continued investment in new technologies.</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nine months ended September 30, 2024, gross profit decreased by $44 million, primarily driven by $92 million of lower sales volumes, $51 million from commodity deflation impact on pricing net of inflation pass-through, $21 million favorable foreign currency impact, and $10 million of higher R&amp;D costs. These decreases were partially offset by $60 million of commodity, transportation, and energy deflation and $69 million of higher productivity, net of labor inflation and repositioning costs and $1 million of favorable product mix.</w:t>
      </w:r>
    </w:p>
    <w:p>
      <w:pPr>
        <w:spacing w:after="0" w:line="25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20" w:type="dxa"/>
            <w:vAlign w:val="bottom"/>
            <w:gridSpan w:val="2"/>
          </w:tcPr>
          <w:p>
            <w:pPr>
              <w:jc w:val="center"/>
              <w:ind w:right="41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60" w:type="dxa"/>
            <w:vAlign w:val="bottom"/>
          </w:tcPr>
          <w:p>
            <w:pPr>
              <w:spacing w:after="0"/>
              <w:rPr>
                <w:sz w:val="12"/>
                <w:szCs w:val="12"/>
                <w:color w:val="auto"/>
              </w:rPr>
            </w:pPr>
          </w:p>
        </w:tc>
      </w:tr>
      <w:tr>
        <w:trPr>
          <w:trHeight w:val="159"/>
        </w:trPr>
        <w:tc>
          <w:tcPr>
            <w:tcW w:w="448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jc w:val="center"/>
              <w:ind w:right="41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60" w:type="dxa"/>
            <w:vAlign w:val="bottom"/>
            <w:tcBorders>
              <w:bottom w:val="single" w:sz="8" w:color="auto"/>
            </w:tcBorders>
          </w:tcPr>
          <w:p>
            <w:pPr>
              <w:spacing w:after="0"/>
              <w:rPr>
                <w:sz w:val="13"/>
                <w:szCs w:val="13"/>
                <w:color w:val="auto"/>
              </w:rPr>
            </w:pPr>
          </w:p>
        </w:tc>
      </w:tr>
      <w:tr>
        <w:trPr>
          <w:trHeight w:val="161"/>
        </w:trPr>
        <w:tc>
          <w:tcPr>
            <w:tcW w:w="4480" w:type="dxa"/>
            <w:vAlign w:val="bottom"/>
          </w:tcPr>
          <w:p>
            <w:pPr>
              <w:spacing w:after="0"/>
              <w:rPr>
                <w:sz w:val="14"/>
                <w:szCs w:val="14"/>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4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20" w:type="dxa"/>
            <w:vAlign w:val="bottom"/>
            <w:gridSpan w:val="3"/>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2"/>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106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4"/>
                <w:szCs w:val="14"/>
                <w:color w:val="auto"/>
              </w:rPr>
              <w:t>53</w:t>
            </w:r>
          </w:p>
        </w:tc>
        <w:tc>
          <w:tcPr>
            <w:tcW w:w="110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4"/>
                <w:szCs w:val="14"/>
                <w:color w:val="auto"/>
              </w:rPr>
              <w:t>178</w:t>
            </w:r>
          </w:p>
        </w:tc>
        <w:tc>
          <w:tcPr>
            <w:tcW w:w="620" w:type="dxa"/>
            <w:vAlign w:val="bottom"/>
            <w:shd w:val="clear" w:color="auto" w:fill="CFF0FC"/>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178</w:t>
            </w:r>
          </w:p>
        </w:tc>
      </w:tr>
      <w:tr>
        <w:trPr>
          <w:trHeight w:val="191"/>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of sales</w:t>
            </w:r>
          </w:p>
        </w:tc>
        <w:tc>
          <w:tcPr>
            <w:tcW w:w="10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1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6.8 %</w:t>
            </w:r>
          </w:p>
        </w:tc>
        <w:tc>
          <w:tcPr>
            <w:tcW w:w="6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6.1 %</w:t>
            </w:r>
          </w:p>
        </w:tc>
      </w:tr>
    </w:tbl>
    <w:p>
      <w:pPr>
        <w:spacing w:after="0" w:line="21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Selling, general and administrative (“SG&amp;A”) expenses for the three months ended September 30, 2024 decreased by $6 million compared with the prior year, mainly driven by $5 million of lower professional service and legal fees, $2 million of lower bad debt expense and $2 million of lower IT-related costs. These decreases were partially offset by $2 million of higher repositioning costs and $1 million of unfavorable foreign exchange impact.</w:t>
      </w:r>
    </w:p>
    <w:p>
      <w:pPr>
        <w:spacing w:after="0" w:line="11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SG&amp;A expenses for the nine months ended September 30, 2024 were consistent with the prior year. Year over year variances are primarily related to $5 million of higher stock-based compensation expense and $2 million of higher repositioning costs. These increases were offset by $6 million of lower professional service and legal fees and $2 million of lower IT-related costs. SG&amp;A expenses also increased due to $1 million of unfavorable exchange impact.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2"/>
          </w:tcPr>
          <w:p>
            <w:pPr>
              <w:jc w:val="center"/>
              <w:ind w:right="39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20" w:type="dxa"/>
            <w:vAlign w:val="bottom"/>
          </w:tcPr>
          <w:p>
            <w:pPr>
              <w:spacing w:after="0"/>
              <w:rPr>
                <w:sz w:val="11"/>
                <w:szCs w:val="11"/>
                <w:color w:val="auto"/>
              </w:rPr>
            </w:pPr>
          </w:p>
        </w:tc>
      </w:tr>
      <w:tr>
        <w:trPr>
          <w:trHeight w:val="149"/>
        </w:trPr>
        <w:tc>
          <w:tcPr>
            <w:tcW w:w="4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80" w:type="dxa"/>
            <w:vAlign w:val="bottom"/>
            <w:gridSpan w:val="2"/>
          </w:tcPr>
          <w:p>
            <w:pPr>
              <w:jc w:val="center"/>
              <w:ind w:right="39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20" w:type="dxa"/>
            <w:vAlign w:val="bottom"/>
          </w:tcPr>
          <w:p>
            <w:pPr>
              <w:spacing w:after="0"/>
              <w:rPr>
                <w:sz w:val="12"/>
                <w:szCs w:val="12"/>
                <w:color w:val="auto"/>
              </w:rPr>
            </w:pPr>
          </w:p>
        </w:tc>
      </w:tr>
      <w:tr>
        <w:trPr>
          <w:trHeight w:val="30"/>
        </w:trPr>
        <w:tc>
          <w:tcPr>
            <w:tcW w:w="46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52"/>
        </w:trPr>
        <w:tc>
          <w:tcPr>
            <w:tcW w:w="4680" w:type="dxa"/>
            <w:vAlign w:val="bottom"/>
          </w:tcPr>
          <w:p>
            <w:pPr>
              <w:spacing w:after="0"/>
              <w:rPr>
                <w:sz w:val="13"/>
                <w:szCs w:val="13"/>
                <w:color w:val="auto"/>
              </w:rPr>
            </w:pPr>
          </w:p>
        </w:tc>
        <w:tc>
          <w:tcPr>
            <w:tcW w:w="10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4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60" w:type="dxa"/>
            <w:vAlign w:val="bottom"/>
            <w:gridSpan w:val="3"/>
          </w:tcPr>
          <w:p>
            <w:pPr>
              <w:jc w:val="right"/>
              <w:ind w:right="516"/>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2"/>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2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10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130</w:t>
            </w:r>
          </w:p>
        </w:tc>
        <w:tc>
          <w:tcPr>
            <w:tcW w:w="620" w:type="dxa"/>
            <w:vAlign w:val="bottom"/>
            <w:shd w:val="clear" w:color="auto" w:fill="CFF0FC"/>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w:t>
            </w:r>
          </w:p>
        </w:tc>
      </w:tr>
    </w:tbl>
    <w:p>
      <w:pPr>
        <w:spacing w:after="0" w:line="252" w:lineRule="exact"/>
        <w:rPr>
          <w:sz w:val="20"/>
          <w:szCs w:val="20"/>
          <w:color w:val="auto"/>
        </w:rPr>
      </w:pPr>
    </w:p>
    <w:p>
      <w:pPr>
        <w:jc w:val="both"/>
        <w:ind w:firstLine="319"/>
        <w:spacing w:after="0" w:line="265" w:lineRule="auto"/>
        <w:rPr>
          <w:sz w:val="20"/>
          <w:szCs w:val="20"/>
          <w:color w:val="auto"/>
        </w:rPr>
      </w:pPr>
      <w:r>
        <w:rPr>
          <w:rFonts w:ascii="Times New Roman" w:cs="Times New Roman" w:eastAsia="Times New Roman" w:hAnsi="Times New Roman"/>
          <w:sz w:val="14"/>
          <w:szCs w:val="14"/>
          <w:color w:val="auto"/>
        </w:rPr>
        <w:t>For the three months ended September 30, 2024, interest expense decreased by $11 million compared to the prior year, primarily driven by $10 million lower of debt issuance cost amortization and $9 million of lower interest expense due to a different notional amount of debt outstanding during the period. In addition, we recorded $4 million of gains on our interest derivatives in the current year, in comparison to $7 million of gains in the prior year. We also recognized $9 million of marked-to-market remeasurement losses during the three months ended September 30, 2024 on our undesignated interest rate swap contracts, in comparison to $5 million of marked-to-market remeasurement losses in the prior year.</w:t>
      </w:r>
    </w:p>
    <w:p>
      <w:pPr>
        <w:spacing w:after="0" w:line="162" w:lineRule="exact"/>
        <w:rPr>
          <w:sz w:val="20"/>
          <w:szCs w:val="20"/>
          <w:color w:val="auto"/>
        </w:rPr>
      </w:pPr>
    </w:p>
    <w:p>
      <w:pPr>
        <w:jc w:val="both"/>
        <w:ind w:firstLine="319"/>
        <w:spacing w:after="0" w:line="262" w:lineRule="auto"/>
        <w:rPr>
          <w:sz w:val="20"/>
          <w:szCs w:val="20"/>
          <w:color w:val="auto"/>
        </w:rPr>
      </w:pPr>
      <w:r>
        <w:rPr>
          <w:rFonts w:ascii="Times New Roman" w:cs="Times New Roman" w:eastAsia="Times New Roman" w:hAnsi="Times New Roman"/>
          <w:sz w:val="14"/>
          <w:szCs w:val="14"/>
          <w:color w:val="auto"/>
        </w:rPr>
        <w:t>For the nine months ended September 30, 2024, interest expense increased by $26 million compared to the prior year, primarily driven by $17 million of higher accelerated debt issuance cost amortization, and $10 million of higher interest expense related to our 2032 Senior Notes partially offset by lower interest expense related to our 2023 Dollar Term Facility. In addition, we recorded $23 million of gains, net of settlements of $18 million, on our interest derivatives in the current year, in comparison to $18 million of gains in the prior year. We also recognized $33 million of marked-to-market remeasurement losses during the nine months ended September 30, 2024 on our undesignated interest rate swap contracts, in comparison to $12 million of marked-to-market remeasurement losses in the prior year.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Non-operating (income) expense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60" w:type="dxa"/>
            <w:vAlign w:val="bottom"/>
            <w:gridSpan w:val="2"/>
          </w:tcPr>
          <w:p>
            <w:pPr>
              <w:jc w:val="center"/>
              <w:ind w:right="41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20" w:type="dxa"/>
            <w:vAlign w:val="bottom"/>
          </w:tcPr>
          <w:p>
            <w:pPr>
              <w:spacing w:after="0"/>
              <w:rPr>
                <w:sz w:val="11"/>
                <w:szCs w:val="11"/>
                <w:color w:val="auto"/>
              </w:rPr>
            </w:pPr>
          </w:p>
        </w:tc>
      </w:tr>
      <w:tr>
        <w:trPr>
          <w:trHeight w:val="149"/>
        </w:trPr>
        <w:tc>
          <w:tcPr>
            <w:tcW w:w="4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60" w:type="dxa"/>
            <w:vAlign w:val="bottom"/>
            <w:gridSpan w:val="2"/>
          </w:tcPr>
          <w:p>
            <w:pPr>
              <w:jc w:val="center"/>
              <w:ind w:right="41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20" w:type="dxa"/>
            <w:vAlign w:val="bottom"/>
          </w:tcPr>
          <w:p>
            <w:pPr>
              <w:spacing w:after="0"/>
              <w:rPr>
                <w:sz w:val="12"/>
                <w:szCs w:val="12"/>
                <w:color w:val="auto"/>
              </w:rPr>
            </w:pPr>
          </w:p>
        </w:tc>
      </w:tr>
      <w:tr>
        <w:trPr>
          <w:trHeight w:val="30"/>
        </w:trPr>
        <w:tc>
          <w:tcPr>
            <w:tcW w:w="46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52"/>
        </w:trPr>
        <w:tc>
          <w:tcPr>
            <w:tcW w:w="4680" w:type="dxa"/>
            <w:vAlign w:val="bottom"/>
          </w:tcPr>
          <w:p>
            <w:pPr>
              <w:spacing w:after="0"/>
              <w:rPr>
                <w:sz w:val="13"/>
                <w:szCs w:val="13"/>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4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700" w:type="dxa"/>
            <w:vAlign w:val="bottom"/>
            <w:gridSpan w:val="3"/>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2"/>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Non-operating (income) expense</w:t>
            </w:r>
          </w:p>
        </w:tc>
        <w:tc>
          <w:tcPr>
            <w:tcW w:w="104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8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20" w:type="dxa"/>
            <w:vAlign w:val="bottom"/>
            <w:shd w:val="clear" w:color="auto" w:fill="CFF0FC"/>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r>
    </w:tbl>
    <w:p>
      <w:pPr>
        <w:spacing w:after="0" w:line="198"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auto"/>
        </w:rPr>
        <w:t>For the three months ended September 30, 2024, we had non-operating income of $1 million versus $2 million in the prior year, primarily driven by lower equity income due to the sale of an equity interest in an unconsolidated joint venture.</w:t>
      </w:r>
    </w:p>
    <w:p>
      <w:pPr>
        <w:spacing w:after="0" w:line="92"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auto"/>
        </w:rPr>
        <w:t>For the nine months ended September 30, 2024, we had non-operating income of $7 million versus an expense of $3 million in the prior year, primarily driven by foreign exchange transactional gains, partially offset by $2 million of lower equity income due to the sale of an equity interest in an unconsolidated joint venture.</w:t>
      </w: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8"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i w:val="1"/>
          <w:iCs w:val="1"/>
          <w:color w:val="auto"/>
        </w:rPr>
        <w:t>Tax Expense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40" w:type="dxa"/>
            <w:vAlign w:val="bottom"/>
            <w:gridSpan w:val="2"/>
          </w:tcPr>
          <w:p>
            <w:pPr>
              <w:jc w:val="center"/>
              <w:ind w:right="41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60" w:type="dxa"/>
            <w:vAlign w:val="bottom"/>
          </w:tcPr>
          <w:p>
            <w:pPr>
              <w:spacing w:after="0"/>
              <w:rPr>
                <w:sz w:val="11"/>
                <w:szCs w:val="11"/>
                <w:color w:val="auto"/>
              </w:rPr>
            </w:pPr>
          </w:p>
        </w:tc>
      </w:tr>
      <w:tr>
        <w:trPr>
          <w:trHeight w:val="149"/>
        </w:trPr>
        <w:tc>
          <w:tcPr>
            <w:tcW w:w="4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40" w:type="dxa"/>
            <w:vAlign w:val="bottom"/>
            <w:gridSpan w:val="2"/>
          </w:tcPr>
          <w:p>
            <w:pPr>
              <w:jc w:val="center"/>
              <w:ind w:right="41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60" w:type="dxa"/>
            <w:vAlign w:val="bottom"/>
          </w:tcPr>
          <w:p>
            <w:pPr>
              <w:spacing w:after="0"/>
              <w:rPr>
                <w:sz w:val="12"/>
                <w:szCs w:val="12"/>
                <w:color w:val="auto"/>
              </w:rPr>
            </w:pPr>
          </w:p>
        </w:tc>
      </w:tr>
      <w:tr>
        <w:trPr>
          <w:trHeight w:val="30"/>
        </w:trPr>
        <w:tc>
          <w:tcPr>
            <w:tcW w:w="44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52"/>
        </w:trPr>
        <w:tc>
          <w:tcPr>
            <w:tcW w:w="4460" w:type="dxa"/>
            <w:vAlign w:val="bottom"/>
          </w:tcPr>
          <w:p>
            <w:pPr>
              <w:spacing w:after="0"/>
              <w:rPr>
                <w:sz w:val="13"/>
                <w:szCs w:val="13"/>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4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20" w:type="dxa"/>
            <w:vAlign w:val="bottom"/>
            <w:gridSpan w:val="3"/>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2"/>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 expense</w:t>
            </w:r>
          </w:p>
        </w:tc>
        <w:tc>
          <w:tcPr>
            <w:tcW w:w="106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4"/>
                <w:szCs w:val="14"/>
                <w:color w:val="auto"/>
              </w:rPr>
              <w:t>24</w:t>
            </w:r>
          </w:p>
        </w:tc>
        <w:tc>
          <w:tcPr>
            <w:tcW w:w="112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4"/>
                <w:szCs w:val="14"/>
                <w:color w:val="auto"/>
              </w:rPr>
              <w:t>62</w:t>
            </w:r>
          </w:p>
        </w:tc>
        <w:tc>
          <w:tcPr>
            <w:tcW w:w="620" w:type="dxa"/>
            <w:vAlign w:val="bottom"/>
            <w:shd w:val="clear" w:color="auto" w:fill="CFF0FC"/>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70</w:t>
            </w:r>
          </w:p>
        </w:tc>
      </w:tr>
      <w:tr>
        <w:trPr>
          <w:trHeight w:val="191"/>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10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31.6 %</w:t>
            </w:r>
          </w:p>
        </w:tc>
        <w:tc>
          <w:tcPr>
            <w:tcW w:w="1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18.6 %</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25.4 %</w:t>
            </w:r>
          </w:p>
        </w:tc>
        <w:tc>
          <w:tcPr>
            <w:tcW w:w="6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25.1 %</w:t>
            </w:r>
          </w:p>
        </w:tc>
      </w:tr>
    </w:tbl>
    <w:p>
      <w:pPr>
        <w:spacing w:after="0" w:line="284" w:lineRule="exact"/>
        <w:rPr>
          <w:sz w:val="20"/>
          <w:szCs w:val="20"/>
          <w:color w:val="auto"/>
        </w:rPr>
      </w:pPr>
    </w:p>
    <w:p>
      <w:pPr>
        <w:ind w:right="20" w:firstLine="319"/>
        <w:spacing w:after="0" w:line="304" w:lineRule="auto"/>
        <w:rPr>
          <w:sz w:val="20"/>
          <w:szCs w:val="20"/>
          <w:color w:val="auto"/>
        </w:rPr>
      </w:pPr>
      <w:r>
        <w:rPr>
          <w:rFonts w:ascii="Times New Roman" w:cs="Times New Roman" w:eastAsia="Times New Roman" w:hAnsi="Times New Roman"/>
          <w:sz w:val="14"/>
          <w:szCs w:val="14"/>
          <w:color w:val="231F20"/>
        </w:rPr>
        <w:t xml:space="preserve">The effective tax rates for the </w:t>
      </w:r>
      <w:r>
        <w:rPr>
          <w:rFonts w:ascii="Times New Roman" w:cs="Times New Roman" w:eastAsia="Times New Roman" w:hAnsi="Times New Roman"/>
          <w:sz w:val="14"/>
          <w:szCs w:val="14"/>
          <w:color w:val="000000"/>
        </w:rPr>
        <w:t>three months ended September 30, 2024</w:t>
      </w:r>
      <w:r>
        <w:rPr>
          <w:rFonts w:ascii="Times New Roman" w:cs="Times New Roman" w:eastAsia="Times New Roman" w:hAnsi="Times New Roman"/>
          <w:sz w:val="14"/>
          <w:szCs w:val="14"/>
          <w:color w:val="231F20"/>
        </w:rPr>
        <w:t xml:space="preserve"> and 2023 were </w:t>
      </w:r>
      <w:r>
        <w:rPr>
          <w:rFonts w:ascii="Times New Roman" w:cs="Times New Roman" w:eastAsia="Times New Roman" w:hAnsi="Times New Roman"/>
          <w:sz w:val="14"/>
          <w:szCs w:val="14"/>
          <w:color w:val="000000"/>
        </w:rPr>
        <w:t>31.6%</w:t>
      </w:r>
      <w:r>
        <w:rPr>
          <w:rFonts w:ascii="Times New Roman" w:cs="Times New Roman" w:eastAsia="Times New Roman" w:hAnsi="Times New Roman"/>
          <w:sz w:val="14"/>
          <w:szCs w:val="14"/>
          <w:color w:val="231F20"/>
        </w:rPr>
        <w:t xml:space="preserve"> and </w:t>
      </w:r>
      <w:r>
        <w:rPr>
          <w:rFonts w:ascii="Times New Roman" w:cs="Times New Roman" w:eastAsia="Times New Roman" w:hAnsi="Times New Roman"/>
          <w:sz w:val="14"/>
          <w:szCs w:val="14"/>
          <w:color w:val="000000"/>
        </w:rPr>
        <w:t>18.6%</w:t>
      </w:r>
      <w:r>
        <w:rPr>
          <w:rFonts w:ascii="Times New Roman" w:cs="Times New Roman" w:eastAsia="Times New Roman" w:hAnsi="Times New Roman"/>
          <w:sz w:val="14"/>
          <w:szCs w:val="14"/>
          <w:color w:val="231F20"/>
        </w:rPr>
        <w:t xml:space="preserve">, respectively. The effective tax rates for the </w:t>
      </w:r>
      <w:r>
        <w:rPr>
          <w:rFonts w:ascii="Times New Roman" w:cs="Times New Roman" w:eastAsia="Times New Roman" w:hAnsi="Times New Roman"/>
          <w:sz w:val="14"/>
          <w:szCs w:val="14"/>
          <w:color w:val="000000"/>
        </w:rPr>
        <w:t>nine months ended September 30, 2024</w:t>
      </w:r>
      <w:r>
        <w:rPr>
          <w:rFonts w:ascii="Times New Roman" w:cs="Times New Roman" w:eastAsia="Times New Roman" w:hAnsi="Times New Roman"/>
          <w:sz w:val="14"/>
          <w:szCs w:val="14"/>
          <w:color w:val="231F20"/>
        </w:rPr>
        <w:t xml:space="preserve"> and 2023 were 25.4% and 25.1%, respectively.</w:t>
      </w:r>
    </w:p>
    <w:p>
      <w:pPr>
        <w:spacing w:after="0" w:line="135"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231F20"/>
        </w:rPr>
        <w:t>The change in the effective tax rate for the three months ended September 30, 2024 compared to the prior period is primarily related to global mix of earnings, partially offset by adjustments to tax reserves due to expiration of statute of limitations.</w:t>
      </w:r>
    </w:p>
    <w:p>
      <w:pPr>
        <w:spacing w:after="0" w:line="145"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231F20"/>
        </w:rPr>
        <w:t>The change in the effective tax rate for the nine months ended September 30, 2024 compared to the prior period is primarily related to global mix of earnings and tax expense related to the sale of an equity interest in an unconsolidated joint venture, partially offset by reversal of tax reserves and lower non-deductible transaction costs.</w:t>
      </w:r>
    </w:p>
    <w:p>
      <w:pPr>
        <w:spacing w:after="0" w:line="145"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4"/>
          <w:szCs w:val="14"/>
          <w:color w:val="231F20"/>
        </w:rPr>
        <w:t>In January 2019, the Organization for Economic Co-operation and Development (“OECD”) announced further work in continuation of its Base Erosion and Profit Shifting project, focusing on two “pillars.” Pillar One provides a framework for the reallocation of certain residual profits of multinational enterprises to market jurisdictions where goods or services are used or consumed. Pillar Two consists of two interrelated rules referred to as Global Anti-Base Erosion (“GloBE”) Rules, which operate to impose a minimum tax rate of 15% calculated on a jurisdictional basis. On December 20, 2021, the OECD published GloBE model rules and released multiple rounds of commentary on those rules over the subsequent months. More than 135 OECD member countries have agreed to the key parameters of the model rules, which allow those OECD member countries to begin implementing the GloBE rules in a manner consistent with the agreement reached. The rules were adopted by a number of countries, with an effective date for fiscal years beginning after December 31, 2023.</w:t>
      </w:r>
    </w:p>
    <w:p>
      <w:pPr>
        <w:spacing w:after="0" w:line="164" w:lineRule="exact"/>
        <w:rPr>
          <w:sz w:val="20"/>
          <w:szCs w:val="20"/>
          <w:color w:val="auto"/>
        </w:rPr>
      </w:pPr>
    </w:p>
    <w:p>
      <w:pPr>
        <w:ind w:firstLine="319"/>
        <w:spacing w:after="0" w:line="336" w:lineRule="auto"/>
        <w:rPr>
          <w:sz w:val="20"/>
          <w:szCs w:val="20"/>
          <w:color w:val="auto"/>
        </w:rPr>
      </w:pPr>
      <w:r>
        <w:rPr>
          <w:rFonts w:ascii="Times New Roman" w:cs="Times New Roman" w:eastAsia="Times New Roman" w:hAnsi="Times New Roman"/>
          <w:sz w:val="14"/>
          <w:szCs w:val="14"/>
          <w:color w:val="231F20"/>
        </w:rPr>
        <w:t>We do not expect that Pillar One will have an impact on our operations or effective tax rate. Based on currently enacted legislation, we do not expect Pillar Two to have a material impact to our 2024 effective tax rate. However, further enactment of legislation by countries in which we do business could have an impact on our 2024 effective tax rate.</w:t>
      </w:r>
    </w:p>
    <w:p>
      <w:pPr>
        <w:spacing w:after="0" w:line="114"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231F20"/>
        </w:rPr>
        <w:t>The effective tax rate can vary from quarter to quarter due to changes in the Company’s global mix of earnings, the resolution of income tax audits, changes in tax laws (including updated guidance on U.S. tax reform), deductions related to employee share-based payments, internal restructurings, and pension mark-to-market adjustments.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Income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40" w:type="dxa"/>
            <w:vAlign w:val="bottom"/>
            <w:gridSpan w:val="2"/>
          </w:tcPr>
          <w:p>
            <w:pPr>
              <w:jc w:val="center"/>
              <w:ind w:right="41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60" w:type="dxa"/>
            <w:vAlign w:val="bottom"/>
          </w:tcPr>
          <w:p>
            <w:pPr>
              <w:spacing w:after="0"/>
              <w:rPr>
                <w:sz w:val="11"/>
                <w:szCs w:val="11"/>
                <w:color w:val="auto"/>
              </w:rPr>
            </w:pPr>
          </w:p>
        </w:tc>
      </w:tr>
      <w:tr>
        <w:trPr>
          <w:trHeight w:val="149"/>
        </w:trPr>
        <w:tc>
          <w:tcPr>
            <w:tcW w:w="4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40" w:type="dxa"/>
            <w:vAlign w:val="bottom"/>
            <w:gridSpan w:val="2"/>
          </w:tcPr>
          <w:p>
            <w:pPr>
              <w:jc w:val="center"/>
              <w:ind w:right="41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60" w:type="dxa"/>
            <w:vAlign w:val="bottom"/>
          </w:tcPr>
          <w:p>
            <w:pPr>
              <w:spacing w:after="0"/>
              <w:rPr>
                <w:sz w:val="12"/>
                <w:szCs w:val="12"/>
                <w:color w:val="auto"/>
              </w:rPr>
            </w:pPr>
          </w:p>
        </w:tc>
      </w:tr>
      <w:tr>
        <w:trPr>
          <w:trHeight w:val="30"/>
        </w:trPr>
        <w:tc>
          <w:tcPr>
            <w:tcW w:w="44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52"/>
        </w:trPr>
        <w:tc>
          <w:tcPr>
            <w:tcW w:w="4460" w:type="dxa"/>
            <w:vAlign w:val="bottom"/>
          </w:tcPr>
          <w:p>
            <w:pPr>
              <w:spacing w:after="0"/>
              <w:rPr>
                <w:sz w:val="13"/>
                <w:szCs w:val="13"/>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4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20" w:type="dxa"/>
            <w:vAlign w:val="bottom"/>
            <w:gridSpan w:val="3"/>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2"/>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4"/>
                <w:szCs w:val="14"/>
                <w:color w:val="auto"/>
              </w:rPr>
              <w:t>52</w:t>
            </w:r>
          </w:p>
        </w:tc>
        <w:tc>
          <w:tcPr>
            <w:tcW w:w="112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4"/>
                <w:szCs w:val="14"/>
                <w:color w:val="auto"/>
              </w:rPr>
              <w:t>182</w:t>
            </w:r>
          </w:p>
        </w:tc>
        <w:tc>
          <w:tcPr>
            <w:tcW w:w="620" w:type="dxa"/>
            <w:vAlign w:val="bottom"/>
            <w:shd w:val="clear" w:color="auto" w:fill="CFF0FC"/>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209</w:t>
            </w:r>
          </w:p>
        </w:tc>
      </w:tr>
      <w:tr>
        <w:trPr>
          <w:trHeight w:val="191"/>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margin</w:t>
            </w:r>
          </w:p>
        </w:tc>
        <w:tc>
          <w:tcPr>
            <w:tcW w:w="10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1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6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7.1 %</w:t>
            </w:r>
          </w:p>
        </w:tc>
      </w:tr>
    </w:tbl>
    <w:p>
      <w:pPr>
        <w:spacing w:after="0" w:line="210"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auto"/>
        </w:rPr>
        <w:t>Net income for the three months ended September 30, 2024 decreased by $5 million compared with the prior year, primarily due to $10 million of decreased gross profit and $11 million of higher tax expense. These decreases were partially offset by $11 million of lower interest expense and $6 million of lower SG&amp;A expense.</w:t>
      </w:r>
    </w:p>
    <w:p>
      <w:pPr>
        <w:spacing w:after="0" w:line="92" w:lineRule="exact"/>
        <w:rPr>
          <w:sz w:val="20"/>
          <w:szCs w:val="20"/>
          <w:color w:val="auto"/>
        </w:rPr>
      </w:pPr>
    </w:p>
    <w:p>
      <w:pPr>
        <w:jc w:val="both"/>
        <w:ind w:firstLine="319"/>
        <w:spacing w:after="0" w:line="271" w:lineRule="auto"/>
        <w:rPr>
          <w:sz w:val="20"/>
          <w:szCs w:val="20"/>
          <w:color w:val="auto"/>
        </w:rPr>
      </w:pPr>
      <w:r>
        <w:rPr>
          <w:rFonts w:ascii="Times New Roman" w:cs="Times New Roman" w:eastAsia="Times New Roman" w:hAnsi="Times New Roman"/>
          <w:sz w:val="14"/>
          <w:szCs w:val="14"/>
          <w:color w:val="auto"/>
        </w:rPr>
        <w:t>Net income for the nine months ended September 30, 2024 decreased by $27 million compared with the prior year, primarily due to $44 million of decreased gross profit and $26 million of higher interest expense. These decreases were partially offset by a $27 million gain on the sale of an equity interest in an unconsolidated joint venture, $10 million of higher non-operating income, and $8 million of lower tax expense.</w:t>
      </w:r>
    </w:p>
    <w:p>
      <w:pPr>
        <w:spacing w:after="0" w:line="200" w:lineRule="exact"/>
        <w:rPr>
          <w:sz w:val="20"/>
          <w:szCs w:val="20"/>
          <w:color w:val="auto"/>
        </w:rPr>
      </w:pPr>
    </w:p>
    <w:p>
      <w:pPr>
        <w:spacing w:after="0" w:line="2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8"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color w:val="auto"/>
        </w:rPr>
        <w:t>Non-GAAP Measures</w:t>
      </w:r>
    </w:p>
    <w:p>
      <w:pPr>
        <w:spacing w:after="0" w:line="16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It is management’s intent to provide non-GAAP financial information to supplement the understanding of our business operations and performance, and it should be considered by the reader in addition to, but not instead of, the financial statements prepared in accordance with GAAP. Each non-GAAP financial measure is presented along with the most directly comparable GAAP measure so as not to imply that more emphasis should be placed on the non-GAAP measure. The non-GAAP financial information presented may be determined or calculated differently by other companies and may not be comparable to other similarly titled measures used by other companies. Additionally, the non-GAAP financial measures have limitations as analytical tools and should not be considered in isolation from, or as a substitute for, an analysis of the Company’s operating results as reported under GAAP.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EBITDA and Adjusted EBITDA</w:t>
      </w:r>
    </w:p>
    <w:p>
      <w:pPr>
        <w:spacing w:after="0" w:line="15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4"/>
          <w:szCs w:val="14"/>
          <w:color w:val="auto"/>
        </w:rPr>
        <w:t>We evaluate performance on the basis of EBITDA and Adjusted EBITDA. We define “EBITDA” as our net income calculated in accordance with U.S. GAAP, plus the sum of interest expense net of interest income, tax expense and depreciation. We define “Adjusted EBITDA” as EBITDA, plus the sum of stock compensation expense, repositioning costs, foreign exchange (gain) loss on debt net of related hedging gains, discounting costs on factoring, gain on sale of equity investment, acquisition and divestiture expenses, other non-operating income, capital structure transformation expenses, debt refinancing and redemption costs, net reorganization items and loss on extinguishment of debt (if any). Adjusted EBITDA now also adjusts for acquisition and divestiture expenses, and debt refinancing and redemption costs, but no adjustments were made to the prior period as there were no similar adjustments in the prior periods. We believe that EBITDA and Adjusted EBITDA are important indicators of operating performance and provide useful information for investors because:</w:t>
      </w:r>
    </w:p>
    <w:p>
      <w:pPr>
        <w:spacing w:after="0" w:line="121" w:lineRule="exact"/>
        <w:rPr>
          <w:sz w:val="20"/>
          <w:szCs w:val="20"/>
          <w:color w:val="auto"/>
        </w:rPr>
      </w:pPr>
    </w:p>
    <w:p>
      <w:pPr>
        <w:ind w:left="520" w:hanging="259"/>
        <w:spacing w:after="0" w:line="289"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and Adjusted EBITDA exclude the effects of income taxes, as well as the effects of financing and investing activities by eliminating the effects of interest and depreciation expenses and therefore more closely measure our operational performance; and</w:t>
      </w:r>
    </w:p>
    <w:p>
      <w:pPr>
        <w:spacing w:after="0" w:line="91" w:lineRule="exact"/>
        <w:rPr>
          <w:rFonts w:ascii="Times New Roman" w:cs="Times New Roman" w:eastAsia="Times New Roman" w:hAnsi="Times New Roman"/>
          <w:sz w:val="14"/>
          <w:szCs w:val="14"/>
          <w:color w:val="auto"/>
        </w:rPr>
      </w:pPr>
    </w:p>
    <w:p>
      <w:pPr>
        <w:ind w:left="520" w:hanging="259"/>
        <w:spacing w:after="0" w:line="289"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adjustment items, while periodically affecting our results, may vary significantly from period to period and have disproportionate effect in a given period, which affects the comparability of our results.</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addition, our management may use Adjusted EBITDA in setting performance incentive targets to align performance measurement with operational performance.</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reconciles Net income under GAAP to EBITDA and Adjusted EBITDA: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3"/>
          </w:tcPr>
          <w:p>
            <w:pPr>
              <w:jc w:val="right"/>
              <w:ind w:right="414"/>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gridSpan w:val="3"/>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4620" w:type="dxa"/>
            <w:vAlign w:val="bottom"/>
          </w:tcPr>
          <w:p>
            <w:pPr>
              <w:spacing w:after="0"/>
              <w:rPr>
                <w:sz w:val="13"/>
                <w:szCs w:val="13"/>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jc w:val="right"/>
              <w:ind w:right="450"/>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61"/>
        </w:trPr>
        <w:tc>
          <w:tcPr>
            <w:tcW w:w="46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3"/>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5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1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202"/>
        </w:trPr>
        <w:tc>
          <w:tcPr>
            <w:tcW w:w="4620" w:type="dxa"/>
            <w:vAlign w:val="bottom"/>
          </w:tcPr>
          <w:p>
            <w:pPr>
              <w:ind w:left="180"/>
              <w:spacing w:after="0" w:line="202" w:lineRule="exact"/>
              <w:rPr>
                <w:sz w:val="20"/>
                <w:szCs w:val="20"/>
                <w:color w:val="auto"/>
              </w:rPr>
            </w:pPr>
            <w:r>
              <w:rPr>
                <w:rFonts w:ascii="Times New Roman" w:cs="Times New Roman" w:eastAsia="Times New Roman" w:hAnsi="Times New Roman"/>
                <w:sz w:val="14"/>
                <w:szCs w:val="14"/>
                <w:color w:val="auto"/>
              </w:rPr>
              <w:t xml:space="preserve">Interest expense, net of interest income </w:t>
            </w:r>
            <w:r>
              <w:rPr>
                <w:rFonts w:ascii="Times New Roman" w:cs="Times New Roman" w:eastAsia="Times New Roman" w:hAnsi="Times New Roman"/>
                <w:sz w:val="18"/>
                <w:szCs w:val="18"/>
                <w:color w:val="auto"/>
                <w:vertAlign w:val="superscript"/>
              </w:rPr>
              <w:t>(1)</w:t>
            </w:r>
          </w:p>
        </w:tc>
        <w:tc>
          <w:tcPr>
            <w:tcW w:w="1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 expense</w:t>
            </w:r>
          </w:p>
        </w:tc>
        <w:tc>
          <w:tcPr>
            <w:tcW w:w="1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97"/>
        </w:trPr>
        <w:tc>
          <w:tcPr>
            <w:tcW w:w="4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Depreciation</w:t>
            </w:r>
          </w:p>
        </w:tc>
        <w:tc>
          <w:tcPr>
            <w:tcW w:w="134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9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1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0" w:type="dxa"/>
            <w:vAlign w:val="bottom"/>
          </w:tcPr>
          <w:p>
            <w:pPr>
              <w:spacing w:after="0"/>
              <w:rPr>
                <w:sz w:val="1"/>
                <w:szCs w:val="1"/>
                <w:color w:val="auto"/>
              </w:rPr>
            </w:pPr>
          </w:p>
        </w:tc>
      </w:tr>
      <w:tr>
        <w:trPr>
          <w:trHeight w:val="213"/>
        </w:trPr>
        <w:tc>
          <w:tcPr>
            <w:tcW w:w="4620" w:type="dxa"/>
            <w:vAlign w:val="bottom"/>
          </w:tcPr>
          <w:p>
            <w:pPr>
              <w:ind w:left="180"/>
              <w:spacing w:after="0" w:line="213" w:lineRule="exact"/>
              <w:rPr>
                <w:sz w:val="20"/>
                <w:szCs w:val="20"/>
                <w:color w:val="auto"/>
              </w:rPr>
            </w:pPr>
            <w:r>
              <w:rPr>
                <w:rFonts w:ascii="Times New Roman" w:cs="Times New Roman" w:eastAsia="Times New Roman" w:hAnsi="Times New Roman"/>
                <w:sz w:val="14"/>
                <w:szCs w:val="14"/>
                <w:color w:val="auto"/>
              </w:rPr>
              <w:t xml:space="preserve">Stock compensation expense </w:t>
            </w:r>
            <w:r>
              <w:rPr>
                <w:rFonts w:ascii="Times New Roman" w:cs="Times New Roman" w:eastAsia="Times New Roman" w:hAnsi="Times New Roman"/>
                <w:sz w:val="22"/>
                <w:szCs w:val="22"/>
                <w:color w:val="auto"/>
                <w:vertAlign w:val="superscript"/>
              </w:rPr>
              <w:t>(2)</w:t>
            </w: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3"/>
        </w:trPr>
        <w:tc>
          <w:tcPr>
            <w:tcW w:w="4620" w:type="dxa"/>
            <w:vAlign w:val="bottom"/>
            <w:shd w:val="clear" w:color="auto" w:fill="CCEEFF"/>
          </w:tcPr>
          <w:p>
            <w:pPr>
              <w:ind w:left="180"/>
              <w:spacing w:after="0" w:line="213" w:lineRule="exact"/>
              <w:rPr>
                <w:sz w:val="20"/>
                <w:szCs w:val="20"/>
                <w:color w:val="auto"/>
              </w:rPr>
            </w:pPr>
            <w:r>
              <w:rPr>
                <w:rFonts w:ascii="Times New Roman" w:cs="Times New Roman" w:eastAsia="Times New Roman" w:hAnsi="Times New Roman"/>
                <w:sz w:val="14"/>
                <w:szCs w:val="14"/>
                <w:color w:val="auto"/>
              </w:rPr>
              <w:t xml:space="preserve">Repositioning costs </w:t>
            </w:r>
            <w:r>
              <w:rPr>
                <w:rFonts w:ascii="Times New Roman" w:cs="Times New Roman" w:eastAsia="Times New Roman" w:hAnsi="Times New Roman"/>
                <w:sz w:val="22"/>
                <w:szCs w:val="22"/>
                <w:color w:val="auto"/>
                <w:vertAlign w:val="superscript"/>
              </w:rPr>
              <w:t>(3)</w:t>
            </w:r>
          </w:p>
        </w:tc>
        <w:tc>
          <w:tcPr>
            <w:tcW w:w="1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7"/>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exchange gain on debt, net of related hedging loss</w:t>
            </w:r>
          </w:p>
        </w:tc>
        <w:tc>
          <w:tcPr>
            <w:tcW w:w="1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Discounting costs on factoring</w:t>
            </w:r>
          </w:p>
        </w:tc>
        <w:tc>
          <w:tcPr>
            <w:tcW w:w="1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7"/>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sale of equity investment</w:t>
            </w: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4"/>
                <w:szCs w:val="14"/>
                <w:color w:val="auto"/>
              </w:rPr>
              <w:t xml:space="preserve">Other non-operating income </w:t>
            </w:r>
            <w:r>
              <w:rPr>
                <w:rFonts w:ascii="Times New Roman" w:cs="Times New Roman" w:eastAsia="Times New Roman" w:hAnsi="Times New Roman"/>
                <w:sz w:val="22"/>
                <w:szCs w:val="22"/>
                <w:color w:val="auto"/>
                <w:vertAlign w:val="superscript"/>
              </w:rPr>
              <w:t>(4)</w:t>
            </w:r>
          </w:p>
        </w:tc>
        <w:tc>
          <w:tcPr>
            <w:tcW w:w="1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13"/>
        </w:trPr>
        <w:tc>
          <w:tcPr>
            <w:tcW w:w="4620" w:type="dxa"/>
            <w:vAlign w:val="bottom"/>
          </w:tcPr>
          <w:p>
            <w:pPr>
              <w:ind w:left="180"/>
              <w:spacing w:after="0" w:line="213" w:lineRule="exact"/>
              <w:rPr>
                <w:sz w:val="20"/>
                <w:szCs w:val="20"/>
                <w:color w:val="auto"/>
              </w:rPr>
            </w:pPr>
            <w:r>
              <w:rPr>
                <w:rFonts w:ascii="Times New Roman" w:cs="Times New Roman" w:eastAsia="Times New Roman" w:hAnsi="Times New Roman"/>
                <w:sz w:val="14"/>
                <w:szCs w:val="14"/>
                <w:color w:val="auto"/>
              </w:rPr>
              <w:t xml:space="preserve">Acquisition and divestiture expenses </w:t>
            </w:r>
            <w:r>
              <w:rPr>
                <w:rFonts w:ascii="Times New Roman" w:cs="Times New Roman" w:eastAsia="Times New Roman" w:hAnsi="Times New Roman"/>
                <w:sz w:val="22"/>
                <w:szCs w:val="22"/>
                <w:color w:val="auto"/>
                <w:vertAlign w:val="superscript"/>
              </w:rPr>
              <w:t>(5)</w:t>
            </w: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xml:space="preserve">Capital structure transformation expenses </w:t>
            </w:r>
            <w:r>
              <w:rPr>
                <w:rFonts w:ascii="Times New Roman" w:cs="Times New Roman" w:eastAsia="Times New Roman" w:hAnsi="Times New Roman"/>
                <w:sz w:val="11"/>
                <w:szCs w:val="11"/>
                <w:color w:val="auto"/>
              </w:rPr>
              <w:t>(6)</w:t>
            </w:r>
          </w:p>
        </w:tc>
        <w:tc>
          <w:tcPr>
            <w:tcW w:w="1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13"/>
        </w:trPr>
        <w:tc>
          <w:tcPr>
            <w:tcW w:w="4620" w:type="dxa"/>
            <w:vAlign w:val="bottom"/>
            <w:tcBorders>
              <w:bottom w:val="single" w:sz="8" w:color="CCEEFF"/>
            </w:tcBorders>
          </w:tcPr>
          <w:p>
            <w:pPr>
              <w:ind w:left="180"/>
              <w:spacing w:after="0" w:line="213" w:lineRule="exact"/>
              <w:rPr>
                <w:sz w:val="20"/>
                <w:szCs w:val="20"/>
                <w:color w:val="auto"/>
              </w:rPr>
            </w:pPr>
            <w:r>
              <w:rPr>
                <w:rFonts w:ascii="Times New Roman" w:cs="Times New Roman" w:eastAsia="Times New Roman" w:hAnsi="Times New Roman"/>
                <w:sz w:val="14"/>
                <w:szCs w:val="14"/>
                <w:color w:val="auto"/>
              </w:rPr>
              <w:t xml:space="preserve">Debt refinancing and redemption costs </w:t>
            </w:r>
            <w:r>
              <w:rPr>
                <w:rFonts w:ascii="Times New Roman" w:cs="Times New Roman" w:eastAsia="Times New Roman" w:hAnsi="Times New Roman"/>
                <w:sz w:val="22"/>
                <w:szCs w:val="22"/>
                <w:color w:val="auto"/>
                <w:vertAlign w:val="superscript"/>
              </w:rPr>
              <w:t>(7)</w:t>
            </w:r>
          </w:p>
        </w:tc>
        <w:tc>
          <w:tcPr>
            <w:tcW w:w="13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21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ind w:right="33"/>
              <w:spacing w:after="0"/>
              <w:rPr>
                <w:sz w:val="20"/>
                <w:szCs w:val="20"/>
                <w:color w:val="auto"/>
              </w:rPr>
            </w:pPr>
            <w:r>
              <w:rPr>
                <w:rFonts w:ascii="Times New Roman" w:cs="Times New Roman" w:eastAsia="Times New Roman" w:hAnsi="Times New Roman"/>
                <w:sz w:val="14"/>
                <w:szCs w:val="14"/>
                <w:color w:val="auto"/>
              </w:rPr>
              <w:t>31</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462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6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32" w:name="page33"/>
    <w:bookmarkEnd w:id="32"/>
    <w:p>
      <w:pPr>
        <w:ind w:left="520" w:hanging="259"/>
        <w:spacing w:after="0" w:line="289" w:lineRule="auto"/>
        <w:tabs>
          <w:tab w:leader="none" w:pos="515" w:val="left"/>
        </w:tabs>
        <w:numPr>
          <w:ilvl w:val="0"/>
          <w:numId w:val="9"/>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auto"/>
        </w:rPr>
        <w:t>Reflects interest income of $0 million and $1 million for the three months ended September 30, 2024 and 2023, respectively, and $3 million and $6 million for the nine months ended September 30, 2024 and 2023, respectively.</w:t>
      </w:r>
    </w:p>
    <w:p>
      <w:pPr>
        <w:spacing w:after="0" w:line="102" w:lineRule="exact"/>
        <w:rPr>
          <w:rFonts w:ascii="Times New Roman" w:cs="Times New Roman" w:eastAsia="Times New Roman" w:hAnsi="Times New Roman"/>
          <w:sz w:val="14"/>
          <w:szCs w:val="14"/>
          <w:color w:val="231F20"/>
        </w:rPr>
      </w:pPr>
    </w:p>
    <w:p>
      <w:pPr>
        <w:ind w:left="520" w:hanging="259"/>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compensation expense includes only non-cash expenses.</w:t>
      </w:r>
    </w:p>
    <w:p>
      <w:pPr>
        <w:spacing w:after="0" w:line="147"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Repositioning costs includes severance costs related to restructuring projects to improve future productivity.</w:t>
      </w:r>
    </w:p>
    <w:p>
      <w:pPr>
        <w:spacing w:after="0" w:line="147"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non-service component of net periodic pension income.</w:t>
      </w:r>
    </w:p>
    <w:p>
      <w:pPr>
        <w:spacing w:after="0" w:line="158"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incremental third-party costs incurred for the sale of an equity interest in an unconsolidated joint venture.</w:t>
      </w:r>
    </w:p>
    <w:p>
      <w:pPr>
        <w:spacing w:after="0" w:line="147" w:lineRule="exact"/>
        <w:rPr>
          <w:rFonts w:ascii="Times New Roman" w:cs="Times New Roman" w:eastAsia="Times New Roman" w:hAnsi="Times New Roman"/>
          <w:sz w:val="14"/>
          <w:szCs w:val="14"/>
          <w:color w:val="auto"/>
        </w:rPr>
      </w:pPr>
    </w:p>
    <w:p>
      <w:pPr>
        <w:ind w:left="520" w:hanging="259"/>
        <w:spacing w:after="0" w:line="289" w:lineRule="auto"/>
        <w:tabs>
          <w:tab w:leader="none" w:pos="515"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third-party incremental costs that were directly attributable to the transformation of the Company's capital structure through the partial repurchase and subsequent conversion of the remaining outstanding Series A Preferred Stock into a single class of common stock in June 2023.</w:t>
      </w:r>
    </w:p>
    <w:p>
      <w:pPr>
        <w:spacing w:after="0" w:line="91"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third-party costs directly attributable to the repricing of our 2021 Dollar Term Facility.</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EBITDA for the Three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139700</wp:posOffset>
            </wp:positionV>
            <wp:extent cx="4463415" cy="13455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463415"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307"/>
        <w:spacing w:after="0" w:line="292" w:lineRule="auto"/>
        <w:rPr>
          <w:sz w:val="20"/>
          <w:szCs w:val="20"/>
          <w:color w:val="auto"/>
        </w:rPr>
      </w:pPr>
      <w:r>
        <w:rPr>
          <w:rFonts w:ascii="Times New Roman" w:cs="Times New Roman" w:eastAsia="Times New Roman" w:hAnsi="Times New Roman"/>
          <w:sz w:val="14"/>
          <w:szCs w:val="14"/>
          <w:color w:val="231F20"/>
        </w:rPr>
        <w:t xml:space="preserve">For the </w:t>
      </w:r>
      <w:r>
        <w:rPr>
          <w:rFonts w:ascii="Times New Roman" w:cs="Times New Roman" w:eastAsia="Times New Roman" w:hAnsi="Times New Roman"/>
          <w:sz w:val="14"/>
          <w:szCs w:val="14"/>
          <w:color w:val="000000"/>
        </w:rPr>
        <w:t>three months ended September 30, 2024</w:t>
      </w:r>
      <w:r>
        <w:rPr>
          <w:rFonts w:ascii="Times New Roman" w:cs="Times New Roman" w:eastAsia="Times New Roman" w:hAnsi="Times New Roman"/>
          <w:sz w:val="14"/>
          <w:szCs w:val="14"/>
          <w:color w:val="231F20"/>
        </w:rPr>
        <w:t xml:space="preserve">, net income decreased by </w:t>
      </w:r>
      <w:r>
        <w:rPr>
          <w:rFonts w:ascii="Times New Roman" w:cs="Times New Roman" w:eastAsia="Times New Roman" w:hAnsi="Times New Roman"/>
          <w:sz w:val="14"/>
          <w:szCs w:val="14"/>
          <w:color w:val="000000"/>
        </w:rPr>
        <w:t>$5 million</w:t>
      </w:r>
      <w:r>
        <w:rPr>
          <w:rFonts w:ascii="Times New Roman" w:cs="Times New Roman" w:eastAsia="Times New Roman" w:hAnsi="Times New Roman"/>
          <w:sz w:val="14"/>
          <w:szCs w:val="14"/>
          <w:color w:val="231F20"/>
        </w:rPr>
        <w:t xml:space="preserve"> versus the prior year as discussed above within </w:t>
      </w:r>
      <w:r>
        <w:rPr>
          <w:rFonts w:ascii="Times New Roman" w:cs="Times New Roman" w:eastAsia="Times New Roman" w:hAnsi="Times New Roman"/>
          <w:sz w:val="14"/>
          <w:szCs w:val="14"/>
          <w:i w:val="1"/>
          <w:iCs w:val="1"/>
          <w:color w:val="231F20"/>
        </w:rPr>
        <w:t>Results of Operations for</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Three and Nine Months Ended</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September 30, 2024</w:t>
      </w:r>
      <w:r>
        <w:rPr>
          <w:rFonts w:ascii="Times New Roman" w:cs="Times New Roman" w:eastAsia="Times New Roman" w:hAnsi="Times New Roman"/>
          <w:sz w:val="14"/>
          <w:szCs w:val="14"/>
          <w:color w:val="231F20"/>
        </w:rPr>
        <w:t>.</w:t>
      </w:r>
    </w:p>
    <w:p>
      <w:pPr>
        <w:spacing w:after="0" w:line="8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 xml:space="preserve">Adjusted EBITDA decreased by </w:t>
      </w:r>
      <w:r>
        <w:rPr>
          <w:rFonts w:ascii="Times New Roman" w:cs="Times New Roman" w:eastAsia="Times New Roman" w:hAnsi="Times New Roman"/>
          <w:sz w:val="14"/>
          <w:szCs w:val="14"/>
          <w:color w:val="000000"/>
        </w:rPr>
        <w:t>$8 million</w:t>
      </w:r>
      <w:r>
        <w:rPr>
          <w:rFonts w:ascii="Times New Roman" w:cs="Times New Roman" w:eastAsia="Times New Roman" w:hAnsi="Times New Roman"/>
          <w:sz w:val="14"/>
          <w:szCs w:val="14"/>
          <w:color w:val="231F20"/>
        </w:rPr>
        <w:t xml:space="preserve"> compared to the prior year, mainly due to lower volumes, as discussed above, commodity deflation impact on pricing net of inflation pass-through as well as unfavorable foreign exchange impacts. These decreases were partially offset by strong operational performance through productivity, net of labor inflation, as well as commodity, transportation, and energy deflation, and a favorable product mix.</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 xml:space="preserve">During the three months ended September 30, 2024, we saw soft demand for gasoline and diesel, driven by </w:t>
      </w:r>
      <w:r>
        <w:rPr>
          <w:rFonts w:ascii="Times New Roman" w:cs="Times New Roman" w:eastAsia="Times New Roman" w:hAnsi="Times New Roman"/>
          <w:sz w:val="14"/>
          <w:szCs w:val="14"/>
          <w:color w:val="000000"/>
        </w:rPr>
        <w:t>regional industry and customer mix headwinds,</w:t>
      </w:r>
      <w:r>
        <w:rPr>
          <w:rFonts w:ascii="Times New Roman" w:cs="Times New Roman" w:eastAsia="Times New Roman" w:hAnsi="Times New Roman"/>
          <w:sz w:val="14"/>
          <w:szCs w:val="14"/>
          <w:color w:val="231F20"/>
        </w:rPr>
        <w:t xml:space="preserve"> partially offset by favorable demand in aftermarket for replacement parts. Net sales also decreased due to pricing, net of inflation pass-through, driven by commodity deflation.</w:t>
      </w:r>
    </w:p>
    <w:p>
      <w:pPr>
        <w:spacing w:after="0" w:line="1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The increased productivity from our ability to flex our variable cost structure, while driving sustained fixed cost productivity, was partially offset by year-over-year labor inflation and lower equity income following prior quarter's sale of an equity interest in an unconsolidated joint venture.</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R&amp;D expenses increased $6 million, reflecting our continued investment in new technologies and increased hiring to accelerate growth in the zero emission technologies.</w:t>
      </w:r>
    </w:p>
    <w:p>
      <w:pPr>
        <w:spacing w:after="0" w:line="201"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Losses in foreign currency from translational, transactional, and hedging effects in the three months ended September 30, 2024, primarily driven by lower Euro-to-US dollar, Chinese Yuan-to-US dollar and Japanese Yen-to-US dollar exchange rates versus the prior year period, accounted for a $4 million decrease in Adjusted EBITDA.</w:t>
      </w:r>
    </w:p>
    <w:p>
      <w:pPr>
        <w:spacing w:after="0" w:line="2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EBITDA for the 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4463415" cy="13525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463415" cy="1352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307"/>
        <w:spacing w:after="0" w:line="292" w:lineRule="auto"/>
        <w:rPr>
          <w:sz w:val="20"/>
          <w:szCs w:val="20"/>
          <w:color w:val="auto"/>
        </w:rPr>
      </w:pPr>
      <w:r>
        <w:rPr>
          <w:rFonts w:ascii="Times New Roman" w:cs="Times New Roman" w:eastAsia="Times New Roman" w:hAnsi="Times New Roman"/>
          <w:sz w:val="14"/>
          <w:szCs w:val="14"/>
          <w:color w:val="231F20"/>
        </w:rPr>
        <w:t xml:space="preserve">For the </w:t>
      </w:r>
      <w:r>
        <w:rPr>
          <w:rFonts w:ascii="Times New Roman" w:cs="Times New Roman" w:eastAsia="Times New Roman" w:hAnsi="Times New Roman"/>
          <w:sz w:val="14"/>
          <w:szCs w:val="14"/>
          <w:color w:val="000000"/>
        </w:rPr>
        <w:t>nine months ended September 30, 2024</w:t>
      </w:r>
      <w:r>
        <w:rPr>
          <w:rFonts w:ascii="Times New Roman" w:cs="Times New Roman" w:eastAsia="Times New Roman" w:hAnsi="Times New Roman"/>
          <w:sz w:val="14"/>
          <w:szCs w:val="14"/>
          <w:color w:val="231F20"/>
        </w:rPr>
        <w:t xml:space="preserve">, net income decreased by </w:t>
      </w:r>
      <w:r>
        <w:rPr>
          <w:rFonts w:ascii="Times New Roman" w:cs="Times New Roman" w:eastAsia="Times New Roman" w:hAnsi="Times New Roman"/>
          <w:sz w:val="14"/>
          <w:szCs w:val="14"/>
          <w:color w:val="000000"/>
        </w:rPr>
        <w:t>$27 million</w:t>
      </w:r>
      <w:r>
        <w:rPr>
          <w:rFonts w:ascii="Times New Roman" w:cs="Times New Roman" w:eastAsia="Times New Roman" w:hAnsi="Times New Roman"/>
          <w:sz w:val="14"/>
          <w:szCs w:val="14"/>
          <w:color w:val="231F20"/>
        </w:rPr>
        <w:t xml:space="preserve"> versus the prior year as discussed above within </w:t>
      </w:r>
      <w:r>
        <w:rPr>
          <w:rFonts w:ascii="Times New Roman" w:cs="Times New Roman" w:eastAsia="Times New Roman" w:hAnsi="Times New Roman"/>
          <w:sz w:val="14"/>
          <w:szCs w:val="14"/>
          <w:i w:val="1"/>
          <w:iCs w:val="1"/>
          <w:color w:val="231F20"/>
        </w:rPr>
        <w:t>Results of Operations for</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Three and Nine Months Ended</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September 30, 2024</w:t>
      </w:r>
      <w:r>
        <w:rPr>
          <w:rFonts w:ascii="Times New Roman" w:cs="Times New Roman" w:eastAsia="Times New Roman" w:hAnsi="Times New Roman"/>
          <w:sz w:val="14"/>
          <w:szCs w:val="14"/>
          <w:color w:val="231F20"/>
        </w:rPr>
        <w:t>.</w:t>
      </w:r>
    </w:p>
    <w:p>
      <w:pPr>
        <w:spacing w:after="0" w:line="121"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 xml:space="preserve">Adjusted EBITDA decreased by </w:t>
      </w:r>
      <w:r>
        <w:rPr>
          <w:rFonts w:ascii="Times New Roman" w:cs="Times New Roman" w:eastAsia="Times New Roman" w:hAnsi="Times New Roman"/>
          <w:sz w:val="14"/>
          <w:szCs w:val="14"/>
          <w:color w:val="000000"/>
        </w:rPr>
        <w:t>$45 million c</w:t>
      </w:r>
      <w:r>
        <w:rPr>
          <w:rFonts w:ascii="Times New Roman" w:cs="Times New Roman" w:eastAsia="Times New Roman" w:hAnsi="Times New Roman"/>
          <w:sz w:val="14"/>
          <w:szCs w:val="14"/>
          <w:color w:val="231F20"/>
        </w:rPr>
        <w:t>ompared to the prior year, mainly due to soft demand across all product lines except aftermarket, pricing net of inflation pass-through, and unfavorable foreign exchange impacts. These decreases were partially offset by strong operational performance through productivity, net of labor inflation, as well as commodity, transportation, and energy deflation.</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 xml:space="preserve">During the </w:t>
      </w:r>
      <w:r>
        <w:rPr>
          <w:rFonts w:ascii="Times New Roman" w:cs="Times New Roman" w:eastAsia="Times New Roman" w:hAnsi="Times New Roman"/>
          <w:sz w:val="14"/>
          <w:szCs w:val="14"/>
          <w:color w:val="000000"/>
        </w:rPr>
        <w:t>nine months ended September 30, 2024</w:t>
      </w:r>
      <w:r>
        <w:rPr>
          <w:rFonts w:ascii="Times New Roman" w:cs="Times New Roman" w:eastAsia="Times New Roman" w:hAnsi="Times New Roman"/>
          <w:sz w:val="14"/>
          <w:szCs w:val="14"/>
          <w:color w:val="231F20"/>
        </w:rPr>
        <w:t xml:space="preserve">, we saw demand softness for gasoline, diesel, and commercial vehicle applications, driven by challenging </w:t>
      </w:r>
      <w:r>
        <w:rPr>
          <w:rFonts w:ascii="Times New Roman" w:cs="Times New Roman" w:eastAsia="Times New Roman" w:hAnsi="Times New Roman"/>
          <w:sz w:val="14"/>
          <w:szCs w:val="14"/>
          <w:color w:val="000000"/>
        </w:rPr>
        <w:t>regional dynamics and customer</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 xml:space="preserve">mix headwinds, </w:t>
      </w:r>
      <w:r>
        <w:rPr>
          <w:rFonts w:ascii="Times New Roman" w:cs="Times New Roman" w:eastAsia="Times New Roman" w:hAnsi="Times New Roman"/>
          <w:sz w:val="14"/>
          <w:szCs w:val="14"/>
          <w:color w:val="231F20"/>
        </w:rPr>
        <w:t>partially offset by favorable demand in aftermarket for replacement parts. Net sales also decreased due to pricing decreases, net of inflation pass-through, driven by commodity price</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decreases.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increased productivity from our ability to flex our variable cost structure while driving sustained fixed cost productivity was partially offset by year-over-year labor inflation.</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R&amp;D expenses increased $10 million, reflecting our continued investment in new technologies and increased hiring to accelerate growth in the zero emission technologies.</w:t>
      </w:r>
    </w:p>
    <w:p>
      <w:pPr>
        <w:spacing w:after="0" w:line="201"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 xml:space="preserve">Losses in foreign currency from translational, transactional, and hedging effects in the </w:t>
      </w:r>
      <w:r>
        <w:rPr>
          <w:rFonts w:ascii="Times New Roman" w:cs="Times New Roman" w:eastAsia="Times New Roman" w:hAnsi="Times New Roman"/>
          <w:sz w:val="14"/>
          <w:szCs w:val="14"/>
          <w:color w:val="000000"/>
        </w:rPr>
        <w:t>nine months ended September 30, 2024</w:t>
      </w:r>
      <w:r>
        <w:rPr>
          <w:rFonts w:ascii="Times New Roman" w:cs="Times New Roman" w:eastAsia="Times New Roman" w:hAnsi="Times New Roman"/>
          <w:sz w:val="14"/>
          <w:szCs w:val="14"/>
          <w:color w:val="231F20"/>
        </w:rPr>
        <w:t>, primarily driven by lower Chinese Yuan-to-US dollar and Japanese Yen-to-US dollar exchange rates and partially offset by higher Euro-to-US dollar exchange rates versus the prior year period, accounted for a $18 million decrease in Adjusted EBITDA.</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66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140" w:type="dxa"/>
            <w:vAlign w:val="bottom"/>
          </w:tcPr>
          <w:p>
            <w:pPr>
              <w:jc w:val="center"/>
              <w:ind w:left="37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49"/>
        </w:trPr>
        <w:tc>
          <w:tcPr>
            <w:tcW w:w="4660" w:type="dxa"/>
            <w:vAlign w:val="bottom"/>
          </w:tcPr>
          <w:p>
            <w:pPr>
              <w:spacing w:after="0"/>
              <w:rPr>
                <w:sz w:val="12"/>
                <w:szCs w:val="12"/>
                <w:color w:val="auto"/>
              </w:rPr>
            </w:pPr>
          </w:p>
        </w:tc>
        <w:tc>
          <w:tcPr>
            <w:tcW w:w="4480" w:type="dxa"/>
            <w:vAlign w:val="bottom"/>
            <w:gridSpan w:val="2"/>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12"/>
                <w:szCs w:val="12"/>
                <w:color w:val="auto"/>
              </w:rPr>
            </w:pPr>
          </w:p>
        </w:tc>
      </w:tr>
      <w:tr>
        <w:trPr>
          <w:trHeight w:val="30"/>
        </w:trPr>
        <w:tc>
          <w:tcPr>
            <w:tcW w:w="46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51"/>
        </w:trPr>
        <w:tc>
          <w:tcPr>
            <w:tcW w:w="46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2"/>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340" w:type="dxa"/>
            <w:vAlign w:val="bottom"/>
            <w:shd w:val="clear" w:color="auto" w:fill="CFF0FC"/>
          </w:tcPr>
          <w:p>
            <w:pPr>
              <w:spacing w:after="0"/>
              <w:rPr>
                <w:sz w:val="18"/>
                <w:szCs w:val="18"/>
                <w:color w:val="auto"/>
              </w:rPr>
            </w:pPr>
          </w:p>
        </w:tc>
        <w:tc>
          <w:tcPr>
            <w:tcW w:w="114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FF0FC"/>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20" w:type="dxa"/>
            <w:vAlign w:val="bottom"/>
          </w:tcPr>
          <w:p>
            <w:pPr>
              <w:spacing w:after="0"/>
              <w:rPr>
                <w:sz w:val="18"/>
                <w:szCs w:val="18"/>
                <w:color w:val="auto"/>
              </w:rPr>
            </w:pPr>
          </w:p>
        </w:tc>
      </w:tr>
      <w:tr>
        <w:trPr>
          <w:trHeight w:val="181"/>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3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5"/>
                <w:szCs w:val="15"/>
                <w:color w:val="auto"/>
              </w:rPr>
            </w:pPr>
          </w:p>
        </w:tc>
      </w:tr>
      <w:tr>
        <w:trPr>
          <w:trHeight w:val="181"/>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Facility - available borrowing capacity</w:t>
            </w:r>
          </w:p>
        </w:tc>
        <w:tc>
          <w:tcPr>
            <w:tcW w:w="3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20" w:type="dxa"/>
            <w:vAlign w:val="bottom"/>
          </w:tcPr>
          <w:p>
            <w:pPr>
              <w:spacing w:after="0"/>
              <w:rPr>
                <w:sz w:val="15"/>
                <w:szCs w:val="15"/>
                <w:color w:val="auto"/>
              </w:rPr>
            </w:pPr>
          </w:p>
        </w:tc>
      </w:tr>
      <w:tr>
        <w:trPr>
          <w:trHeight w:val="181"/>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Revolving Facility - borrowings or letters of credit outstanding</w:t>
            </w:r>
          </w:p>
        </w:tc>
        <w:tc>
          <w:tcPr>
            <w:tcW w:w="3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202"/>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 Facilities - principal outstanding</w:t>
            </w:r>
          </w:p>
        </w:tc>
        <w:tc>
          <w:tcPr>
            <w:tcW w:w="3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20" w:type="dxa"/>
            <w:vAlign w:val="bottom"/>
          </w:tcPr>
          <w:p>
            <w:pPr>
              <w:spacing w:after="0"/>
              <w:rPr>
                <w:sz w:val="17"/>
                <w:szCs w:val="17"/>
                <w:color w:val="auto"/>
              </w:rPr>
            </w:pPr>
          </w:p>
        </w:tc>
      </w:tr>
      <w:tr>
        <w:trPr>
          <w:trHeight w:val="181"/>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 - principal outstanding</w:t>
            </w:r>
          </w:p>
        </w:tc>
        <w:tc>
          <w:tcPr>
            <w:tcW w:w="3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81"/>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Bilateral letter of credit facility - available capacity</w:t>
            </w:r>
          </w:p>
        </w:tc>
        <w:tc>
          <w:tcPr>
            <w:tcW w:w="3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5"/>
                <w:szCs w:val="15"/>
                <w:color w:val="auto"/>
              </w:rPr>
            </w:pPr>
          </w:p>
        </w:tc>
      </w:tr>
      <w:tr>
        <w:trPr>
          <w:trHeight w:val="184"/>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Bilateral letter of credit facility - utilized capacity</w:t>
            </w:r>
          </w:p>
        </w:tc>
        <w:tc>
          <w:tcPr>
            <w:tcW w:w="3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6"/>
                <w:szCs w:val="16"/>
                <w:color w:val="auto"/>
              </w:rPr>
            </w:pPr>
          </w:p>
        </w:tc>
      </w:tr>
      <w:tr>
        <w:trPr>
          <w:trHeight w:val="518"/>
        </w:trPr>
        <w:tc>
          <w:tcPr>
            <w:tcW w:w="4660" w:type="dxa"/>
            <w:vAlign w:val="bottom"/>
          </w:tcPr>
          <w:p>
            <w:pPr>
              <w:spacing w:after="0"/>
              <w:rPr>
                <w:sz w:val="24"/>
                <w:szCs w:val="24"/>
                <w:color w:val="auto"/>
              </w:rPr>
            </w:pPr>
          </w:p>
        </w:tc>
        <w:tc>
          <w:tcPr>
            <w:tcW w:w="3340" w:type="dxa"/>
            <w:vAlign w:val="bottom"/>
          </w:tcPr>
          <w:p>
            <w:pPr>
              <w:jc w:val="right"/>
              <w:ind w:right="2076"/>
              <w:spacing w:after="0"/>
              <w:rPr>
                <w:sz w:val="20"/>
                <w:szCs w:val="20"/>
                <w:color w:val="auto"/>
              </w:rPr>
            </w:pPr>
            <w:r>
              <w:rPr>
                <w:rFonts w:ascii="Times New Roman" w:cs="Times New Roman" w:eastAsia="Times New Roman" w:hAnsi="Times New Roman"/>
                <w:sz w:val="14"/>
                <w:szCs w:val="14"/>
                <w:color w:val="auto"/>
              </w:rPr>
              <w:t>33</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8"/>
        </w:trPr>
        <w:tc>
          <w:tcPr>
            <w:tcW w:w="4660" w:type="dxa"/>
            <w:vAlign w:val="bottom"/>
            <w:tcBorders>
              <w:bottom w:val="single" w:sz="8" w:color="9A9A9A"/>
            </w:tcBorders>
          </w:tcPr>
          <w:p>
            <w:pPr>
              <w:spacing w:after="0"/>
              <w:rPr>
                <w:sz w:val="23"/>
                <w:szCs w:val="23"/>
                <w:color w:val="auto"/>
              </w:rPr>
            </w:pPr>
          </w:p>
        </w:tc>
        <w:tc>
          <w:tcPr>
            <w:tcW w:w="3340" w:type="dxa"/>
            <w:vAlign w:val="bottom"/>
            <w:tcBorders>
              <w:bottom w:val="single" w:sz="8" w:color="9A9A9A"/>
            </w:tcBorders>
          </w:tcPr>
          <w:p>
            <w:pPr>
              <w:spacing w:after="0"/>
              <w:rPr>
                <w:sz w:val="23"/>
                <w:szCs w:val="23"/>
                <w:color w:val="auto"/>
              </w:rPr>
            </w:pPr>
          </w:p>
        </w:tc>
        <w:tc>
          <w:tcPr>
            <w:tcW w:w="114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c>
          <w:tcPr>
            <w:tcW w:w="114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8" w:right="319" w:bottom="1440" w:gutter="0" w:footer="0" w:header="0"/>
        </w:sectPr>
      </w:pPr>
    </w:p>
    <w:bookmarkStart w:id="34" w:name="page35"/>
    <w:bookmarkEnd w:id="34"/>
    <w:p>
      <w:pPr>
        <w:jc w:val="both"/>
        <w:ind w:firstLine="319"/>
        <w:spacing w:after="0" w:line="271" w:lineRule="auto"/>
        <w:rPr>
          <w:sz w:val="20"/>
          <w:szCs w:val="20"/>
          <w:color w:val="auto"/>
        </w:rPr>
      </w:pPr>
      <w:r>
        <w:rPr>
          <w:rFonts w:ascii="Times New Roman" w:cs="Times New Roman" w:eastAsia="Times New Roman" w:hAnsi="Times New Roman"/>
          <w:sz w:val="14"/>
          <w:szCs w:val="14"/>
          <w:color w:val="auto"/>
        </w:rPr>
        <w:t>On May 21, 2024, our wholly owned subsidiaries, Garrett Motion Holdings Inc. and Garrett LX I S.a.r.l., completed an offering of $800 million in aggregate principal amount of the 2032 Senior Notes. The 2032 Senior Notes mature on May 31, 2032 and bear interest at a rate of 7.75% per annum. We incurred $12 million of debt issuance costs, which have been capitalized and will be amortized on a straight-line basis.</w:t>
      </w:r>
    </w:p>
    <w:p>
      <w:pPr>
        <w:spacing w:after="0" w:line="115" w:lineRule="exact"/>
        <w:rPr>
          <w:sz w:val="20"/>
          <w:szCs w:val="20"/>
          <w:color w:val="auto"/>
        </w:rPr>
      </w:pPr>
    </w:p>
    <w:p>
      <w:pPr>
        <w:jc w:val="both"/>
        <w:ind w:firstLine="319"/>
        <w:spacing w:after="0" w:line="265" w:lineRule="auto"/>
        <w:rPr>
          <w:sz w:val="20"/>
          <w:szCs w:val="20"/>
          <w:color w:val="auto"/>
        </w:rPr>
      </w:pPr>
      <w:r>
        <w:rPr>
          <w:rFonts w:ascii="Times New Roman" w:cs="Times New Roman" w:eastAsia="Times New Roman" w:hAnsi="Times New Roman"/>
          <w:sz w:val="14"/>
          <w:szCs w:val="14"/>
          <w:color w:val="auto"/>
        </w:rPr>
        <w:t>On May 21, 2024, we also entered into the Fourth and Fifth Amendments to the Credit Agreement, which (i) removed the credit spread adjustment with respect to certain US dollar denominated term loan borrowings that are Term Benchmark Loans, (ii) reduced the Applicable Rate on certain US dollar denominated term loans to 2.75% for Term Benchmark Loans and 1.75% for ABR Loans, and (iii) increased the maximum borrowings available under the Revolving Facility by $30 million. During the nine months ended September 30, 2024, we repaid $500 million on our 2023 Dollar Term Facility, $485 million (€450 million) on our Euro Term Facility and $6 million on our 2021 Dollar Term Facility.</w:t>
      </w:r>
    </w:p>
    <w:p>
      <w:pPr>
        <w:spacing w:after="0" w:line="109" w:lineRule="exact"/>
        <w:rPr>
          <w:sz w:val="20"/>
          <w:szCs w:val="20"/>
          <w:color w:val="auto"/>
        </w:rPr>
      </w:pPr>
    </w:p>
    <w:p>
      <w:pPr>
        <w:jc w:val="both"/>
        <w:ind w:firstLine="319"/>
        <w:spacing w:after="0" w:line="265" w:lineRule="auto"/>
        <w:rPr>
          <w:sz w:val="20"/>
          <w:szCs w:val="20"/>
          <w:color w:val="auto"/>
        </w:rPr>
      </w:pPr>
      <w:r>
        <w:rPr>
          <w:rFonts w:ascii="Times New Roman" w:cs="Times New Roman" w:eastAsia="Times New Roman" w:hAnsi="Times New Roman"/>
          <w:sz w:val="14"/>
          <w:szCs w:val="14"/>
          <w:color w:val="auto"/>
        </w:rPr>
        <w:t>We employ several means to manage our liquidity, and our sources of financing include cash flows from operations, cash and cash equivalents, the 2032 Senior Notes, our Term Loan Facilities, and our Revolving Facility. We expect to continue investing in our facilities as we expand our manufacturing capacity for new product launches and invest in new technologies and strategic growth opportunities, in particular in the electrification of drivetrains. We believe the combination of expected cash flows, the term loan borrowings, the 2032 Senior Notes, and the Revolving Facility being committed until 2028, will provide us with adequate liquidity to support the Company's operations.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16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 xml:space="preserve">On February 13, 2024, the Board of Directors authorized a $350 million share repurchase program valid until December 31, 2024. During the nine months ended September 30, 2024, the Company repurchased $226 million of Common Stock, with $124 million remaining under the share repurchase program as of that date. The Company may repurchase shares from time to time under the program through various methods, including in open market transactions, block trades, privately negotiated transactions, and otherwise. The timing, as well as the number and value of shares repurchased under the program, will depend on a variety of factors. The Company is not obligated to purchase any shares under the repurchase program, and the program may be suspended, modified, or discontinued at any time without prior notice. For more information, see Item 2. </w:t>
      </w:r>
      <w:r>
        <w:rPr>
          <w:rFonts w:ascii="Times New Roman" w:cs="Times New Roman" w:eastAsia="Times New Roman" w:hAnsi="Times New Roman"/>
          <w:sz w:val="14"/>
          <w:szCs w:val="14"/>
          <w:i w:val="1"/>
          <w:iCs w:val="1"/>
          <w:color w:val="auto"/>
        </w:rPr>
        <w:t>Unregistered Sales of Equity Securities and Use of Proceeds</w:t>
      </w:r>
      <w:r>
        <w:rPr>
          <w:rFonts w:ascii="Times New Roman" w:cs="Times New Roman" w:eastAsia="Times New Roman" w:hAnsi="Times New Roman"/>
          <w:sz w:val="14"/>
          <w:szCs w:val="14"/>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Summary for the Nine Months Ended September 30, 2024</w:t>
      </w:r>
    </w:p>
    <w:p>
      <w:pPr>
        <w:spacing w:after="0" w:line="105"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1"/>
          <w:szCs w:val="11"/>
          <w:b w:val="1"/>
          <w:bCs w:val="1"/>
          <w:color w:val="auto"/>
        </w:rPr>
        <w:t>Nine Months Ended</w:t>
      </w:r>
    </w:p>
    <w:p>
      <w:pPr>
        <w:spacing w:after="0" w:line="15"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1"/>
          <w:szCs w:val="11"/>
          <w:b w:val="1"/>
          <w:bCs w:val="1"/>
          <w:color w:val="auto"/>
        </w:rPr>
        <w:t>September 30,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0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8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2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20" w:type="dxa"/>
            <w:vAlign w:val="bottom"/>
          </w:tcPr>
          <w:p>
            <w:pPr>
              <w:spacing w:after="0"/>
              <w:rPr>
                <w:sz w:val="13"/>
                <w:szCs w:val="13"/>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provided by (used for):</w:t>
            </w: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197"/>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activities</w:t>
            </w:r>
          </w:p>
        </w:tc>
        <w:tc>
          <w:tcPr>
            <w:tcW w:w="1020" w:type="dxa"/>
            <w:vAlign w:val="bottom"/>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17"/>
                <w:szCs w:val="17"/>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r>
      <w:tr>
        <w:trPr>
          <w:trHeight w:val="208"/>
        </w:trPr>
        <w:tc>
          <w:tcPr>
            <w:tcW w:w="8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Investing activities</w:t>
            </w: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97"/>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Financing activities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r>
      <w:tr>
        <w:trPr>
          <w:trHeight w:val="208"/>
        </w:trPr>
        <w:tc>
          <w:tcPr>
            <w:tcW w:w="8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Effect of exchange rate changes on cash and restricted cash</w:t>
            </w:r>
          </w:p>
        </w:tc>
        <w:tc>
          <w:tcPr>
            <w:tcW w:w="10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102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20"/>
        </w:trPr>
        <w:tc>
          <w:tcPr>
            <w:tcW w:w="8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Cash provided by operating activities decreased by $53 million for the nine months ended September 30, 2024 versus the prior year. The decrease was primarily driven by a decrease of $37 million in net income, excluding the effects of non-cash items, as well as $11 million of unfavorable impacts from changes in other assets and liabilities and $5 million of unfavorable impacts from working capital changes.</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Cash flow from investing activities increased by $49 million for the nine months ended September 30, 2024 versus the prior year, mainly due to $46 million of proceeds from the sale of equity interest in an unconsolidated joint venture and a $15 million increase in proceeds on our cross currency swap contracts which have been designated as net investment hedges of our Euro-denominated operations. This was partially offset by $12 million of increased expenditures for property, plant and equipment.</w:t>
      </w:r>
    </w:p>
    <w:p>
      <w:pPr>
        <w:spacing w:after="0" w:line="11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Cash used for financing activities was $439 million for the nine months ended September 30, 2024 compared with $366 million in the prior year. During 2024, we made an aggregate of $991 million in debt repayments on our term loan facilities. We also made payments of $226 million for Common Stock repurchases, $7 million for debt issuance costs and $9 million for other financing activities. These payments were partially offset by proceeds of $794 million, net of deferred financing costs, from the issuance of our 2032 Senior Notes.</w:t>
      </w:r>
    </w:p>
    <w:p>
      <w:pPr>
        <w:spacing w:after="0" w:line="2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35" w:name="page36"/>
    <w:bookmarkEnd w:id="35"/>
    <w:p>
      <w:pPr>
        <w:jc w:val="both"/>
        <w:ind w:firstLine="307"/>
        <w:spacing w:after="0" w:line="264" w:lineRule="auto"/>
        <w:rPr>
          <w:sz w:val="20"/>
          <w:szCs w:val="20"/>
          <w:color w:val="auto"/>
        </w:rPr>
      </w:pPr>
      <w:r>
        <w:rPr>
          <w:rFonts w:ascii="Times New Roman" w:cs="Times New Roman" w:eastAsia="Times New Roman" w:hAnsi="Times New Roman"/>
          <w:sz w:val="14"/>
          <w:szCs w:val="14"/>
          <w:color w:val="auto"/>
        </w:rPr>
        <w:t>In comparison, cash used for financing activities for the nine months ended September 30, 2023 was primarily driven by payments of $605 million in aggregate to holders of the Series A Preferred Stock related to the Transaction, including conversion of the Series A Preferred Stock, and $42 million for dividends declared on our Series A Preferred Stock. We also made payments of $178 million for the repurchase of Common Stock under our share repurchase program and debt repayments of $205 million including a $200 million early debt repayment on the 2023 Dollar Term Facility and quarterly payments for our 2021 Dollar Term Facility. These uses of cash were partially offset by proceeds of $667 million from the 2023 Dollar Term Facility net of debt financing costs.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6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do not engage in any off-balance sheet financial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w:t>
      </w:r>
    </w:p>
    <w:p>
      <w:pPr>
        <w:spacing w:after="0" w:line="150" w:lineRule="exact"/>
        <w:rPr>
          <w:sz w:val="20"/>
          <w:szCs w:val="20"/>
          <w:color w:val="auto"/>
        </w:rPr>
      </w:pPr>
    </w:p>
    <w:p>
      <w:pPr>
        <w:jc w:val="both"/>
        <w:ind w:firstLine="307"/>
        <w:spacing w:after="0" w:line="277" w:lineRule="auto"/>
        <w:rPr>
          <w:sz w:val="20"/>
          <w:szCs w:val="20"/>
          <w:color w:val="auto"/>
        </w:rPr>
      </w:pPr>
      <w:r>
        <w:rPr>
          <w:rFonts w:ascii="Times New Roman" w:cs="Times New Roman" w:eastAsia="Times New Roman" w:hAnsi="Times New Roman"/>
          <w:sz w:val="14"/>
          <w:szCs w:val="14"/>
          <w:color w:val="auto"/>
        </w:rPr>
        <w:t>The preparation of our Consolidated Interim Financial Statements in accordance with generally accepted accounting principles is based on the selection and application of accounting policies that require us to make significant estimates and assumptions about the effects of matters that are inherently uncertain. Actual results could differ from our estimates and assumptions, and any such</w:t>
      </w:r>
    </w:p>
    <w:p>
      <w:pPr>
        <w:spacing w:after="0" w:line="1"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4"/>
          <w:szCs w:val="14"/>
          <w:color w:val="auto"/>
        </w:rPr>
        <w:t>differences could be material to our financial statements. Our critical accounting policies are summarized in the “Management’s Discussion and Analysis of Financial Condition and Results of Operations” section of our 2023 Form 10-K.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See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xml:space="preserve"> of the Notes to the Consolidated Interim Financial Statements for further discussion of recent accounting pronouncements.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50" w:lineRule="exact"/>
        <w:rPr>
          <w:sz w:val="20"/>
          <w:szCs w:val="20"/>
          <w:color w:val="auto"/>
        </w:rPr>
      </w:pPr>
    </w:p>
    <w:p>
      <w:pPr>
        <w:jc w:val="both"/>
        <w:ind w:firstLine="307"/>
        <w:spacing w:after="0" w:line="257" w:lineRule="auto"/>
        <w:rPr>
          <w:sz w:val="20"/>
          <w:szCs w:val="20"/>
          <w:color w:val="auto"/>
        </w:rPr>
      </w:pPr>
      <w:r>
        <w:rPr>
          <w:rFonts w:ascii="Times New Roman" w:cs="Times New Roman" w:eastAsia="Times New Roman" w:hAnsi="Times New Roman"/>
          <w:sz w:val="14"/>
          <w:szCs w:val="14"/>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Quarterly Report on Form 10-Q, including without limitation statements regarding the following, are forward-looking statements: statements regarding our future results of operations and financial position, expectations regarding the growth of the turbocharger and electric vehicle markets and other industry trends, the sufficiency of our liquidity and capital resources, anticipated impacts of changes in legislation and government policy relating to taxation or otherwise, anticipated sources and uses of cash, anticipated investments in our business, our business strategy, pending litigation, anticipated interest expense, and the plans and objectives of management for future operations and capital expenditures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w:t>
      </w:r>
    </w:p>
    <w:p>
      <w:pPr>
        <w:spacing w:after="0" w:line="327" w:lineRule="exact"/>
        <w:rPr>
          <w:sz w:val="20"/>
          <w:szCs w:val="20"/>
          <w:color w:val="auto"/>
        </w:rPr>
      </w:pPr>
    </w:p>
    <w:p>
      <w:pPr>
        <w:ind w:left="5720" w:right="3380" w:hanging="5331"/>
        <w:spacing w:after="0" w:line="666" w:lineRule="auto"/>
        <w:tabs>
          <w:tab w:leader="none" w:pos="633"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increases in the costs and availability of raw materials, components, energy and transportation and our ability to offset inflation;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5" w:right="319" w:bottom="1440" w:gutter="0" w:footer="0" w:header="0"/>
        </w:sectPr>
      </w:pPr>
    </w:p>
    <w:bookmarkStart w:id="36" w:name="page37"/>
    <w:bookmarkEnd w:id="36"/>
    <w:p>
      <w:pPr>
        <w:ind w:left="260" w:hanging="251"/>
        <w:spacing w:after="0" w:line="289" w:lineRule="auto"/>
        <w:tabs>
          <w:tab w:leader="none" w:pos="2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to major customers as well as a network of independent dealers to manage the distribution of our products, and we could be adversely impacted by the loss of any of our such major customers or dealers, changes in their requirements for our products or changes in their financial condition.</w:t>
      </w:r>
    </w:p>
    <w:p>
      <w:pPr>
        <w:spacing w:after="0" w:line="102" w:lineRule="exact"/>
        <w:rPr>
          <w:rFonts w:ascii="Times New Roman" w:cs="Times New Roman" w:eastAsia="Times New Roman" w:hAnsi="Times New Roman"/>
          <w:sz w:val="14"/>
          <w:szCs w:val="14"/>
          <w:color w:val="auto"/>
        </w:rPr>
      </w:pPr>
    </w:p>
    <w:p>
      <w:pPr>
        <w:ind w:left="260" w:hanging="251"/>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negotiating positions of our customers and our ability to negotiate favorable pricing terms;</w:t>
      </w:r>
    </w:p>
    <w:p>
      <w:pPr>
        <w:spacing w:after="0" w:line="147" w:lineRule="exact"/>
        <w:rPr>
          <w:rFonts w:ascii="Times New Roman" w:cs="Times New Roman" w:eastAsia="Times New Roman" w:hAnsi="Times New Roman"/>
          <w:sz w:val="14"/>
          <w:szCs w:val="14"/>
          <w:color w:val="auto"/>
        </w:rPr>
      </w:pPr>
    </w:p>
    <w:p>
      <w:pPr>
        <w:ind w:left="260" w:hanging="251"/>
        <w:spacing w:after="0" w:line="289" w:lineRule="auto"/>
        <w:tabs>
          <w:tab w:leader="none" w:pos="2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changes in the automotive industry and our inability, or a perception that we are unable, to respond appropriately to such changes, our financial condition and results of operations could be adversely impacted;</w:t>
      </w:r>
    </w:p>
    <w:p>
      <w:pPr>
        <w:spacing w:after="0" w:line="91" w:lineRule="exact"/>
        <w:rPr>
          <w:rFonts w:ascii="Times New Roman" w:cs="Times New Roman" w:eastAsia="Times New Roman" w:hAnsi="Times New Roman"/>
          <w:sz w:val="14"/>
          <w:szCs w:val="14"/>
          <w:color w:val="auto"/>
        </w:rPr>
      </w:pPr>
    </w:p>
    <w:p>
      <w:pPr>
        <w:ind w:left="260" w:hanging="251"/>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any program launch difficulties and inaccuracies in estimates of volumes of awarded business;</w:t>
      </w:r>
    </w:p>
    <w:p>
      <w:pPr>
        <w:spacing w:after="0" w:line="158" w:lineRule="exact"/>
        <w:rPr>
          <w:rFonts w:ascii="Times New Roman" w:cs="Times New Roman" w:eastAsia="Times New Roman" w:hAnsi="Times New Roman"/>
          <w:sz w:val="14"/>
          <w:szCs w:val="14"/>
          <w:color w:val="auto"/>
        </w:rPr>
      </w:pPr>
    </w:p>
    <w:p>
      <w:pPr>
        <w:ind w:left="260" w:hanging="251"/>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automotive industry and economic or competitive conditions;</w:t>
      </w:r>
    </w:p>
    <w:p>
      <w:pPr>
        <w:spacing w:after="0" w:line="147" w:lineRule="exact"/>
        <w:rPr>
          <w:rFonts w:ascii="Times New Roman" w:cs="Times New Roman" w:eastAsia="Times New Roman" w:hAnsi="Times New Roman"/>
          <w:sz w:val="14"/>
          <w:szCs w:val="14"/>
          <w:color w:val="auto"/>
        </w:rPr>
      </w:pPr>
    </w:p>
    <w:p>
      <w:pPr>
        <w:ind w:left="260" w:hanging="251"/>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economic, political, regulatory and foreign exchange;</w:t>
      </w:r>
    </w:p>
    <w:p>
      <w:pPr>
        <w:spacing w:after="0" w:line="147" w:lineRule="exact"/>
        <w:rPr>
          <w:rFonts w:ascii="Times New Roman" w:cs="Times New Roman" w:eastAsia="Times New Roman" w:hAnsi="Times New Roman"/>
          <w:sz w:val="14"/>
          <w:szCs w:val="14"/>
          <w:color w:val="auto"/>
        </w:rPr>
      </w:pPr>
    </w:p>
    <w:p>
      <w:pPr>
        <w:ind w:left="260" w:hanging="251"/>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geopolitical conditions, catastrophic events and pandemics;</w:t>
      </w:r>
    </w:p>
    <w:p>
      <w:pPr>
        <w:spacing w:after="0" w:line="158" w:lineRule="exact"/>
        <w:rPr>
          <w:rFonts w:ascii="Times New Roman" w:cs="Times New Roman" w:eastAsia="Times New Roman" w:hAnsi="Times New Roman"/>
          <w:sz w:val="14"/>
          <w:szCs w:val="14"/>
          <w:color w:val="auto"/>
        </w:rPr>
      </w:pPr>
    </w:p>
    <w:p>
      <w:pPr>
        <w:ind w:left="260" w:hanging="251"/>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international operations and our investment in foreign markets;</w:t>
      </w:r>
    </w:p>
    <w:p>
      <w:pPr>
        <w:spacing w:after="0" w:line="179" w:lineRule="exact"/>
        <w:rPr>
          <w:rFonts w:ascii="Times New Roman" w:cs="Times New Roman" w:eastAsia="Times New Roman" w:hAnsi="Times New Roman"/>
          <w:sz w:val="14"/>
          <w:szCs w:val="14"/>
          <w:color w:val="auto"/>
        </w:rPr>
      </w:pPr>
    </w:p>
    <w:p>
      <w:pPr>
        <w:jc w:val="both"/>
        <w:ind w:left="260" w:hanging="251"/>
        <w:spacing w:after="0" w:line="245" w:lineRule="auto"/>
        <w:tabs>
          <w:tab w:leader="none" w:pos="256" w:val="left"/>
        </w:tabs>
        <w:numPr>
          <w:ilvl w:val="0"/>
          <w:numId w:val="11"/>
        </w:numPr>
        <w:rPr>
          <w:rFonts w:ascii="Arial" w:cs="Arial" w:eastAsia="Arial" w:hAnsi="Arial"/>
          <w:sz w:val="17"/>
          <w:szCs w:val="17"/>
          <w:color w:val="231F20"/>
        </w:rPr>
      </w:pPr>
      <w:r>
        <w:rPr>
          <w:rFonts w:ascii="Times New Roman" w:cs="Times New Roman" w:eastAsia="Times New Roman" w:hAnsi="Times New Roman"/>
          <w:sz w:val="14"/>
          <w:szCs w:val="14"/>
          <w:color w:val="auto"/>
        </w:rPr>
        <w:t>risks of increased scrutiny from customers, investors, regulators and others regarding sustainability/ESG practices, as well as the climate-related risks we may face, each of which could expose us to liabilities, including reputational harm, impact demand for our products, lead to increased costs and have other adverse effects on our business, supply chain and results of operations;</w:t>
      </w:r>
    </w:p>
    <w:p>
      <w:pPr>
        <w:spacing w:after="0" w:line="121" w:lineRule="exact"/>
        <w:rPr>
          <w:rFonts w:ascii="Arial" w:cs="Arial" w:eastAsia="Arial" w:hAnsi="Arial"/>
          <w:sz w:val="17"/>
          <w:szCs w:val="17"/>
          <w:color w:val="231F20"/>
        </w:rPr>
      </w:pPr>
    </w:p>
    <w:p>
      <w:pPr>
        <w:ind w:left="260" w:hanging="251"/>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joint venture partnerships and joint development projects;</w:t>
      </w:r>
    </w:p>
    <w:p>
      <w:pPr>
        <w:spacing w:after="0" w:line="158" w:lineRule="exact"/>
        <w:rPr>
          <w:rFonts w:ascii="Times New Roman" w:cs="Times New Roman" w:eastAsia="Times New Roman" w:hAnsi="Times New Roman"/>
          <w:sz w:val="14"/>
          <w:szCs w:val="14"/>
          <w:color w:val="auto"/>
        </w:rPr>
      </w:pPr>
    </w:p>
    <w:p>
      <w:pPr>
        <w:ind w:left="260" w:hanging="251"/>
        <w:spacing w:after="0" w:line="289" w:lineRule="auto"/>
        <w:tabs>
          <w:tab w:leader="none" w:pos="2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to protect our intellectual property or allegations that we have infringed the intellectual property of others, and our ability to license necessary intellectual property from third parties;</w:t>
      </w:r>
    </w:p>
    <w:p>
      <w:pPr>
        <w:spacing w:after="0" w:line="91" w:lineRule="exact"/>
        <w:rPr>
          <w:rFonts w:ascii="Times New Roman" w:cs="Times New Roman" w:eastAsia="Times New Roman" w:hAnsi="Times New Roman"/>
          <w:sz w:val="14"/>
          <w:szCs w:val="14"/>
          <w:color w:val="auto"/>
        </w:rPr>
      </w:pPr>
    </w:p>
    <w:p>
      <w:pPr>
        <w:ind w:left="260" w:hanging="251"/>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 stoppages, other disruptions or the need to relocate any of our facilities;</w:t>
      </w:r>
    </w:p>
    <w:p>
      <w:pPr>
        <w:spacing w:after="0" w:line="147" w:lineRule="exact"/>
        <w:rPr>
          <w:rFonts w:ascii="Times New Roman" w:cs="Times New Roman" w:eastAsia="Times New Roman" w:hAnsi="Times New Roman"/>
          <w:sz w:val="14"/>
          <w:szCs w:val="14"/>
          <w:color w:val="auto"/>
        </w:rPr>
      </w:pPr>
    </w:p>
    <w:p>
      <w:pPr>
        <w:ind w:left="260" w:hanging="251"/>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recruit and retain qualified personnel;</w:t>
      </w:r>
    </w:p>
    <w:p>
      <w:pPr>
        <w:spacing w:after="0" w:line="158" w:lineRule="exact"/>
        <w:rPr>
          <w:rFonts w:ascii="Times New Roman" w:cs="Times New Roman" w:eastAsia="Times New Roman" w:hAnsi="Times New Roman"/>
          <w:sz w:val="14"/>
          <w:szCs w:val="14"/>
          <w:color w:val="auto"/>
        </w:rPr>
      </w:pPr>
    </w:p>
    <w:p>
      <w:pPr>
        <w:ind w:left="260" w:hanging="251"/>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to increase productivity or successfully execute repositioning projects or manage our workforce;</w:t>
      </w:r>
    </w:p>
    <w:p>
      <w:pPr>
        <w:spacing w:after="0" w:line="168" w:lineRule="exact"/>
        <w:rPr>
          <w:rFonts w:ascii="Times New Roman" w:cs="Times New Roman" w:eastAsia="Times New Roman" w:hAnsi="Times New Roman"/>
          <w:sz w:val="14"/>
          <w:szCs w:val="14"/>
          <w:color w:val="auto"/>
        </w:rPr>
      </w:pPr>
    </w:p>
    <w:p>
      <w:pPr>
        <w:ind w:left="260" w:hanging="251"/>
        <w:spacing w:after="0"/>
        <w:tabs>
          <w:tab w:leader="none" w:pos="2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potential material losses and costs as a result of any warranty claims and product liability actions brought against us;</w:t>
      </w:r>
    </w:p>
    <w:p>
      <w:pPr>
        <w:spacing w:after="0" w:line="134" w:lineRule="exact"/>
        <w:rPr>
          <w:rFonts w:ascii="Times New Roman" w:cs="Times New Roman" w:eastAsia="Times New Roman" w:hAnsi="Times New Roman"/>
          <w:sz w:val="17"/>
          <w:szCs w:val="17"/>
          <w:color w:val="auto"/>
        </w:rPr>
      </w:pPr>
    </w:p>
    <w:p>
      <w:pPr>
        <w:ind w:left="260" w:hanging="251"/>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commencement of any lawsuits, investigations and disputes arising out of our current and historical businesses, and the consequences thereof;</w:t>
      </w:r>
    </w:p>
    <w:p>
      <w:pPr>
        <w:spacing w:after="0" w:line="147" w:lineRule="exact"/>
        <w:rPr>
          <w:rFonts w:ascii="Times New Roman" w:cs="Times New Roman" w:eastAsia="Times New Roman" w:hAnsi="Times New Roman"/>
          <w:sz w:val="14"/>
          <w:szCs w:val="14"/>
          <w:color w:val="auto"/>
        </w:rPr>
      </w:pPr>
    </w:p>
    <w:p>
      <w:pPr>
        <w:ind w:left="260" w:hanging="251"/>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material environmental liabilities and hazards;</w:t>
      </w:r>
    </w:p>
    <w:p>
      <w:pPr>
        <w:spacing w:after="0" w:line="147" w:lineRule="exact"/>
        <w:rPr>
          <w:rFonts w:ascii="Times New Roman" w:cs="Times New Roman" w:eastAsia="Times New Roman" w:hAnsi="Times New Roman"/>
          <w:sz w:val="14"/>
          <w:szCs w:val="14"/>
          <w:color w:val="auto"/>
        </w:rPr>
      </w:pPr>
    </w:p>
    <w:p>
      <w:pPr>
        <w:ind w:left="260" w:hanging="251"/>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of changes in the effective tax rates;</w:t>
      </w:r>
    </w:p>
    <w:p>
      <w:pPr>
        <w:spacing w:after="0" w:line="179" w:lineRule="exact"/>
        <w:rPr>
          <w:rFonts w:ascii="Times New Roman" w:cs="Times New Roman" w:eastAsia="Times New Roman" w:hAnsi="Times New Roman"/>
          <w:sz w:val="14"/>
          <w:szCs w:val="14"/>
          <w:color w:val="auto"/>
        </w:rPr>
      </w:pPr>
    </w:p>
    <w:p>
      <w:pPr>
        <w:ind w:left="260" w:hanging="251"/>
        <w:spacing w:after="0"/>
        <w:tabs>
          <w:tab w:leader="none" w:pos="2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effects of any deterioration on industry, economic or financial conditions on our ability to access the capital markets on favorable terms;</w:t>
      </w:r>
    </w:p>
    <w:p>
      <w:pPr>
        <w:spacing w:after="0" w:line="145" w:lineRule="exact"/>
        <w:rPr>
          <w:rFonts w:ascii="Times New Roman" w:cs="Times New Roman" w:eastAsia="Times New Roman" w:hAnsi="Times New Roman"/>
          <w:sz w:val="17"/>
          <w:szCs w:val="17"/>
          <w:color w:val="auto"/>
        </w:rPr>
      </w:pPr>
    </w:p>
    <w:p>
      <w:pPr>
        <w:ind w:left="260" w:hanging="251"/>
        <w:spacing w:after="0"/>
        <w:tabs>
          <w:tab w:leader="none" w:pos="2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quality control and creditworthiness of the suppliers on which we rely;</w:t>
      </w:r>
    </w:p>
    <w:p>
      <w:pPr>
        <w:spacing w:after="0" w:line="134" w:lineRule="exact"/>
        <w:rPr>
          <w:rFonts w:ascii="Times New Roman" w:cs="Times New Roman" w:eastAsia="Times New Roman" w:hAnsi="Times New Roman"/>
          <w:sz w:val="17"/>
          <w:szCs w:val="17"/>
          <w:color w:val="auto"/>
        </w:rPr>
      </w:pPr>
    </w:p>
    <w:p>
      <w:pPr>
        <w:ind w:left="260" w:hanging="251"/>
        <w:spacing w:after="0" w:line="289" w:lineRule="auto"/>
        <w:tabs>
          <w:tab w:leader="none" w:pos="2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for system or service failures, including cyber or other security incidents, each of which could disrupt business operations, result in loss of critical and confidential information and adversely impact our reputation and results of operations; and</w:t>
      </w:r>
    </w:p>
    <w:p>
      <w:pPr>
        <w:spacing w:after="0" w:line="91" w:lineRule="exact"/>
        <w:rPr>
          <w:rFonts w:ascii="Times New Roman" w:cs="Times New Roman" w:eastAsia="Times New Roman" w:hAnsi="Times New Roman"/>
          <w:sz w:val="14"/>
          <w:szCs w:val="14"/>
          <w:color w:val="auto"/>
        </w:rPr>
      </w:pPr>
    </w:p>
    <w:p>
      <w:pPr>
        <w:ind w:left="260" w:hanging="251"/>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factors described under the caption “Risk Factors” in our 2023 Form 10-K, as updated in this Quarterly Report on Form 10-Q and our other filings with the SEC.</w:t>
      </w:r>
    </w:p>
    <w:p>
      <w:pPr>
        <w:spacing w:after="0" w:line="29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171450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680" w:top="902" w:right="319" w:bottom="1440" w:gutter="0" w:footer="0" w:header="0"/>
        </w:sectPr>
      </w:pPr>
    </w:p>
    <w:bookmarkStart w:id="37" w:name="page38"/>
    <w:bookmarkEnd w:id="37"/>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You should read this Quarterly Report on Form 10-Q and the documents that we reference herein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60"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As of September 30, 2024, the net fair value of all financial instruments with exposure to currency risk was a $8 million liability. The potential loss or gain in fair value for such financial instruments from a hypothetical 10% adverse or favorable change in quoted currency exchange rates would be $213 million and $(187) million, respectively, at September 30, 2024 exchange rates. The model assumes a parallel shift in currency exchange rates; however, currency exchange rates rarely move in the same direction. The assumption that currency exchange rates change in a parallel fashion may overstate the impact of changing currency exchange rates on assets and liabilities denominated in currencies other than the U.S. dollar.</w:t>
      </w:r>
    </w:p>
    <w:p>
      <w:pPr>
        <w:spacing w:after="0" w:line="109" w:lineRule="exact"/>
        <w:rPr>
          <w:sz w:val="20"/>
          <w:szCs w:val="20"/>
          <w:color w:val="auto"/>
        </w:rPr>
      </w:pPr>
    </w:p>
    <w:p>
      <w:pPr>
        <w:jc w:val="both"/>
        <w:ind w:firstLine="511"/>
        <w:spacing w:after="0" w:line="289" w:lineRule="auto"/>
        <w:rPr>
          <w:sz w:val="20"/>
          <w:szCs w:val="20"/>
          <w:color w:val="auto"/>
        </w:rPr>
      </w:pPr>
      <w:r>
        <w:rPr>
          <w:rFonts w:ascii="Times New Roman" w:cs="Times New Roman" w:eastAsia="Times New Roman" w:hAnsi="Times New Roman"/>
          <w:sz w:val="14"/>
          <w:szCs w:val="14"/>
          <w:color w:val="auto"/>
        </w:rPr>
        <w:t xml:space="preserve">There have been no other material changes to the Company’s quantitative and qualitative disclosures about interest rate or commodity price risks as disclosed in Part II, Item 7A, </w:t>
      </w:r>
      <w:r>
        <w:rPr>
          <w:rFonts w:ascii="Times New Roman" w:cs="Times New Roman" w:eastAsia="Times New Roman" w:hAnsi="Times New Roman"/>
          <w:sz w:val="14"/>
          <w:szCs w:val="14"/>
          <w:i w:val="1"/>
          <w:iCs w:val="1"/>
          <w:color w:val="auto"/>
        </w:rPr>
        <w:t>Quantitative and Qualitative Disclosures About Market Risks</w:t>
      </w:r>
      <w:r>
        <w:rPr>
          <w:rFonts w:ascii="Times New Roman" w:cs="Times New Roman" w:eastAsia="Times New Roman" w:hAnsi="Times New Roman"/>
          <w:sz w:val="14"/>
          <w:szCs w:val="14"/>
          <w:color w:val="auto"/>
        </w:rPr>
        <w:t>, in our 2023 Form 10-K.</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6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conducted an evaluation of our disclosure controls and procedures, as such term is defined under Rule 13a-15(e) promulgated under the Exchange Act. Based on management’s evaluation, our Chief Executive Officer and Chief Financial Officer concluded that our disclosure controls and procedures were effective at the reasonable assurance level as of September 30, 2024.</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defined in Rules 13a-15(f) and 15d-15(f) under the Exchange Act) that occurred during the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38" w:name="page39"/>
    <w:bookmarkEnd w:id="38"/>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5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are involved in various lawsuits, claims and proceedings incident to the operation of our businesses, including those pertaining to product liability, product safety, environmental, safety and health, intellectual property, employment, commercial and contractual matters and various other matters. Although the outcome of any such lawsuit, claim or proceeding cannot be predicted with certainty and some may be disposed of unfavorably to us, we do not currently believe that such lawsuits, claims or proceedings will have a material adverse effect on our financial position, results of operations or cash flows. We accrue for potential liabilities in a manner consistent with accounting principles generally accepted in the United States. Accordingly, we accrue for a liability when it is probable that a liability has been incurred and the amount of the liability is reasonably estimable.</w:t>
      </w:r>
    </w:p>
    <w:p>
      <w:pPr>
        <w:spacing w:after="0" w:line="110" w:lineRule="exact"/>
        <w:rPr>
          <w:sz w:val="20"/>
          <w:szCs w:val="20"/>
          <w:color w:val="auto"/>
        </w:rPr>
      </w:pPr>
    </w:p>
    <w:p>
      <w:pPr>
        <w:jc w:val="both"/>
        <w:ind w:firstLine="307"/>
        <w:spacing w:after="0" w:line="292" w:lineRule="auto"/>
        <w:rPr>
          <w:sz w:val="20"/>
          <w:szCs w:val="20"/>
          <w:color w:val="auto"/>
        </w:rPr>
      </w:pPr>
      <w:r>
        <w:rPr>
          <w:rFonts w:ascii="Times New Roman" w:cs="Times New Roman" w:eastAsia="Times New Roman" w:hAnsi="Times New Roman"/>
          <w:sz w:val="14"/>
          <w:szCs w:val="14"/>
          <w:color w:val="auto"/>
        </w:rPr>
        <w:t xml:space="preserve">For additional information regarding our legal proceedings, see the discussion under Note 19,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of the Notes to the Consolidated Interim Financial Statements,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which is incorporated by reference into this Part II, Item 1.</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There have been no material changes to the risks described under "Risk Factors” in our 2023 Form 10-K. In addition to the other information set forth in this Quarterly Report on Form 10-Q, you should carefully consider the factors discussed under “Risk Factors” in our 2023 Form 10-K. These factors could materially adversely affect our business, financial condition, or results of operations, and could cause our actual results to differ materially from our historical results or the results contemplated by any forward-looking statements contained in this report.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6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On February 15, 2024, the Company announced that the Board of Directors had authorized a $350 million share repurchase program valid from February 13, 2024 until December 31, 2024. The Company may repurchase shares from time to time under the program through various methods, including in open market transactions, block trades, privately negotiated transactions, and otherwise. The timing, as well as the number and value of shares repurchased under the program, will depend on a variety of factors. The Company is not obligated to purchase any shares under the repurchase program, and the program may be suspended, modified, or discontinued at any time without prior notice. The following table summarizes our share repurchase activity for the three months ended September 30, 2024 and additional information regarding our share repurchase program:</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Approximate Dollar</w:t>
            </w:r>
          </w:p>
        </w:tc>
        <w:tc>
          <w:tcPr>
            <w:tcW w:w="0" w:type="dxa"/>
            <w:vAlign w:val="bottom"/>
          </w:tcPr>
          <w:p>
            <w:pPr>
              <w:spacing w:after="0"/>
              <w:rPr>
                <w:sz w:val="1"/>
                <w:szCs w:val="1"/>
                <w:color w:val="auto"/>
              </w:rPr>
            </w:pPr>
          </w:p>
        </w:tc>
      </w:tr>
      <w:tr>
        <w:trPr>
          <w:trHeight w:val="117"/>
        </w:trPr>
        <w:tc>
          <w:tcPr>
            <w:tcW w:w="3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1"/>
                <w:szCs w:val="11"/>
                <w:b w:val="1"/>
                <w:bCs w:val="1"/>
                <w:color w:val="auto"/>
              </w:rPr>
              <w:t>Value of Shares that</w:t>
            </w:r>
          </w:p>
        </w:tc>
        <w:tc>
          <w:tcPr>
            <w:tcW w:w="0" w:type="dxa"/>
            <w:vAlign w:val="bottom"/>
          </w:tcPr>
          <w:p>
            <w:pPr>
              <w:spacing w:after="0"/>
              <w:rPr>
                <w:sz w:val="1"/>
                <w:szCs w:val="1"/>
                <w:color w:val="auto"/>
              </w:rPr>
            </w:pPr>
          </w:p>
        </w:tc>
      </w:tr>
      <w:tr>
        <w:trPr>
          <w:trHeight w:val="108"/>
        </w:trPr>
        <w:tc>
          <w:tcPr>
            <w:tcW w:w="3040" w:type="dxa"/>
            <w:vAlign w:val="bottom"/>
          </w:tcPr>
          <w:p>
            <w:pPr>
              <w:spacing w:after="0"/>
              <w:rPr>
                <w:sz w:val="9"/>
                <w:szCs w:val="9"/>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Shares Purchased</w:t>
            </w:r>
          </w:p>
        </w:tc>
        <w:tc>
          <w:tcPr>
            <w:tcW w:w="160" w:type="dxa"/>
            <w:vAlign w:val="bottom"/>
          </w:tcPr>
          <w:p>
            <w:pPr>
              <w:spacing w:after="0"/>
              <w:rPr>
                <w:sz w:val="9"/>
                <w:szCs w:val="9"/>
                <w:color w:val="auto"/>
              </w:rPr>
            </w:pPr>
          </w:p>
        </w:tc>
        <w:tc>
          <w:tcPr>
            <w:tcW w:w="860" w:type="dxa"/>
            <w:vAlign w:val="bottom"/>
          </w:tcPr>
          <w:p>
            <w:pPr>
              <w:ind w:left="60"/>
              <w:spacing w:after="0" w:line="109" w:lineRule="exact"/>
              <w:rPr>
                <w:sz w:val="20"/>
                <w:szCs w:val="20"/>
                <w:color w:val="auto"/>
              </w:rPr>
            </w:pPr>
            <w:r>
              <w:rPr>
                <w:rFonts w:ascii="Times New Roman" w:cs="Times New Roman" w:eastAsia="Times New Roman" w:hAnsi="Times New Roman"/>
                <w:sz w:val="11"/>
                <w:szCs w:val="11"/>
                <w:b w:val="1"/>
                <w:bCs w:val="1"/>
                <w:color w:val="auto"/>
              </w:rPr>
              <w:t>May Yet Be</w:t>
            </w:r>
          </w:p>
        </w:tc>
        <w:tc>
          <w:tcPr>
            <w:tcW w:w="0" w:type="dxa"/>
            <w:vAlign w:val="bottom"/>
          </w:tcPr>
          <w:p>
            <w:pPr>
              <w:spacing w:after="0"/>
              <w:rPr>
                <w:sz w:val="1"/>
                <w:szCs w:val="1"/>
                <w:color w:val="auto"/>
              </w:rPr>
            </w:pPr>
          </w:p>
        </w:tc>
      </w:tr>
      <w:tr>
        <w:trPr>
          <w:trHeight w:val="115"/>
        </w:trPr>
        <w:tc>
          <w:tcPr>
            <w:tcW w:w="30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Average Price</w:t>
            </w:r>
          </w:p>
        </w:tc>
        <w:tc>
          <w:tcPr>
            <w:tcW w:w="104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as Part of Publicly</w:t>
            </w:r>
          </w:p>
        </w:tc>
        <w:tc>
          <w:tcPr>
            <w:tcW w:w="1020" w:type="dxa"/>
            <w:vAlign w:val="bottom"/>
            <w:gridSpan w:val="2"/>
          </w:tcPr>
          <w:p>
            <w:pPr>
              <w:ind w:left="80"/>
              <w:spacing w:after="0" w:line="115" w:lineRule="exact"/>
              <w:rPr>
                <w:sz w:val="20"/>
                <w:szCs w:val="20"/>
                <w:color w:val="auto"/>
              </w:rPr>
            </w:pPr>
            <w:r>
              <w:rPr>
                <w:rFonts w:ascii="Times New Roman" w:cs="Times New Roman" w:eastAsia="Times New Roman" w:hAnsi="Times New Roman"/>
                <w:sz w:val="11"/>
                <w:szCs w:val="11"/>
                <w:b w:val="1"/>
                <w:bCs w:val="1"/>
                <w:color w:val="auto"/>
              </w:rPr>
              <w:t>Purchased Under</w:t>
            </w:r>
          </w:p>
        </w:tc>
        <w:tc>
          <w:tcPr>
            <w:tcW w:w="0" w:type="dxa"/>
            <w:vAlign w:val="bottom"/>
          </w:tcPr>
          <w:p>
            <w:pPr>
              <w:spacing w:after="0"/>
              <w:rPr>
                <w:sz w:val="1"/>
                <w:szCs w:val="1"/>
                <w:color w:val="auto"/>
              </w:rPr>
            </w:pPr>
          </w:p>
        </w:tc>
      </w:tr>
      <w:tr>
        <w:trPr>
          <w:trHeight w:val="117"/>
        </w:trPr>
        <w:tc>
          <w:tcPr>
            <w:tcW w:w="3040" w:type="dxa"/>
            <w:vAlign w:val="bottom"/>
            <w:vMerge w:val="restart"/>
          </w:tcPr>
          <w:p>
            <w:pPr>
              <w:ind w:left="130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1060" w:type="dxa"/>
            <w:vAlign w:val="bottom"/>
            <w:gridSpan w:val="2"/>
          </w:tcPr>
          <w:p>
            <w:pPr>
              <w:jc w:val="right"/>
              <w:ind w:right="200"/>
              <w:spacing w:after="0" w:line="118" w:lineRule="exact"/>
              <w:rPr>
                <w:sz w:val="20"/>
                <w:szCs w:val="20"/>
                <w:color w:val="auto"/>
              </w:rPr>
            </w:pPr>
            <w:r>
              <w:rPr>
                <w:rFonts w:ascii="Times New Roman" w:cs="Times New Roman" w:eastAsia="Times New Roman" w:hAnsi="Times New Roman"/>
                <w:sz w:val="11"/>
                <w:szCs w:val="11"/>
                <w:b w:val="1"/>
                <w:bCs w:val="1"/>
                <w:color w:val="auto"/>
              </w:rPr>
              <w:t>Common Shares</w:t>
            </w:r>
          </w:p>
        </w:tc>
        <w:tc>
          <w:tcPr>
            <w:tcW w:w="880" w:type="dxa"/>
            <w:vAlign w:val="bottom"/>
            <w:gridSpan w:val="3"/>
            <w:vMerge w:val="continue"/>
          </w:tcPr>
          <w:p>
            <w:pPr>
              <w:spacing w:after="0"/>
              <w:rPr>
                <w:sz w:val="10"/>
                <w:szCs w:val="10"/>
                <w:color w:val="auto"/>
              </w:rPr>
            </w:pPr>
          </w:p>
        </w:tc>
        <w:tc>
          <w:tcPr>
            <w:tcW w:w="104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1"/>
                <w:szCs w:val="11"/>
                <w:b w:val="1"/>
                <w:bCs w:val="1"/>
                <w:color w:val="auto"/>
              </w:rPr>
              <w:t>Announced Plan</w:t>
            </w:r>
          </w:p>
        </w:tc>
        <w:tc>
          <w:tcPr>
            <w:tcW w:w="160" w:type="dxa"/>
            <w:vAlign w:val="bottom"/>
          </w:tcPr>
          <w:p>
            <w:pPr>
              <w:spacing w:after="0"/>
              <w:rPr>
                <w:sz w:val="10"/>
                <w:szCs w:val="10"/>
                <w:color w:val="auto"/>
              </w:rPr>
            </w:pPr>
          </w:p>
        </w:tc>
        <w:tc>
          <w:tcPr>
            <w:tcW w:w="860" w:type="dxa"/>
            <w:vAlign w:val="bottom"/>
          </w:tcPr>
          <w:p>
            <w:pPr>
              <w:ind w:left="80"/>
              <w:spacing w:after="0" w:line="118" w:lineRule="exact"/>
              <w:rPr>
                <w:sz w:val="20"/>
                <w:szCs w:val="20"/>
                <w:color w:val="auto"/>
              </w:rPr>
            </w:pPr>
            <w:r>
              <w:rPr>
                <w:rFonts w:ascii="Times New Roman" w:cs="Times New Roman" w:eastAsia="Times New Roman" w:hAnsi="Times New Roman"/>
                <w:sz w:val="11"/>
                <w:szCs w:val="11"/>
                <w:b w:val="1"/>
                <w:bCs w:val="1"/>
                <w:color w:val="auto"/>
              </w:rPr>
              <w:t>the Plan or</w:t>
            </w:r>
          </w:p>
        </w:tc>
        <w:tc>
          <w:tcPr>
            <w:tcW w:w="0" w:type="dxa"/>
            <w:vAlign w:val="bottom"/>
          </w:tcPr>
          <w:p>
            <w:pPr>
              <w:spacing w:after="0"/>
              <w:rPr>
                <w:sz w:val="1"/>
                <w:szCs w:val="1"/>
                <w:color w:val="auto"/>
              </w:rPr>
            </w:pPr>
          </w:p>
        </w:tc>
      </w:tr>
      <w:tr>
        <w:trPr>
          <w:trHeight w:val="160"/>
        </w:trPr>
        <w:tc>
          <w:tcPr>
            <w:tcW w:w="3040" w:type="dxa"/>
            <w:vAlign w:val="bottom"/>
            <w:vMerge w:val="continue"/>
          </w:tcPr>
          <w:p>
            <w:pPr>
              <w:spacing w:after="0"/>
              <w:rPr>
                <w:sz w:val="13"/>
                <w:szCs w:val="13"/>
                <w:color w:val="auto"/>
              </w:rPr>
            </w:pPr>
          </w:p>
        </w:tc>
        <w:tc>
          <w:tcPr>
            <w:tcW w:w="1060" w:type="dxa"/>
            <w:vAlign w:val="bottom"/>
            <w:gridSpan w:val="2"/>
          </w:tcPr>
          <w:p>
            <w:pPr>
              <w:ind w:left="160"/>
              <w:spacing w:after="0" w:line="160" w:lineRule="exact"/>
              <w:rPr>
                <w:sz w:val="20"/>
                <w:szCs w:val="20"/>
                <w:color w:val="auto"/>
              </w:rPr>
            </w:pPr>
            <w:r>
              <w:rPr>
                <w:rFonts w:ascii="Times New Roman" w:cs="Times New Roman" w:eastAsia="Times New Roman" w:hAnsi="Times New Roman"/>
                <w:sz w:val="11"/>
                <w:szCs w:val="11"/>
                <w:b w:val="1"/>
                <w:bCs w:val="1"/>
                <w:color w:val="auto"/>
              </w:rPr>
              <w:t xml:space="preserve">Purchased </w:t>
            </w:r>
            <w:r>
              <w:rPr>
                <w:rFonts w:ascii="Times New Roman" w:cs="Times New Roman" w:eastAsia="Times New Roman" w:hAnsi="Times New Roman"/>
                <w:sz w:val="14"/>
                <w:szCs w:val="14"/>
                <w:b w:val="1"/>
                <w:bCs w:val="1"/>
                <w:color w:val="auto"/>
                <w:vertAlign w:val="superscript"/>
              </w:rPr>
              <w:t>(1)</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Paid per Share</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or Program</w:t>
            </w:r>
          </w:p>
        </w:tc>
        <w:tc>
          <w:tcPr>
            <w:tcW w:w="160" w:type="dxa"/>
            <w:vAlign w:val="bottom"/>
          </w:tcPr>
          <w:p>
            <w:pPr>
              <w:spacing w:after="0"/>
              <w:rPr>
                <w:sz w:val="13"/>
                <w:szCs w:val="13"/>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Program</w:t>
            </w:r>
          </w:p>
        </w:tc>
        <w:tc>
          <w:tcPr>
            <w:tcW w:w="0" w:type="dxa"/>
            <w:vAlign w:val="bottom"/>
          </w:tcPr>
          <w:p>
            <w:pPr>
              <w:spacing w:after="0"/>
              <w:rPr>
                <w:sz w:val="1"/>
                <w:szCs w:val="1"/>
                <w:color w:val="auto"/>
              </w:rPr>
            </w:pPr>
          </w:p>
        </w:tc>
      </w:tr>
      <w:tr>
        <w:trPr>
          <w:trHeight w:val="21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July 1, 2024 - July 31,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2,946,890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2,946,890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149,003,868</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August 1, 2024 - August 31, 2024</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1,495,122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1,495,122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136,767,452</w:t>
            </w:r>
          </w:p>
        </w:tc>
        <w:tc>
          <w:tcPr>
            <w:tcW w:w="0" w:type="dxa"/>
            <w:vAlign w:val="bottom"/>
          </w:tcPr>
          <w:p>
            <w:pPr>
              <w:spacing w:after="0"/>
              <w:rPr>
                <w:sz w:val="1"/>
                <w:szCs w:val="1"/>
                <w:color w:val="auto"/>
              </w:rPr>
            </w:pPr>
          </w:p>
        </w:tc>
      </w:tr>
      <w:tr>
        <w:trPr>
          <w:trHeight w:val="21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1, 2024 - September 30, 2024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1,544,534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1,544,534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124,377,974</w:t>
            </w:r>
          </w:p>
        </w:tc>
        <w:tc>
          <w:tcPr>
            <w:tcW w:w="0" w:type="dxa"/>
            <w:vAlign w:val="bottom"/>
          </w:tcPr>
          <w:p>
            <w:pPr>
              <w:spacing w:after="0"/>
              <w:rPr>
                <w:sz w:val="1"/>
                <w:szCs w:val="1"/>
                <w:color w:val="auto"/>
              </w:rPr>
            </w:pPr>
          </w:p>
        </w:tc>
      </w:tr>
      <w:tr>
        <w:trPr>
          <w:trHeight w:val="172"/>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5,986,546</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1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5,986,546</w:t>
            </w:r>
          </w:p>
        </w:tc>
        <w:tc>
          <w:tcPr>
            <w:tcW w:w="100" w:type="dxa"/>
            <w:vAlign w:val="bottom"/>
          </w:tcPr>
          <w:p>
            <w:pPr>
              <w:spacing w:after="0"/>
              <w:rPr>
                <w:sz w:val="14"/>
                <w:szCs w:val="14"/>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124,377,974</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Excludes shares withheld to satisfy tax withholding obligations in connection with equity award vestings.</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Other than the repurchases reflected in the table above, there were no purchases of equity securities by the issuer or affiliated purchasers during the quarter ended September 30, 2024.</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9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39" w:name="page40"/>
    <w:bookmarkEnd w:id="39"/>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Agreements</w:t>
      </w:r>
    </w:p>
    <w:p>
      <w:pPr>
        <w:spacing w:after="0" w:line="15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During the three months ended September 30, 2024, no director or Section 16 officer of the Company adopted or terminated a "Rule 10b5-1 trading agreement" or "non-Rule 10b5-1 trading agreement," as each term is defined in Item 408(a) of Regulation S-K.</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4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4067175</wp:posOffset>
            </wp:positionH>
            <wp:positionV relativeFrom="paragraph">
              <wp:posOffset>26670</wp:posOffset>
            </wp:positionV>
            <wp:extent cx="244094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40940" cy="698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520" w:type="dxa"/>
            <w:vAlign w:val="bottom"/>
            <w:gridSpan w:val="9"/>
          </w:tcPr>
          <w:p>
            <w:pPr>
              <w:ind w:left="66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49"/>
        </w:trPr>
        <w:tc>
          <w:tcPr>
            <w:tcW w:w="1020" w:type="dxa"/>
            <w:vAlign w:val="bottom"/>
            <w:tcBorders>
              <w:top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2"/>
                <w:szCs w:val="12"/>
                <w:color w:val="auto"/>
              </w:rPr>
            </w:pPr>
          </w:p>
        </w:tc>
        <w:tc>
          <w:tcPr>
            <w:tcW w:w="5180" w:type="dxa"/>
            <w:vAlign w:val="bottom"/>
            <w:tcBorders>
              <w:top w:val="single" w:sz="8" w:color="auto"/>
            </w:tcBorders>
            <w:gridSpan w:val="11"/>
          </w:tcPr>
          <w:p>
            <w:pPr>
              <w:spacing w:after="0" w:line="149" w:lineRule="exact"/>
              <w:rPr>
                <w:rFonts w:ascii="Times New Roman" w:cs="Times New Roman" w:eastAsia="Times New Roman" w:hAnsi="Times New Roman"/>
                <w:sz w:val="14"/>
                <w:szCs w:val="14"/>
                <w:color w:val="0000FF"/>
              </w:rPr>
            </w:pPr>
            <w:hyperlink r:id="rId64">
              <w:r>
                <w:rPr>
                  <w:rFonts w:ascii="Times New Roman" w:cs="Times New Roman" w:eastAsia="Times New Roman" w:hAnsi="Times New Roman"/>
                  <w:sz w:val="14"/>
                  <w:szCs w:val="14"/>
                  <w:color w:val="0000FF"/>
                </w:rPr>
                <w:t>Third Amended and Restated Certificate of Incorporation of Garrett Motion Inc., dated</w:t>
              </w:r>
            </w:hyperlink>
          </w:p>
        </w:tc>
        <w:tc>
          <w:tcPr>
            <w:tcW w:w="0" w:type="dxa"/>
            <w:vAlign w:val="bottom"/>
          </w:tcPr>
          <w:p>
            <w:pPr>
              <w:spacing w:after="0"/>
              <w:rPr>
                <w:sz w:val="1"/>
                <w:szCs w:val="1"/>
                <w:color w:val="auto"/>
              </w:rPr>
            </w:pPr>
          </w:p>
        </w:tc>
      </w:tr>
      <w:tr>
        <w:trPr>
          <w:trHeight w:val="140"/>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0000FF"/>
              <w:bottom w:val="single" w:sz="8" w:color="0000FF"/>
            </w:tcBorders>
          </w:tcPr>
          <w:p>
            <w:pPr>
              <w:spacing w:after="0" w:line="140" w:lineRule="exact"/>
              <w:rPr>
                <w:rFonts w:ascii="Times New Roman" w:cs="Times New Roman" w:eastAsia="Times New Roman" w:hAnsi="Times New Roman"/>
                <w:sz w:val="14"/>
                <w:szCs w:val="14"/>
                <w:color w:val="0000FF"/>
                <w:w w:val="99"/>
              </w:rPr>
            </w:pPr>
            <w:hyperlink r:id="rId64">
              <w:r>
                <w:rPr>
                  <w:rFonts w:ascii="Times New Roman" w:cs="Times New Roman" w:eastAsia="Times New Roman" w:hAnsi="Times New Roman"/>
                  <w:sz w:val="14"/>
                  <w:szCs w:val="14"/>
                  <w:color w:val="0000FF"/>
                  <w:w w:val="99"/>
                </w:rPr>
                <w:t>May 29, 2024</w:t>
              </w:r>
            </w:hyperlink>
          </w:p>
        </w:tc>
        <w:tc>
          <w:tcPr>
            <w:tcW w:w="4160" w:type="dxa"/>
            <w:vAlign w:val="bottom"/>
            <w:tcBorders>
              <w:top w:val="single" w:sz="8" w:color="0000FF"/>
            </w:tcBorders>
            <w:gridSpan w:val="9"/>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c>
          <w:tcPr>
            <w:tcW w:w="470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rPr>
            </w:pPr>
            <w:hyperlink r:id="rId65">
              <w:r>
                <w:rPr>
                  <w:rFonts w:ascii="Times New Roman" w:cs="Times New Roman" w:eastAsia="Times New Roman" w:hAnsi="Times New Roman"/>
                  <w:sz w:val="14"/>
                  <w:szCs w:val="14"/>
                  <w:color w:val="0000FF"/>
                </w:rPr>
                <w:t>Fifth Amended and Restated By-Laws of Garrett Motion Inc., dated May 29, 2024</w:t>
              </w:r>
            </w:hyperlink>
          </w:p>
        </w:tc>
        <w:tc>
          <w:tcPr>
            <w:tcW w:w="48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7"/>
                <w:szCs w:val="17"/>
                <w:color w:val="auto"/>
              </w:rPr>
            </w:pPr>
          </w:p>
        </w:tc>
        <w:tc>
          <w:tcPr>
            <w:tcW w:w="494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4"/>
                <w:szCs w:val="14"/>
                <w:color w:val="auto"/>
              </w:rPr>
              <w:t>Certification of Principal Executive Officer Pursuant to Rules 13a-14(a) and 15d-14(a)</w:t>
            </w:r>
          </w:p>
        </w:tc>
        <w:tc>
          <w:tcPr>
            <w:tcW w:w="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80" w:type="dxa"/>
            <w:vAlign w:val="bottom"/>
            <w:gridSpan w:val="11"/>
          </w:tcPr>
          <w:p>
            <w:pPr>
              <w:spacing w:after="0" w:line="151" w:lineRule="exact"/>
              <w:rPr>
                <w:sz w:val="20"/>
                <w:szCs w:val="20"/>
                <w:color w:val="auto"/>
              </w:rPr>
            </w:pPr>
            <w:r>
              <w:rPr>
                <w:rFonts w:ascii="Times New Roman" w:cs="Times New Roman" w:eastAsia="Times New Roman" w:hAnsi="Times New Roman"/>
                <w:sz w:val="14"/>
                <w:szCs w:val="14"/>
                <w:color w:val="auto"/>
              </w:rPr>
              <w:t>under the Securities Exchange Act of 1934, as Adopted Pursuant to Section 302 of the</w:t>
            </w:r>
          </w:p>
        </w:tc>
        <w:tc>
          <w:tcPr>
            <w:tcW w:w="0" w:type="dxa"/>
            <w:vAlign w:val="bottom"/>
          </w:tcPr>
          <w:p>
            <w:pPr>
              <w:spacing w:after="0"/>
              <w:rPr>
                <w:sz w:val="1"/>
                <w:szCs w:val="1"/>
                <w:color w:val="auto"/>
              </w:rPr>
            </w:pPr>
          </w:p>
        </w:tc>
      </w:tr>
      <w:tr>
        <w:trPr>
          <w:trHeight w:val="140"/>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20" w:type="dxa"/>
            <w:vAlign w:val="bottom"/>
            <w:tcBorders>
              <w:top w:val="single" w:sz="8" w:color="auto"/>
            </w:tcBorders>
            <w:gridSpan w:val="8"/>
          </w:tcPr>
          <w:p>
            <w:pPr>
              <w:spacing w:after="0" w:line="140" w:lineRule="exact"/>
              <w:rPr>
                <w:sz w:val="20"/>
                <w:szCs w:val="20"/>
                <w:color w:val="auto"/>
              </w:rPr>
            </w:pPr>
            <w:r>
              <w:rPr>
                <w:rFonts w:ascii="Times New Roman" w:cs="Times New Roman" w:eastAsia="Times New Roman" w:hAnsi="Times New Roman"/>
                <w:sz w:val="14"/>
                <w:szCs w:val="14"/>
                <w:color w:val="auto"/>
              </w:rPr>
              <w:t>Sarbanes-Oxley Act of 2002.</w:t>
            </w:r>
          </w:p>
        </w:tc>
        <w:tc>
          <w:tcPr>
            <w:tcW w:w="2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line="20" w:lineRule="exact"/>
              <w:rPr>
                <w:sz w:val="1"/>
                <w:szCs w:val="1"/>
                <w:color w:val="auto"/>
              </w:rPr>
            </w:pPr>
          </w:p>
        </w:tc>
        <w:tc>
          <w:tcPr>
            <w:tcW w:w="1660" w:type="dxa"/>
            <w:vAlign w:val="bottom"/>
            <w:gridSpan w:val="2"/>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Certification of Principal Financial Officer Pursuant to Rules 13a-14(a) and 15d-14(a)</w:t>
            </w:r>
          </w:p>
        </w:tc>
        <w:tc>
          <w:tcPr>
            <w:tcW w:w="28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80" w:type="dxa"/>
            <w:vAlign w:val="bottom"/>
            <w:gridSpan w:val="11"/>
          </w:tcPr>
          <w:p>
            <w:pPr>
              <w:spacing w:after="0" w:line="151" w:lineRule="exact"/>
              <w:rPr>
                <w:sz w:val="20"/>
                <w:szCs w:val="20"/>
                <w:color w:val="auto"/>
              </w:rPr>
            </w:pPr>
            <w:r>
              <w:rPr>
                <w:rFonts w:ascii="Times New Roman" w:cs="Times New Roman" w:eastAsia="Times New Roman" w:hAnsi="Times New Roman"/>
                <w:sz w:val="14"/>
                <w:szCs w:val="14"/>
                <w:color w:val="auto"/>
              </w:rPr>
              <w:t>under the Securities Exchange Act of 1934, as Adopted Pursuant to Section 302 of the</w:t>
            </w:r>
          </w:p>
        </w:tc>
        <w:tc>
          <w:tcPr>
            <w:tcW w:w="0" w:type="dxa"/>
            <w:vAlign w:val="bottom"/>
          </w:tcPr>
          <w:p>
            <w:pPr>
              <w:spacing w:after="0"/>
              <w:rPr>
                <w:sz w:val="1"/>
                <w:szCs w:val="1"/>
                <w:color w:val="auto"/>
              </w:rPr>
            </w:pPr>
          </w:p>
        </w:tc>
      </w:tr>
      <w:tr>
        <w:trPr>
          <w:trHeight w:val="140"/>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20" w:type="dxa"/>
            <w:vAlign w:val="bottom"/>
            <w:tcBorders>
              <w:top w:val="single" w:sz="8" w:color="auto"/>
            </w:tcBorders>
            <w:gridSpan w:val="8"/>
          </w:tcPr>
          <w:p>
            <w:pPr>
              <w:spacing w:after="0" w:line="140" w:lineRule="exact"/>
              <w:rPr>
                <w:sz w:val="20"/>
                <w:szCs w:val="20"/>
                <w:color w:val="auto"/>
              </w:rPr>
            </w:pPr>
            <w:r>
              <w:rPr>
                <w:rFonts w:ascii="Times New Roman" w:cs="Times New Roman" w:eastAsia="Times New Roman" w:hAnsi="Times New Roman"/>
                <w:sz w:val="14"/>
                <w:szCs w:val="14"/>
                <w:color w:val="auto"/>
              </w:rPr>
              <w:t>Sarbanes-Oxley Act of 2002.</w:t>
            </w:r>
          </w:p>
        </w:tc>
        <w:tc>
          <w:tcPr>
            <w:tcW w:w="2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line="20" w:lineRule="exact"/>
              <w:rPr>
                <w:sz w:val="1"/>
                <w:szCs w:val="1"/>
                <w:color w:val="auto"/>
              </w:rPr>
            </w:pPr>
          </w:p>
        </w:tc>
        <w:tc>
          <w:tcPr>
            <w:tcW w:w="1660" w:type="dxa"/>
            <w:vAlign w:val="bottom"/>
            <w:gridSpan w:val="2"/>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7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color w:val="auto"/>
              </w:rPr>
              <w:t>Certification of Principal Executive Officer Pursuant to 18 U.S.C. Section 1350, as</w:t>
            </w:r>
          </w:p>
        </w:tc>
        <w:tc>
          <w:tcPr>
            <w:tcW w:w="46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940" w:type="dxa"/>
            <w:vAlign w:val="bottom"/>
            <w:tcBorders>
              <w:bottom w:val="single" w:sz="8" w:color="auto"/>
            </w:tcBorders>
            <w:gridSpan w:val="3"/>
          </w:tcPr>
          <w:p>
            <w:pPr>
              <w:spacing w:after="0" w:line="151" w:lineRule="exact"/>
              <w:rPr>
                <w:sz w:val="20"/>
                <w:szCs w:val="20"/>
                <w:color w:val="auto"/>
              </w:rPr>
            </w:pPr>
            <w:r>
              <w:rPr>
                <w:rFonts w:ascii="Times New Roman" w:cs="Times New Roman" w:eastAsia="Times New Roman" w:hAnsi="Times New Roman"/>
                <w:sz w:val="14"/>
                <w:szCs w:val="14"/>
                <w:color w:val="auto"/>
              </w:rPr>
              <w:t>Adopted Pursuant to Section 906 of the Sarbanes-Oxley Act of 2002.</w:t>
            </w:r>
          </w:p>
        </w:tc>
        <w:tc>
          <w:tcPr>
            <w:tcW w:w="124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6"/>
                <w:szCs w:val="16"/>
                <w:color w:val="auto"/>
              </w:rPr>
            </w:pPr>
          </w:p>
        </w:tc>
        <w:tc>
          <w:tcPr>
            <w:tcW w:w="46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Certification of Principal Financial Officer Pursuant to 18 U.S.C. Section 1350, as</w:t>
            </w:r>
          </w:p>
        </w:tc>
        <w:tc>
          <w:tcPr>
            <w:tcW w:w="50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940" w:type="dxa"/>
            <w:vAlign w:val="bottom"/>
            <w:tcBorders>
              <w:bottom w:val="single" w:sz="8" w:color="auto"/>
            </w:tcBorders>
            <w:gridSpan w:val="3"/>
          </w:tcPr>
          <w:p>
            <w:pPr>
              <w:spacing w:after="0" w:line="151" w:lineRule="exact"/>
              <w:rPr>
                <w:sz w:val="20"/>
                <w:szCs w:val="20"/>
                <w:color w:val="auto"/>
              </w:rPr>
            </w:pPr>
            <w:r>
              <w:rPr>
                <w:rFonts w:ascii="Times New Roman" w:cs="Times New Roman" w:eastAsia="Times New Roman" w:hAnsi="Times New Roman"/>
                <w:sz w:val="14"/>
                <w:szCs w:val="14"/>
                <w:color w:val="auto"/>
              </w:rPr>
              <w:t>Adopted Pursuant to Section 906 of the Sarbanes-Oxley Act of 2002.</w:t>
            </w:r>
          </w:p>
        </w:tc>
        <w:tc>
          <w:tcPr>
            <w:tcW w:w="124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120" w:right="100" w:hanging="1101"/>
        <w:spacing w:after="0" w:line="246" w:lineRule="auto"/>
        <w:tabs>
          <w:tab w:leader="none" w:pos="1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financial information from the Company's Quarterly Report on Form 10-Q for the quarter ended September 30, 2024, formatted in Inline Extensible Business Reporting Language (iXBRL) includes: (i) the Consolidated Interim Statements of Operations, (ii) the Consolidated Interim Statements of Comprehensive Income, (iii) the Consolidated Interim Balance Sheets, (iv) the Consolidated Interim Statements of Cash Flows, (v) the Consolidated Interim Statements of Equity (Deficit) and (vi) Notes to the Consolidated Interim Financial Statements</w:t>
      </w:r>
    </w:p>
    <w:p>
      <w:pPr>
        <w:spacing w:after="0" w:line="16"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116840</wp:posOffset>
            </wp:positionV>
            <wp:extent cx="85217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85217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Filing</w:t>
            </w:r>
          </w:p>
        </w:tc>
        <w:tc>
          <w:tcPr>
            <w:tcW w:w="980" w:type="dxa"/>
            <w:vAlign w:val="bottom"/>
          </w:tcPr>
          <w:p>
            <w:pPr>
              <w:jc w:val="center"/>
              <w:ind w:left="123"/>
              <w:spacing w:after="0"/>
              <w:rPr>
                <w:sz w:val="20"/>
                <w:szCs w:val="20"/>
                <w:color w:val="auto"/>
              </w:rPr>
            </w:pPr>
            <w:r>
              <w:rPr>
                <w:rFonts w:ascii="Times New Roman" w:cs="Times New Roman" w:eastAsia="Times New Roman" w:hAnsi="Times New Roman"/>
                <w:sz w:val="11"/>
                <w:szCs w:val="11"/>
                <w:b w:val="1"/>
                <w:bCs w:val="1"/>
                <w:color w:val="auto"/>
              </w:rPr>
              <w:t>Filed/ Furnished</w:t>
            </w:r>
          </w:p>
        </w:tc>
      </w:tr>
      <w:tr>
        <w:trPr>
          <w:trHeight w:val="159"/>
        </w:trPr>
        <w:tc>
          <w:tcPr>
            <w:tcW w:w="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8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0" w:type="dxa"/>
            <w:vAlign w:val="bottom"/>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c>
          <w:tcPr>
            <w:tcW w:w="980" w:type="dxa"/>
            <w:vAlign w:val="bottom"/>
          </w:tcPr>
          <w:p>
            <w:pPr>
              <w:jc w:val="center"/>
              <w:ind w:left="103"/>
              <w:spacing w:after="0"/>
              <w:rPr>
                <w:sz w:val="20"/>
                <w:szCs w:val="20"/>
                <w:color w:val="auto"/>
              </w:rPr>
            </w:pPr>
            <w:r>
              <w:rPr>
                <w:rFonts w:ascii="Times New Roman" w:cs="Times New Roman" w:eastAsia="Times New Roman" w:hAnsi="Times New Roman"/>
                <w:sz w:val="11"/>
                <w:szCs w:val="11"/>
                <w:b w:val="1"/>
                <w:bCs w:val="1"/>
                <w:color w:val="auto"/>
              </w:rPr>
              <w:t>Herewith</w:t>
            </w:r>
          </w:p>
        </w:tc>
      </w:tr>
      <w:tr>
        <w:trPr>
          <w:trHeight w:val="191"/>
        </w:trPr>
        <w:tc>
          <w:tcPr>
            <w:tcW w:w="7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3.1</w:t>
            </w: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07/25/2024</w:t>
            </w:r>
          </w:p>
        </w:tc>
        <w:tc>
          <w:tcPr>
            <w:tcW w:w="980" w:type="dxa"/>
            <w:vAlign w:val="bottom"/>
          </w:tcPr>
          <w:p>
            <w:pPr>
              <w:spacing w:after="0"/>
              <w:rPr>
                <w:sz w:val="16"/>
                <w:szCs w:val="16"/>
                <w:color w:val="auto"/>
              </w:rPr>
            </w:pPr>
          </w:p>
        </w:tc>
      </w:tr>
      <w:tr>
        <w:trPr>
          <w:trHeight w:val="362"/>
        </w:trPr>
        <w:tc>
          <w:tcPr>
            <w:tcW w:w="7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3.2</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07/25/2024</w:t>
            </w:r>
          </w:p>
        </w:tc>
        <w:tc>
          <w:tcPr>
            <w:tcW w:w="980" w:type="dxa"/>
            <w:vAlign w:val="bottom"/>
          </w:tcPr>
          <w:p>
            <w:pPr>
              <w:spacing w:after="0"/>
              <w:rPr>
                <w:sz w:val="24"/>
                <w:szCs w:val="24"/>
                <w:color w:val="auto"/>
              </w:rPr>
            </w:pPr>
          </w:p>
        </w:tc>
      </w:tr>
    </w:tbl>
    <w:p>
      <w:pPr>
        <w:spacing w:after="0" w:line="1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w:t>
      </w:r>
    </w:p>
    <w:p>
      <w:pPr>
        <w:spacing w:after="0" w:line="38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w:t>
      </w:r>
    </w:p>
    <w:p>
      <w:pPr>
        <w:spacing w:after="0" w:line="38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color w:val="auto"/>
        </w:rPr>
        <w:t>**</w:t>
      </w:r>
    </w:p>
    <w:p>
      <w:pPr>
        <w:spacing w:after="0" w:line="22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color w:val="auto"/>
        </w:rPr>
        <w:t>**</w:t>
      </w:r>
    </w:p>
    <w:p>
      <w:pPr>
        <w:spacing w:after="0" w:line="22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ectPr>
          <w:pgSz w:w="11900" w:h="16838" w:orient="portrait"/>
          <w:cols w:equalWidth="0" w:num="2">
            <w:col w:w="6300" w:space="100"/>
            <w:col w:w="4880"/>
          </w:cols>
          <w:pgMar w:left="300" w:top="902" w:right="319" w:bottom="1440" w:gutter="0" w:footer="0" w:header="0"/>
          <w:type w:val="continuous"/>
        </w:sectPr>
      </w:pPr>
    </w:p>
    <w:p>
      <w:pPr>
        <w:spacing w:after="0" w:line="108" w:lineRule="exact"/>
        <w:rPr>
          <w:sz w:val="20"/>
          <w:szCs w:val="20"/>
          <w:color w:val="auto"/>
        </w:rPr>
      </w:pPr>
    </w:p>
    <w:p>
      <w:pPr>
        <w:ind w:left="820" w:hanging="494"/>
        <w:spacing w:after="0"/>
        <w:tabs>
          <w:tab w:leader="none" w:pos="8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37" w:lineRule="exact"/>
        <w:rPr>
          <w:sz w:val="20"/>
          <w:szCs w:val="20"/>
          <w:color w:val="auto"/>
        </w:rPr>
      </w:pPr>
    </w:p>
    <w:p>
      <w:pPr>
        <w:ind w:left="820" w:hanging="494"/>
        <w:spacing w:after="0"/>
        <w:tabs>
          <w:tab w:leader="none" w:pos="8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type w:val="continuous"/>
        </w:sectPr>
      </w:pPr>
    </w:p>
    <w:bookmarkStart w:id="40" w:name="page41"/>
    <w:bookmarkEnd w:id="40"/>
    <w:p>
      <w:pPr>
        <w:ind w:left="50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color w:val="auto"/>
        </w:rPr>
        <w:t>Garrett Motion Inc.</w:t>
      </w:r>
    </w:p>
    <w:p>
      <w:pPr>
        <w:spacing w:after="0" w:line="254" w:lineRule="exact"/>
        <w:rPr>
          <w:sz w:val="20"/>
          <w:szCs w:val="20"/>
          <w:color w:val="auto"/>
        </w:rPr>
      </w:pPr>
    </w:p>
    <w:p>
      <w:pPr>
        <w:spacing w:after="0"/>
        <w:tabs>
          <w:tab w:leader="none" w:pos="5020" w:val="left"/>
          <w:tab w:leader="none" w:pos="7880" w:val="left"/>
        </w:tabs>
        <w:rPr>
          <w:sz w:val="20"/>
          <w:szCs w:val="20"/>
          <w:color w:val="auto"/>
        </w:rPr>
      </w:pPr>
      <w:r>
        <w:rPr>
          <w:rFonts w:ascii="Times New Roman" w:cs="Times New Roman" w:eastAsia="Times New Roman" w:hAnsi="Times New Roman"/>
          <w:sz w:val="14"/>
          <w:szCs w:val="14"/>
          <w:color w:val="auto"/>
        </w:rPr>
        <w:t>Date: October 24,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Olivier Rabiller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22225</wp:posOffset>
            </wp:positionV>
            <wp:extent cx="346392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463925" cy="6985"/>
                    </a:xfrm>
                    <a:prstGeom prst="rect">
                      <a:avLst/>
                    </a:prstGeom>
                    <a:noFill/>
                  </pic:spPr>
                </pic:pic>
              </a:graphicData>
            </a:graphic>
          </wp:anchor>
        </w:drawing>
      </w:r>
    </w:p>
    <w:p>
      <w:pPr>
        <w:spacing w:after="0" w:line="30"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Olivier Rabiller</w:t>
      </w:r>
    </w:p>
    <w:p>
      <w:pPr>
        <w:spacing w:after="0" w:line="41"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256" w:lineRule="exact"/>
        <w:rPr>
          <w:sz w:val="20"/>
          <w:szCs w:val="20"/>
          <w:color w:val="auto"/>
        </w:rPr>
      </w:pPr>
    </w:p>
    <w:p>
      <w:pPr>
        <w:spacing w:after="0"/>
        <w:tabs>
          <w:tab w:leader="none" w:pos="5020" w:val="left"/>
          <w:tab w:leader="none" w:pos="7960" w:val="left"/>
        </w:tabs>
        <w:rPr>
          <w:sz w:val="20"/>
          <w:szCs w:val="20"/>
          <w:color w:val="auto"/>
        </w:rPr>
      </w:pPr>
      <w:r>
        <w:rPr>
          <w:rFonts w:ascii="Times New Roman" w:cs="Times New Roman" w:eastAsia="Times New Roman" w:hAnsi="Times New Roman"/>
          <w:sz w:val="14"/>
          <w:szCs w:val="14"/>
          <w:color w:val="auto"/>
        </w:rPr>
        <w:t>Date: October 24,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Sean Deason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22225</wp:posOffset>
            </wp:positionV>
            <wp:extent cx="346392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463925" cy="6985"/>
                    </a:xfrm>
                    <a:prstGeom prst="rect">
                      <a:avLst/>
                    </a:prstGeom>
                    <a:noFill/>
                  </pic:spPr>
                </pic:pic>
              </a:graphicData>
            </a:graphic>
          </wp:anchor>
        </w:drawing>
      </w:r>
    </w:p>
    <w:p>
      <w:pPr>
        <w:spacing w:after="0" w:line="30"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Sean Deason</w:t>
      </w:r>
    </w:p>
    <w:p>
      <w:pPr>
        <w:spacing w:after="0" w:line="41"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Senior Vice President and Chief Financial Officer</w:t>
      </w:r>
    </w:p>
    <w:p>
      <w:pPr>
        <w:spacing w:after="0" w:line="200" w:lineRule="exact"/>
        <w:rPr>
          <w:sz w:val="20"/>
          <w:szCs w:val="20"/>
          <w:color w:val="auto"/>
        </w:rPr>
      </w:pPr>
    </w:p>
    <w:p>
      <w:pPr>
        <w:spacing w:after="0" w:line="36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0360"/>
          </w:cols>
          <w:pgMar w:left="620" w:top="900" w:right="91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Olivier Rabiller, certify that:</w:t>
      </w:r>
    </w:p>
    <w:p>
      <w:pPr>
        <w:spacing w:after="0" w:line="180" w:lineRule="exact"/>
        <w:rPr>
          <w:sz w:val="20"/>
          <w:szCs w:val="20"/>
          <w:color w:val="auto"/>
        </w:rPr>
      </w:pP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Garrett Motion Inc.;</w:t>
      </w:r>
    </w:p>
    <w:p>
      <w:pPr>
        <w:spacing w:after="0" w:line="179"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61"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4"/>
          <w:szCs w:val="14"/>
          <w:color w:val="auto"/>
        </w:rPr>
      </w:pPr>
    </w:p>
    <w:p>
      <w:pPr>
        <w:ind w:left="360" w:right="180" w:hanging="355"/>
        <w:spacing w:after="0" w:line="289" w:lineRule="auto"/>
        <w:tabs>
          <w:tab w:leader="none" w:pos="261"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4"/>
          <w:szCs w:val="14"/>
          <w:color w:val="auto"/>
        </w:rPr>
      </w:pPr>
    </w:p>
    <w:p>
      <w:pPr>
        <w:ind w:left="360" w:right="20" w:hanging="355"/>
        <w:spacing w:after="0" w:line="289" w:lineRule="auto"/>
        <w:tabs>
          <w:tab w:leader="none" w:pos="25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4"/>
          <w:szCs w:val="14"/>
          <w:color w:val="auto"/>
        </w:rPr>
      </w:pPr>
    </w:p>
    <w:p>
      <w:pPr>
        <w:ind w:left="700" w:right="100" w:hanging="347"/>
        <w:spacing w:after="0" w:line="289" w:lineRule="auto"/>
        <w:tabs>
          <w:tab w:leader="none" w:pos="652"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4"/>
          <w:szCs w:val="14"/>
          <w:color w:val="auto"/>
        </w:rPr>
      </w:pPr>
    </w:p>
    <w:p>
      <w:pPr>
        <w:ind w:left="700" w:right="300" w:hanging="347"/>
        <w:spacing w:after="0" w:line="289" w:lineRule="auto"/>
        <w:tabs>
          <w:tab w:leader="none" w:pos="66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4"/>
          <w:szCs w:val="14"/>
          <w:color w:val="auto"/>
        </w:rPr>
      </w:pPr>
    </w:p>
    <w:p>
      <w:pPr>
        <w:ind w:left="700" w:right="500" w:hanging="347"/>
        <w:spacing w:after="0" w:line="289" w:lineRule="auto"/>
        <w:tabs>
          <w:tab w:leader="none" w:pos="652"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4"/>
          <w:szCs w:val="14"/>
          <w:color w:val="auto"/>
        </w:rPr>
      </w:pPr>
    </w:p>
    <w:p>
      <w:pPr>
        <w:ind w:left="700" w:right="140" w:hanging="347"/>
        <w:spacing w:after="0" w:line="289" w:lineRule="auto"/>
        <w:tabs>
          <w:tab w:leader="none" w:pos="66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5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4"/>
          <w:szCs w:val="14"/>
          <w:color w:val="auto"/>
        </w:rPr>
      </w:pPr>
    </w:p>
    <w:p>
      <w:pPr>
        <w:ind w:left="700" w:right="180" w:hanging="347"/>
        <w:spacing w:after="0" w:line="289" w:lineRule="auto"/>
        <w:tabs>
          <w:tab w:leader="none" w:pos="644"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4"/>
          <w:szCs w:val="14"/>
          <w:color w:val="auto"/>
        </w:rPr>
      </w:pPr>
    </w:p>
    <w:p>
      <w:pPr>
        <w:ind w:left="660" w:hanging="307"/>
        <w:spacing w:after="0"/>
        <w:tabs>
          <w:tab w:leader="none" w:pos="66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Date: October 24, 2024</w:t>
            </w:r>
          </w:p>
        </w:tc>
        <w:tc>
          <w:tcPr>
            <w:tcW w:w="2400" w:type="dxa"/>
            <w:vAlign w:val="bottom"/>
          </w:tcPr>
          <w:p>
            <w:pPr>
              <w:ind w:left="2180"/>
              <w:spacing w:after="0"/>
              <w:rPr>
                <w:sz w:val="20"/>
                <w:szCs w:val="20"/>
                <w:color w:val="auto"/>
              </w:rPr>
            </w:pPr>
            <w:r>
              <w:rPr>
                <w:rFonts w:ascii="Times New Roman" w:cs="Times New Roman" w:eastAsia="Times New Roman" w:hAnsi="Times New Roman"/>
                <w:sz w:val="14"/>
                <w:szCs w:val="14"/>
                <w:color w:val="auto"/>
                <w:w w:val="98"/>
              </w:rPr>
              <w:t>By:</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Olivier Rabiller</w:t>
            </w:r>
          </w:p>
        </w:tc>
      </w:tr>
      <w:tr>
        <w:trPr>
          <w:trHeight w:val="168"/>
        </w:trPr>
        <w:tc>
          <w:tcPr>
            <w:tcW w:w="35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Olivier Rabiller</w:t>
            </w:r>
          </w:p>
        </w:tc>
      </w:tr>
      <w:tr>
        <w:trPr>
          <w:trHeight w:val="179"/>
        </w:trPr>
        <w:tc>
          <w:tcPr>
            <w:tcW w:w="35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6"/>
        </w:trPr>
        <w:tc>
          <w:tcPr>
            <w:tcW w:w="35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bl>
    <w:p>
      <w:pPr>
        <w:sectPr>
          <w:pgSz w:w="11900" w:h="16838" w:orient="portrait"/>
          <w:cols w:equalWidth="0" w:num="1">
            <w:col w:w="11280"/>
          </w:cols>
          <w:pgMar w:left="300" w:top="634" w:right="31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Sean Deason, certify that:</w:t>
      </w:r>
    </w:p>
    <w:p>
      <w:pPr>
        <w:spacing w:after="0" w:line="180" w:lineRule="exact"/>
        <w:rPr>
          <w:sz w:val="20"/>
          <w:szCs w:val="20"/>
          <w:color w:val="auto"/>
        </w:rPr>
      </w:pPr>
    </w:p>
    <w:p>
      <w:pPr>
        <w:ind w:left="260" w:hanging="255"/>
        <w:spacing w:after="0"/>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Garrett Motion Inc.;</w:t>
      </w:r>
    </w:p>
    <w:p>
      <w:pPr>
        <w:spacing w:after="0" w:line="179"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61"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4"/>
          <w:szCs w:val="14"/>
          <w:color w:val="auto"/>
        </w:rPr>
      </w:pPr>
    </w:p>
    <w:p>
      <w:pPr>
        <w:ind w:left="360" w:right="180" w:hanging="355"/>
        <w:spacing w:after="0" w:line="289" w:lineRule="auto"/>
        <w:tabs>
          <w:tab w:leader="none" w:pos="261"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4"/>
          <w:szCs w:val="14"/>
          <w:color w:val="auto"/>
        </w:rPr>
      </w:pPr>
    </w:p>
    <w:p>
      <w:pPr>
        <w:ind w:left="360" w:right="20" w:hanging="355"/>
        <w:spacing w:after="0" w:line="289" w:lineRule="auto"/>
        <w:tabs>
          <w:tab w:leader="none" w:pos="258"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4"/>
          <w:szCs w:val="14"/>
          <w:color w:val="auto"/>
        </w:rPr>
      </w:pPr>
    </w:p>
    <w:p>
      <w:pPr>
        <w:ind w:left="700" w:right="100" w:hanging="347"/>
        <w:spacing w:after="0" w:line="289" w:lineRule="auto"/>
        <w:tabs>
          <w:tab w:leader="none" w:pos="652"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4"/>
          <w:szCs w:val="14"/>
          <w:color w:val="auto"/>
        </w:rPr>
      </w:pPr>
    </w:p>
    <w:p>
      <w:pPr>
        <w:ind w:left="700" w:right="300" w:hanging="347"/>
        <w:spacing w:after="0" w:line="289" w:lineRule="auto"/>
        <w:tabs>
          <w:tab w:leader="none" w:pos="66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4"/>
          <w:szCs w:val="14"/>
          <w:color w:val="auto"/>
        </w:rPr>
      </w:pPr>
    </w:p>
    <w:p>
      <w:pPr>
        <w:ind w:left="700" w:right="500" w:hanging="347"/>
        <w:spacing w:after="0" w:line="289" w:lineRule="auto"/>
        <w:tabs>
          <w:tab w:leader="none" w:pos="652"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4"/>
          <w:szCs w:val="14"/>
          <w:color w:val="auto"/>
        </w:rPr>
      </w:pPr>
    </w:p>
    <w:p>
      <w:pPr>
        <w:ind w:left="700" w:right="140" w:hanging="347"/>
        <w:spacing w:after="0" w:line="289" w:lineRule="auto"/>
        <w:tabs>
          <w:tab w:leader="none" w:pos="66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58"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4"/>
          <w:szCs w:val="14"/>
          <w:color w:val="auto"/>
        </w:rPr>
      </w:pPr>
    </w:p>
    <w:p>
      <w:pPr>
        <w:ind w:left="700" w:right="180" w:hanging="347"/>
        <w:spacing w:after="0" w:line="289" w:lineRule="auto"/>
        <w:tabs>
          <w:tab w:leader="none" w:pos="644"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4"/>
          <w:szCs w:val="14"/>
          <w:color w:val="auto"/>
        </w:rPr>
      </w:pPr>
    </w:p>
    <w:p>
      <w:pPr>
        <w:ind w:left="660" w:hanging="307"/>
        <w:spacing w:after="0"/>
        <w:tabs>
          <w:tab w:leader="none" w:pos="66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3" w:lineRule="exact"/>
        <w:rPr>
          <w:sz w:val="20"/>
          <w:szCs w:val="20"/>
          <w:color w:val="auto"/>
        </w:rPr>
      </w:pPr>
    </w:p>
    <w:p>
      <w:pPr>
        <w:ind w:left="20"/>
        <w:spacing w:after="0"/>
        <w:tabs>
          <w:tab w:leader="none" w:pos="5720" w:val="left"/>
          <w:tab w:leader="none" w:pos="8160" w:val="left"/>
        </w:tabs>
        <w:rPr>
          <w:sz w:val="20"/>
          <w:szCs w:val="20"/>
          <w:color w:val="auto"/>
        </w:rPr>
      </w:pPr>
      <w:r>
        <w:rPr>
          <w:rFonts w:ascii="Times New Roman" w:cs="Times New Roman" w:eastAsia="Times New Roman" w:hAnsi="Times New Roman"/>
          <w:sz w:val="14"/>
          <w:szCs w:val="14"/>
          <w:color w:val="auto"/>
        </w:rPr>
        <w:t>Date: October 24,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Sean Deason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35560</wp:posOffset>
            </wp:positionV>
            <wp:extent cx="337439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374390" cy="6985"/>
                    </a:xfrm>
                    <a:prstGeom prst="rect">
                      <a:avLst/>
                    </a:prstGeom>
                    <a:noFill/>
                  </pic:spPr>
                </pic:pic>
              </a:graphicData>
            </a:graphic>
          </wp:anchor>
        </w:drawing>
      </w:r>
    </w:p>
    <w:p>
      <w:pPr>
        <w:spacing w:after="0" w:line="43"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4"/>
          <w:szCs w:val="14"/>
          <w:color w:val="auto"/>
        </w:rPr>
        <w:t>Sean Deason</w:t>
      </w:r>
    </w:p>
    <w:p>
      <w:pPr>
        <w:spacing w:after="0" w:line="3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p>
      <w:pPr>
        <w:spacing w:after="0" w:line="50"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634" w:right="31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2"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4"/>
          <w:szCs w:val="14"/>
          <w:color w:val="auto"/>
        </w:rPr>
        <w:t>In connection with the Quarterly Report on Form 10-Q of Garrett Motion Inc. (the “Company”) for the period ended September 30, 2024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60" w:hanging="519"/>
        <w:spacing w:after="0"/>
        <w:tabs>
          <w:tab w:leader="none" w:pos="10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201" w:lineRule="exact"/>
        <w:rPr>
          <w:rFonts w:ascii="Times New Roman" w:cs="Times New Roman" w:eastAsia="Times New Roman" w:hAnsi="Times New Roman"/>
          <w:sz w:val="14"/>
          <w:szCs w:val="14"/>
          <w:color w:val="auto"/>
        </w:rPr>
      </w:pPr>
    </w:p>
    <w:p>
      <w:pPr>
        <w:ind w:left="1060" w:hanging="519"/>
        <w:spacing w:after="0"/>
        <w:tabs>
          <w:tab w:leader="none" w:pos="10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5800" w:val="left"/>
          <w:tab w:leader="none" w:pos="8100" w:val="left"/>
        </w:tabs>
        <w:rPr>
          <w:sz w:val="20"/>
          <w:szCs w:val="20"/>
          <w:color w:val="auto"/>
        </w:rPr>
      </w:pPr>
      <w:r>
        <w:rPr>
          <w:rFonts w:ascii="Times New Roman" w:cs="Times New Roman" w:eastAsia="Times New Roman" w:hAnsi="Times New Roman"/>
          <w:sz w:val="14"/>
          <w:szCs w:val="14"/>
          <w:color w:val="auto"/>
        </w:rPr>
        <w:t>Date: October 24,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Olivier Rabiller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35560</wp:posOffset>
            </wp:positionV>
            <wp:extent cx="333375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333750" cy="6985"/>
                    </a:xfrm>
                    <a:prstGeom prst="rect">
                      <a:avLst/>
                    </a:prstGeom>
                    <a:noFill/>
                  </pic:spPr>
                </pic:pic>
              </a:graphicData>
            </a:graphic>
          </wp:anchor>
        </w:drawing>
      </w:r>
    </w:p>
    <w:p>
      <w:pPr>
        <w:spacing w:after="0" w:line="43"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Olivier Rabiller</w:t>
      </w:r>
    </w:p>
    <w:p>
      <w:pPr>
        <w:spacing w:after="0" w:line="3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2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634" w:right="31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2"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4"/>
          <w:szCs w:val="14"/>
          <w:color w:val="auto"/>
        </w:rPr>
        <w:t>In connection with the Quarterly Report on Form 10-Q of Garrett Motion Inc. (the “Company”) for the period ended September 30, 2024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60" w:hanging="519"/>
        <w:spacing w:after="0"/>
        <w:tabs>
          <w:tab w:leader="none" w:pos="10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201" w:lineRule="exact"/>
        <w:rPr>
          <w:rFonts w:ascii="Times New Roman" w:cs="Times New Roman" w:eastAsia="Times New Roman" w:hAnsi="Times New Roman"/>
          <w:sz w:val="14"/>
          <w:szCs w:val="14"/>
          <w:color w:val="auto"/>
        </w:rPr>
      </w:pPr>
    </w:p>
    <w:p>
      <w:pPr>
        <w:ind w:left="1060" w:hanging="519"/>
        <w:spacing w:after="0"/>
        <w:tabs>
          <w:tab w:leader="none" w:pos="10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42" w:lineRule="exact"/>
        <w:rPr>
          <w:sz w:val="20"/>
          <w:szCs w:val="20"/>
          <w:color w:val="auto"/>
        </w:rPr>
      </w:pPr>
    </w:p>
    <w:p>
      <w:pPr>
        <w:ind w:left="20"/>
        <w:spacing w:after="0"/>
        <w:tabs>
          <w:tab w:leader="none" w:pos="5800" w:val="left"/>
          <w:tab w:leader="none" w:pos="8180" w:val="left"/>
        </w:tabs>
        <w:rPr>
          <w:sz w:val="20"/>
          <w:szCs w:val="20"/>
          <w:color w:val="auto"/>
        </w:rPr>
      </w:pPr>
      <w:r>
        <w:rPr>
          <w:rFonts w:ascii="Times New Roman" w:cs="Times New Roman" w:eastAsia="Times New Roman" w:hAnsi="Times New Roman"/>
          <w:sz w:val="14"/>
          <w:szCs w:val="14"/>
          <w:color w:val="auto"/>
        </w:rPr>
        <w:t>Date: October 24, 2024</w:t>
      </w:r>
      <w:r>
        <w:rPr>
          <w:sz w:val="20"/>
          <w:szCs w:val="20"/>
          <w:color w:val="auto"/>
        </w:rPr>
        <w:tab/>
      </w:r>
      <w:r>
        <w:rPr>
          <w:rFonts w:ascii="Times New Roman" w:cs="Times New Roman" w:eastAsia="Times New Roman" w:hAnsi="Times New Roman"/>
          <w:sz w:val="28"/>
          <w:szCs w:val="28"/>
          <w:color w:val="auto"/>
          <w:vertAlign w:val="superscript"/>
        </w:rPr>
        <w:t>By:</w:t>
      </w:r>
      <w:r>
        <w:rPr>
          <w:sz w:val="20"/>
          <w:szCs w:val="20"/>
          <w:color w:val="auto"/>
        </w:rPr>
        <w:tab/>
      </w:r>
      <w:r>
        <w:rPr>
          <w:rFonts w:ascii="Times New Roman" w:cs="Times New Roman" w:eastAsia="Times New Roman" w:hAnsi="Times New Roman"/>
          <w:sz w:val="14"/>
          <w:szCs w:val="14"/>
          <w:color w:val="auto"/>
        </w:rPr>
        <w:t>/s/ Sean Deason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-13970</wp:posOffset>
            </wp:positionV>
            <wp:extent cx="333375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333750" cy="6985"/>
                    </a:xfrm>
                    <a:prstGeom prst="rect">
                      <a:avLst/>
                    </a:prstGeom>
                    <a:noFill/>
                  </pic:spPr>
                </pic:pic>
              </a:graphicData>
            </a:graphic>
          </wp:anchor>
        </w:drawing>
      </w:r>
    </w:p>
    <w:p>
      <w:pPr>
        <w:ind w:left="8280"/>
        <w:spacing w:after="0"/>
        <w:rPr>
          <w:sz w:val="20"/>
          <w:szCs w:val="20"/>
          <w:color w:val="auto"/>
        </w:rPr>
      </w:pPr>
      <w:r>
        <w:rPr>
          <w:rFonts w:ascii="Times New Roman" w:cs="Times New Roman" w:eastAsia="Times New Roman" w:hAnsi="Times New Roman"/>
          <w:sz w:val="14"/>
          <w:szCs w:val="14"/>
          <w:color w:val="auto"/>
        </w:rPr>
        <w:t>Sean Deason</w:t>
      </w:r>
    </w:p>
    <w:p>
      <w:pPr>
        <w:spacing w:after="0" w:line="1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p>
      <w:pPr>
        <w:spacing w:after="0" w:line="23"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p>
    <w:sectPr>
      <w:pgSz w:w="11900" w:h="16838" w:orient="portrait"/>
      <w:cols w:equalWidth="0" w:num="1">
        <w:col w:w="11280"/>
      </w:cols>
      <w:pgMar w:left="300" w:top="6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2"/>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0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64" Type="http://schemas.openxmlformats.org/officeDocument/2006/relationships/hyperlink" Target="https://www.sec.gov/Archives/edgar/data/1735707/000173570724000044/exhibit3_1-garrettmotionxt.htm" TargetMode="External"/><Relationship Id="rId65" Type="http://schemas.openxmlformats.org/officeDocument/2006/relationships/hyperlink" Target="https://www.sec.gov/ix?doc=/Archives/edgar/data/1735707/000173570724000044/gtx-202406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2024-10-24T06:11:53Z</dcterms:created>
  <dcterms:modified xsi:type="dcterms:W3CDTF">2024-10-24T06:11:53Z</dcterms:modified>
</cp:coreProperties>
</file>