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518160</wp:posOffset>
            </wp:positionH>
            <wp:positionV relativeFrom="page">
              <wp:posOffset>690880</wp:posOffset>
            </wp:positionV>
            <wp:extent cx="6885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6985"/>
                    </a:xfrm>
                    <a:prstGeom prst="rect">
                      <a:avLst/>
                    </a:prstGeom>
                    <a:noFill/>
                  </pic:spPr>
                </pic:pic>
              </a:graphicData>
            </a:graphic>
          </wp:anchor>
        </w:drawing>
        <w:drawing>
          <wp:anchor simplePos="0" relativeHeight="251657728" behindDoc="1" locked="0" layoutInCell="0" allowOverlap="1">
            <wp:simplePos x="0" y="0"/>
            <wp:positionH relativeFrom="page">
              <wp:posOffset>518160</wp:posOffset>
            </wp:positionH>
            <wp:positionV relativeFrom="page">
              <wp:posOffset>711200</wp:posOffset>
            </wp:positionV>
            <wp:extent cx="6885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698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3" w:lineRule="exact"/>
        <w:rPr>
          <w:sz w:val="24"/>
          <w:szCs w:val="24"/>
          <w:color w:val="auto"/>
        </w:rPr>
      </w:pPr>
    </w:p>
    <w:p>
      <w:pPr>
        <w:ind w:left="820" w:hanging="494"/>
        <w:spacing w:after="0"/>
        <w:tabs>
          <w:tab w:leader="none" w:pos="8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14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820" w:hanging="494"/>
        <w:spacing w:after="0"/>
        <w:tabs>
          <w:tab w:leader="none" w:pos="8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color w:val="222222"/>
        </w:rPr>
        <w:t>001-38636</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Garrett Motion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ectPr>
          <w:pgSz w:w="11900" w:h="16838" w:orient="portrait"/>
          <w:cols w:equalWidth="0" w:num="1">
            <w:col w:w="11360"/>
          </w:cols>
          <w:pgMar w:left="300" w:top="1188" w:right="239" w:bottom="1440" w:gutter="0" w:footer="0" w:header="0"/>
        </w:sectPr>
      </w:pPr>
    </w:p>
    <w:p>
      <w:pPr>
        <w:spacing w:after="0" w:line="185"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82-4873189</w:t>
      </w:r>
    </w:p>
    <w:p>
      <w:pPr>
        <w:spacing w:after="0" w:line="25" w:lineRule="exact"/>
        <w:rPr>
          <w:sz w:val="24"/>
          <w:szCs w:val="24"/>
          <w:color w:val="auto"/>
        </w:rPr>
      </w:pPr>
    </w:p>
    <w:p>
      <w:pPr>
        <w:sectPr>
          <w:pgSz w:w="11900" w:h="16838" w:orient="portrait"/>
          <w:cols w:equalWidth="0" w:num="2">
            <w:col w:w="7640" w:space="720"/>
            <w:col w:w="3000"/>
          </w:cols>
          <w:pgMar w:left="300" w:top="1188" w:right="239" w:bottom="1440" w:gutter="0" w:footer="0" w:header="0"/>
          <w:type w:val="continuous"/>
        </w:sectPr>
      </w:pPr>
    </w:p>
    <w:p>
      <w:pPr>
        <w:spacing w:after="0" w:line="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9"/>
          <w:szCs w:val="9"/>
          <w:color w:val="auto"/>
        </w:rPr>
        <w:t>(State or other jurisdiction of</w:t>
      </w:r>
    </w:p>
    <w:p>
      <w:pPr>
        <w:spacing w:after="0" w:line="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9"/>
          <w:szCs w:val="9"/>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color w:val="auto"/>
        </w:rPr>
        <w:t>(I.R.S. Employer</w:t>
      </w:r>
    </w:p>
    <w:p>
      <w:pPr>
        <w:spacing w:after="0"/>
        <w:rPr>
          <w:sz w:val="20"/>
          <w:szCs w:val="20"/>
          <w:color w:val="auto"/>
        </w:rPr>
      </w:pPr>
      <w:r>
        <w:rPr>
          <w:rFonts w:ascii="Times New Roman" w:cs="Times New Roman" w:eastAsia="Times New Roman" w:hAnsi="Times New Roman"/>
          <w:sz w:val="9"/>
          <w:szCs w:val="9"/>
          <w:color w:val="auto"/>
        </w:rPr>
        <w:t>Identification No.)</w:t>
      </w:r>
    </w:p>
    <w:p>
      <w:pPr>
        <w:spacing w:after="0" w:line="160" w:lineRule="exact"/>
        <w:rPr>
          <w:sz w:val="24"/>
          <w:szCs w:val="24"/>
          <w:color w:val="auto"/>
        </w:rPr>
      </w:pPr>
    </w:p>
    <w:p>
      <w:pPr>
        <w:sectPr>
          <w:pgSz w:w="11900" w:h="16838" w:orient="portrait"/>
          <w:cols w:equalWidth="0" w:num="2">
            <w:col w:w="7600" w:space="720"/>
            <w:col w:w="3040"/>
          </w:cols>
          <w:pgMar w:left="300" w:top="1188" w:right="2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and</w:t>
      </w:r>
    </w:p>
    <w:p>
      <w:pPr>
        <w:spacing w:after="0" w:line="3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200" w:lineRule="exact"/>
        <w:rPr>
          <w:sz w:val="24"/>
          <w:szCs w:val="24"/>
          <w:color w:val="auto"/>
        </w:rPr>
      </w:pPr>
    </w:p>
    <w:p>
      <w:pPr>
        <w:spacing w:after="0" w:line="2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+1 734 392 5500</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and</w:t>
      </w:r>
    </w:p>
    <w:p>
      <w:pPr>
        <w:spacing w:after="0" w:line="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+41 21 695 30 00</w:t>
      </w:r>
    </w:p>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ectPr>
          <w:pgSz w:w="11900" w:h="16838" w:orient="portrait"/>
          <w:cols w:equalWidth="0" w:num="1">
            <w:col w:w="11360"/>
          </w:cols>
          <w:pgMar w:left="300" w:top="1188" w:right="23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3" w:lineRule="exact"/>
        <w:rPr>
          <w:sz w:val="24"/>
          <w:szCs w:val="24"/>
          <w:color w:val="auto"/>
        </w:rPr>
      </w:pPr>
    </w:p>
    <w:tbl>
      <w:tblPr>
        <w:tblLayout w:type="fixed"/>
        <w:tblInd w:w="330" w:type="dxa"/>
        <w:tblCellMar>
          <w:top w:w="0" w:type="dxa"/>
          <w:left w:w="0" w:type="dxa"/>
          <w:bottom w:w="0" w:type="dxa"/>
          <w:right w:w="0" w:type="dxa"/>
        </w:tblCellMar>
      </w:tblPr>
      <w:tr>
        <w:trPr>
          <w:trHeight w:val="179"/>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20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4"/>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w:t>
            </w:r>
          </w:p>
        </w:tc>
        <w:tc>
          <w:tcPr>
            <w:tcW w:w="42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2" w:lineRule="exact"/>
        <w:rPr>
          <w:sz w:val="24"/>
          <w:szCs w:val="24"/>
          <w:color w:val="auto"/>
        </w:rPr>
      </w:pPr>
    </w:p>
    <w:p>
      <w:pPr>
        <w:ind w:right="24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56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380" w:firstLine="319"/>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Accelerated filer</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w w:val="96"/>
              </w:rPr>
              <w:t>Smaller reporting company</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spacing w:after="0"/>
              <w:rPr>
                <w:sz w:val="24"/>
                <w:szCs w:val="24"/>
                <w:color w:val="auto"/>
              </w:rPr>
            </w:pPr>
          </w:p>
        </w:tc>
      </w:tr>
    </w:tbl>
    <w:p>
      <w:pPr>
        <w:spacing w:after="0" w:line="208" w:lineRule="exact"/>
        <w:rPr>
          <w:sz w:val="24"/>
          <w:szCs w:val="24"/>
          <w:color w:val="auto"/>
        </w:rPr>
      </w:pPr>
    </w:p>
    <w:p>
      <w:pPr>
        <w:ind w:right="80" w:firstLine="319"/>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3" w:lineRule="exact"/>
        <w:rPr>
          <w:sz w:val="24"/>
          <w:szCs w:val="24"/>
          <w:color w:val="auto"/>
        </w:rPr>
      </w:pPr>
    </w:p>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right="22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October 17, 2025, the registrant had 194,482,518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656590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135255</wp:posOffset>
            </wp:positionV>
            <wp:extent cx="70142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698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155575</wp:posOffset>
            </wp:positionV>
            <wp:extent cx="7014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6985"/>
                    </a:xfrm>
                    <a:prstGeom prst="rect">
                      <a:avLst/>
                    </a:prstGeom>
                    <a:noFill/>
                  </pic:spPr>
                </pic:pic>
              </a:graphicData>
            </a:graphic>
          </wp:anchor>
        </w:drawing>
      </w:r>
    </w:p>
    <w:p>
      <w:pPr>
        <w:sectPr>
          <w:pgSz w:w="11900" w:h="16838" w:orient="portrait"/>
          <w:cols w:equalWidth="0" w:num="1">
            <w:col w:w="11360"/>
          </w:cols>
          <w:pgMar w:left="300" w:top="11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5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1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PART I.</w:t>
            </w:r>
          </w:p>
        </w:tc>
        <w:tc>
          <w:tcPr>
            <w:tcW w:w="17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740" w:type="dxa"/>
            <w:vAlign w:val="bottom"/>
            <w:gridSpan w:val="14"/>
          </w:tcPr>
          <w:p>
            <w:pPr>
              <w:spacing w:after="0"/>
              <w:rPr>
                <w:sz w:val="13"/>
                <w:szCs w:val="13"/>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Interim Statements of Operations (Unaudited)</w:t>
            </w:r>
          </w:p>
        </w:tc>
        <w:tc>
          <w:tcPr>
            <w:tcW w:w="6120" w:type="dxa"/>
            <w:vAlign w:val="bottom"/>
            <w:gridSpan w:val="9"/>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Consolidated Interim Statements of Comprehensive Income (Unaudited)</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Interim Balance Sheets (Unaudited)</w:t>
            </w:r>
          </w:p>
        </w:tc>
        <w:tc>
          <w:tcPr>
            <w:tcW w:w="5400" w:type="dxa"/>
            <w:vAlign w:val="bottom"/>
            <w:gridSpan w:val="3"/>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Interim Statements of Cash Flows (Unaudited)</w:t>
            </w:r>
          </w:p>
        </w:tc>
        <w:tc>
          <w:tcPr>
            <w:tcW w:w="6060" w:type="dxa"/>
            <w:vAlign w:val="bottom"/>
            <w:gridSpan w:val="6"/>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Interim Statements of Equity (Deficit) (Unaudited)</w:t>
            </w:r>
          </w:p>
        </w:tc>
        <w:tc>
          <w:tcPr>
            <w:tcW w:w="5840" w:type="dxa"/>
            <w:vAlign w:val="bottom"/>
            <w:gridSpan w:val="4"/>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 xml:space="preserve">Notes to Consolidated Interim Financial Statements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20" w:type="dxa"/>
            <w:vAlign w:val="bottom"/>
            <w:gridSpan w:val="2"/>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080" w:type="dxa"/>
            <w:vAlign w:val="bottom"/>
            <w:gridSpan w:val="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00" w:type="dxa"/>
            <w:vAlign w:val="bottom"/>
            <w:gridSpan w:val="16"/>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tcBorders>
              <w:top w:val="single" w:sz="8" w:color="0000FF"/>
            </w:tcBorders>
            <w:gridSpan w:val="3"/>
          </w:tcPr>
          <w:p>
            <w:pPr>
              <w:spacing w:after="0"/>
              <w:rPr>
                <w:sz w:val="15"/>
                <w:szCs w:val="15"/>
                <w:color w:val="auto"/>
              </w:rPr>
            </w:pPr>
          </w:p>
        </w:tc>
        <w:tc>
          <w:tcPr>
            <w:tcW w:w="8040" w:type="dxa"/>
            <w:vAlign w:val="bottom"/>
            <w:gridSpan w:val="15"/>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00" w:type="dxa"/>
            <w:vAlign w:val="bottom"/>
            <w:gridSpan w:val="20"/>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5"/>
          </w:tcPr>
          <w:p>
            <w:pPr>
              <w:spacing w:after="0"/>
              <w:rPr>
                <w:sz w:val="15"/>
                <w:szCs w:val="15"/>
                <w:color w:val="auto"/>
              </w:rPr>
            </w:pPr>
          </w:p>
        </w:tc>
        <w:tc>
          <w:tcPr>
            <w:tcW w:w="6100" w:type="dxa"/>
            <w:vAlign w:val="bottom"/>
            <w:gridSpan w:val="8"/>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120" w:type="dxa"/>
            <w:vAlign w:val="bottom"/>
            <w:gridSpan w:val="1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80" w:type="dxa"/>
            <w:vAlign w:val="bottom"/>
            <w:gridSpan w:val="19"/>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52070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2" w:name="page3"/>
    <w:bookmarkEnd w:id="2"/>
    <w:p>
      <w:pPr>
        <w:ind w:left="456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OPERATIONS</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4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40" w:type="dxa"/>
            <w:vAlign w:val="bottom"/>
          </w:tcPr>
          <w:p>
            <w:pPr>
              <w:spacing w:after="0"/>
              <w:rPr>
                <w:sz w:val="12"/>
                <w:szCs w:val="12"/>
                <w:color w:val="auto"/>
              </w:rPr>
            </w:pPr>
          </w:p>
        </w:tc>
      </w:tr>
      <w:tr>
        <w:trPr>
          <w:trHeight w:val="30"/>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2"/>
        </w:trPr>
        <w:tc>
          <w:tcPr>
            <w:tcW w:w="4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 amounts)</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r>
      <w:tr>
        <w:trPr>
          <w:trHeight w:val="19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w:t>
            </w: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equity investment (Note 22)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expense (Note 5)</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1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r>
      <w:tr>
        <w:trPr>
          <w:trHeight w:val="213"/>
        </w:trPr>
        <w:tc>
          <w:tcPr>
            <w:tcW w:w="4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198,668,143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217,283,749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202,127,953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226,057,803</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202,194,334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218,403,681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205,130,616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227,649,747</w:t>
            </w: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00" w:lineRule="exact"/>
        <w:rPr>
          <w:sz w:val="20"/>
          <w:szCs w:val="20"/>
          <w:color w:val="auto"/>
        </w:rPr>
      </w:pPr>
    </w:p>
    <w:p>
      <w:pPr>
        <w:spacing w:after="0" w:line="28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762" w:right="65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COMPREHENSIVE INCOME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80" w:type="dxa"/>
            <w:vAlign w:val="bottom"/>
          </w:tcPr>
          <w:p>
            <w:pPr>
              <w:spacing w:after="0"/>
              <w:rPr>
                <w:sz w:val="12"/>
                <w:szCs w:val="12"/>
                <w:color w:val="auto"/>
              </w:rPr>
            </w:pPr>
          </w:p>
        </w:tc>
      </w:tr>
      <w:tr>
        <w:trPr>
          <w:trHeight w:val="159"/>
        </w:trPr>
        <w:tc>
          <w:tcPr>
            <w:tcW w:w="4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80" w:type="dxa"/>
            <w:vAlign w:val="bottom"/>
            <w:tcBorders>
              <w:bottom w:val="single" w:sz="8" w:color="auto"/>
            </w:tcBorders>
          </w:tcPr>
          <w:p>
            <w:pPr>
              <w:spacing w:after="0"/>
              <w:rPr>
                <w:sz w:val="13"/>
                <w:szCs w:val="13"/>
                <w:color w:val="auto"/>
              </w:rPr>
            </w:pPr>
          </w:p>
        </w:tc>
      </w:tr>
      <w:tr>
        <w:trPr>
          <w:trHeight w:val="161"/>
        </w:trPr>
        <w:tc>
          <w:tcPr>
            <w:tcW w:w="4900" w:type="dxa"/>
            <w:vAlign w:val="bottom"/>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16)</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16)</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 net (Note 6)</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 net (Note 8)</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9)</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14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14)</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14)</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12)</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140" w:type="dxa"/>
            <w:vAlign w:val="bottom"/>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19)</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242,502,188 and 240,987,329 issued and</w:t>
            </w:r>
          </w:p>
        </w:tc>
        <w:tc>
          <w:tcPr>
            <w:tcW w:w="11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195,105,105 and 206,387,938 outstanding as of September 30, 2025 and December 31, 2024, respectively</w:t>
            </w:r>
          </w:p>
        </w:tc>
        <w:tc>
          <w:tcPr>
            <w:tcW w:w="114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(1,452)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income (Note 17)</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47,397,083 and 34,599,391 shares as of September 30, 2025 and December 31, 2024, respectively (Note 15)</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240" w:type="dxa"/>
            <w:vAlign w:val="bottom"/>
            <w:tcBorders>
              <w:bottom w:val="single" w:sz="8" w:color="auto"/>
            </w:tcBorders>
          </w:tcPr>
          <w:p>
            <w:pPr>
              <w:spacing w:after="0"/>
              <w:rPr>
                <w:sz w:val="13"/>
                <w:szCs w:val="13"/>
                <w:color w:val="auto"/>
              </w:rPr>
            </w:pPr>
          </w:p>
        </w:tc>
      </w:tr>
      <w:tr>
        <w:trPr>
          <w:trHeight w:val="161"/>
        </w:trPr>
        <w:tc>
          <w:tcPr>
            <w:tcW w:w="8240" w:type="dxa"/>
            <w:vAlign w:val="bottom"/>
          </w:tcPr>
          <w:p>
            <w:pPr>
              <w:spacing w:after="0"/>
              <w:rPr>
                <w:sz w:val="14"/>
                <w:szCs w:val="14"/>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4"/>
                <w:szCs w:val="14"/>
                <w:color w:val="auto"/>
              </w:rPr>
            </w:pPr>
          </w:p>
        </w:tc>
      </w:tr>
      <w:tr>
        <w:trPr>
          <w:trHeight w:val="161"/>
        </w:trPr>
        <w:tc>
          <w:tcPr>
            <w:tcW w:w="8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20" w:type="dxa"/>
            <w:vAlign w:val="bottom"/>
            <w:gridSpan w:val="3"/>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3"/>
                <w:szCs w:val="13"/>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issuance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Gain on sale of equity investment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exchange gain</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Pension expense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loss on derivatives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7"/>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notes and other receivables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property, plant and equipment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cross-currency swap contracts</w:t>
            </w: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19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Proceeds from sale of equity investment</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for) provided by investing activities</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spacing w:after="0"/>
              <w:rPr>
                <w:sz w:val="17"/>
                <w:szCs w:val="17"/>
                <w:color w:val="auto"/>
              </w:rPr>
            </w:pPr>
          </w:p>
        </w:tc>
      </w:tr>
      <w:tr>
        <w:trPr>
          <w:trHeight w:val="165"/>
        </w:trPr>
        <w:tc>
          <w:tcPr>
            <w:tcW w:w="8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long-term debt, net of debt financing costs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long-term debt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Excise tax on Common Stock repurchase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payments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for debt and revolving facility financing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9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financing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cash equivalents and restricted cash</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6"/>
                <w:szCs w:val="16"/>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6" w:name="page7"/>
    <w:bookmarkEnd w:id="6"/>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EQUITY (DEFICIT)</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40" w:type="dxa"/>
            <w:vAlign w:val="bottom"/>
          </w:tcPr>
          <w:p>
            <w:pPr>
              <w:spacing w:after="0"/>
              <w:rPr>
                <w:sz w:val="11"/>
                <w:szCs w:val="11"/>
                <w:color w:val="auto"/>
              </w:rPr>
            </w:pPr>
          </w:p>
        </w:tc>
        <w:tc>
          <w:tcPr>
            <w:tcW w:w="16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11"/>
                <w:szCs w:val="11"/>
                <w:color w:val="auto"/>
              </w:rPr>
            </w:pPr>
          </w:p>
        </w:tc>
        <w:tc>
          <w:tcPr>
            <w:tcW w:w="1600" w:type="dxa"/>
            <w:vAlign w:val="bottom"/>
            <w:gridSpan w:val="4"/>
            <w:vMerge w:val="restart"/>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380" w:type="dxa"/>
            <w:vAlign w:val="bottom"/>
            <w:gridSpan w:val="3"/>
          </w:tcPr>
          <w:p>
            <w:pPr>
              <w:jc w:val="right"/>
              <w:ind w:right="12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 Income /</w:t>
            </w:r>
          </w:p>
        </w:tc>
        <w:tc>
          <w:tcPr>
            <w:tcW w:w="220" w:type="dxa"/>
            <w:vAlign w:val="bottom"/>
          </w:tcPr>
          <w:p>
            <w:pPr>
              <w:spacing w:after="0"/>
              <w:rPr>
                <w:sz w:val="10"/>
                <w:szCs w:val="10"/>
                <w:color w:val="auto"/>
              </w:rPr>
            </w:pPr>
          </w:p>
        </w:tc>
        <w:tc>
          <w:tcPr>
            <w:tcW w:w="780" w:type="dxa"/>
            <w:vAlign w:val="bottom"/>
          </w:tcPr>
          <w:p>
            <w:pPr>
              <w:jc w:val="right"/>
              <w:ind w:right="317"/>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6"/>
        </w:trPr>
        <w:tc>
          <w:tcPr>
            <w:tcW w:w="3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7"/>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June 30, 2025</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6"/>
        </w:trPr>
        <w:tc>
          <w:tcPr>
            <w:tcW w:w="3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September 30, 2025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762" w:right="8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8"/>
        </w:trPr>
        <w:tc>
          <w:tcPr>
            <w:tcW w:w="3040" w:type="dxa"/>
            <w:vAlign w:val="bottom"/>
          </w:tcPr>
          <w:p>
            <w:pPr>
              <w:spacing w:after="0"/>
              <w:rPr>
                <w:sz w:val="11"/>
                <w:szCs w:val="11"/>
                <w:color w:val="auto"/>
              </w:rPr>
            </w:pPr>
          </w:p>
        </w:tc>
        <w:tc>
          <w:tcPr>
            <w:tcW w:w="16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11"/>
                <w:szCs w:val="11"/>
                <w:color w:val="auto"/>
              </w:rPr>
            </w:pPr>
          </w:p>
        </w:tc>
        <w:tc>
          <w:tcPr>
            <w:tcW w:w="1600" w:type="dxa"/>
            <w:vAlign w:val="bottom"/>
            <w:gridSpan w:val="4"/>
            <w:vMerge w:val="restart"/>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0"/>
                <w:szCs w:val="10"/>
                <w:color w:val="auto"/>
              </w:rPr>
            </w:pPr>
          </w:p>
        </w:tc>
        <w:tc>
          <w:tcPr>
            <w:tcW w:w="130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 (Loss) /</w:t>
            </w:r>
          </w:p>
        </w:tc>
        <w:tc>
          <w:tcPr>
            <w:tcW w:w="220" w:type="dxa"/>
            <w:vAlign w:val="bottom"/>
          </w:tcPr>
          <w:p>
            <w:pPr>
              <w:spacing w:after="0"/>
              <w:rPr>
                <w:sz w:val="10"/>
                <w:szCs w:val="10"/>
                <w:color w:val="auto"/>
              </w:rPr>
            </w:pPr>
          </w:p>
        </w:tc>
        <w:tc>
          <w:tcPr>
            <w:tcW w:w="780" w:type="dxa"/>
            <w:vAlign w:val="bottom"/>
          </w:tcPr>
          <w:p>
            <w:pPr>
              <w:jc w:val="right"/>
              <w:ind w:right="317"/>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7"/>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2024</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6"/>
        </w:trPr>
        <w:tc>
          <w:tcPr>
            <w:tcW w:w="3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June 30, 2024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7"/>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1) Common shares issued less treasury shares equals common shares outstanding</w:t>
      </w:r>
    </w:p>
    <w:p>
      <w:pPr>
        <w:spacing w:after="0" w:line="15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231F20"/>
        </w:rPr>
        <w:t>The Notes to the Consolidated Interim Financial Statements are an integral part of this statement.</w:t>
      </w:r>
    </w:p>
    <w:p>
      <w:pPr>
        <w:spacing w:after="0" w:line="29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1079" w:right="859" w:bottom="1440" w:gutter="0" w:footer="0" w:header="0"/>
        </w:sectPr>
      </w:pPr>
    </w:p>
    <w:bookmarkStart w:id="8" w:name="page9"/>
    <w:bookmarkEnd w:id="8"/>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NOTES TO CONSOLIDATED INTERIM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distributors within the mobility and industrial space. We have significant expertise in delivering products at scale for internal combustion engines using gasoline, diesel, natural gas, and hydrogen, as well as for zero-emission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The accompanying unaudited Consolidated Interim Financial Statements have been prepared in accordance with the rules and regulations of the Securities and Exchange Commission ("SEC")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2024 included in our Annual Report on Form 10-K, as filed with the SEC on February 20, 2025 (our “2024 Form 10-K”). The results of operations for the three and nine months ended September 30, 2025 and cash flows for the nine months ended September 30, 2025 should not necessarily be taken as indicative of the entire year. All amounts presented are in millions, except per share amounts.</w:t>
      </w:r>
    </w:p>
    <w:p>
      <w:pPr>
        <w:spacing w:after="0" w:line="283"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1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the Company are set forth in Note 3 to the Consolidated Financial Statements for the year ended December 31, 2024 included in our 2024 Form 10-K.</w:t>
      </w: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December 2023, the FASB issued ASU 2023-09, </w:t>
      </w:r>
      <w:r>
        <w:rPr>
          <w:rFonts w:ascii="Times New Roman" w:cs="Times New Roman" w:eastAsia="Times New Roman" w:hAnsi="Times New Roman"/>
          <w:sz w:val="14"/>
          <w:szCs w:val="14"/>
          <w:i w:val="1"/>
          <w:iCs w:val="1"/>
          <w:color w:val="231F20"/>
        </w:rPr>
        <w:t>Income Taxes (Topic 740): Improvements to Income Tax Disclosures</w:t>
      </w:r>
      <w:r>
        <w:rPr>
          <w:rFonts w:ascii="Times New Roman" w:cs="Times New Roman" w:eastAsia="Times New Roman" w:hAnsi="Times New Roman"/>
          <w:sz w:val="14"/>
          <w:szCs w:val="14"/>
          <w:color w:val="231F20"/>
        </w:rPr>
        <w:t>. The amendments in this update increase the transparency around income tax information through improvements to disclosures primarily related to the rate reconciliation and income taxes paid information. The Company adopted the new guidance prospectively as of January 1,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But Not Yet Adopted</w:t>
      </w:r>
    </w:p>
    <w:p>
      <w:pPr>
        <w:spacing w:after="0" w:line="150"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color w:val="231F20"/>
        </w:rPr>
        <w:t xml:space="preserve">In March 2024, the SEC adopted a final rule under SEC Release No. 33-11275, </w:t>
      </w:r>
      <w:r>
        <w:rPr>
          <w:rFonts w:ascii="Times New Roman" w:cs="Times New Roman" w:eastAsia="Times New Roman" w:hAnsi="Times New Roman"/>
          <w:sz w:val="14"/>
          <w:szCs w:val="14"/>
          <w:i w:val="1"/>
          <w:iCs w:val="1"/>
          <w:color w:val="231F20"/>
        </w:rPr>
        <w:t>The Enhancement and Standardization of Climate-Related Disclosures for Investors</w:t>
      </w:r>
      <w:r>
        <w:rPr>
          <w:rFonts w:ascii="Times New Roman" w:cs="Times New Roman" w:eastAsia="Times New Roman" w:hAnsi="Times New Roman"/>
          <w:sz w:val="14"/>
          <w:szCs w:val="14"/>
          <w:color w:val="231F20"/>
        </w:rPr>
        <w:t>, to enhance and standardize climate-related disclosures. The rule will require companies to disclose material Scope 1 and Scope 2 greenhouse gas emissions; climate-related risks, governance, and oversight; and the financial effects of severe weather events and other natural conditions. These disclosures are required to be phased in starting with annual reporting periods beginning in 2025; however, this rule has been stayed pending the outcome of legal challenges, and on March 27, 2025, the SEC withdrew its legal defense of the rule. The Company is currently evaluating the guidance to determine the impact of adoption on its disclosures in the event that the stay is lifted.</w:t>
      </w:r>
    </w:p>
    <w:p>
      <w:pPr>
        <w:spacing w:after="0" w:line="119"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November 2024, the FASB issued ASU 2024-03, </w:t>
      </w:r>
      <w:r>
        <w:rPr>
          <w:rFonts w:ascii="Times New Roman" w:cs="Times New Roman" w:eastAsia="Times New Roman" w:hAnsi="Times New Roman"/>
          <w:sz w:val="14"/>
          <w:szCs w:val="14"/>
          <w:i w:val="1"/>
          <w:iCs w:val="1"/>
          <w:color w:val="231F20"/>
        </w:rPr>
        <w:t>Income Statement</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Reporting Comprehensive Income</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Expense Disaggregation Disclosures (Subtopic 220-40): Disaggregation of Income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 xml:space="preserve">Statement Expenses. </w:t>
      </w:r>
      <w:r>
        <w:rPr>
          <w:rFonts w:ascii="Times New Roman" w:cs="Times New Roman" w:eastAsia="Times New Roman" w:hAnsi="Times New Roman"/>
          <w:sz w:val="14"/>
          <w:szCs w:val="14"/>
          <w:color w:val="231F20"/>
        </w:rPr>
        <w:t>The amendments in this update require disclosure of specified information about certain costs and expenses. The guidance is effective for fiscal years beginning after December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15, 2026 on a prospective basis. Early adoption is permitted. The Company is currently evaluating the guidance to determine the impact on its disclosures.</w:t>
      </w:r>
    </w:p>
    <w:p>
      <w:pPr>
        <w:spacing w:after="0" w:line="10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September 2025, FASB issued ASU 2025-06, </w:t>
      </w:r>
      <w:r>
        <w:rPr>
          <w:rFonts w:ascii="Times New Roman" w:cs="Times New Roman" w:eastAsia="Times New Roman" w:hAnsi="Times New Roman"/>
          <w:sz w:val="14"/>
          <w:szCs w:val="14"/>
          <w:i w:val="1"/>
          <w:iCs w:val="1"/>
          <w:color w:val="231F20"/>
        </w:rPr>
        <w:t>Intangibles</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Goodwill and Other</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Internal Use Software (Subtopic 350-40): Targeted Improvements to the Accounting for Internal-Use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 xml:space="preserve">Software. </w:t>
      </w:r>
      <w:r>
        <w:rPr>
          <w:rFonts w:ascii="Times New Roman" w:cs="Times New Roman" w:eastAsia="Times New Roman" w:hAnsi="Times New Roman"/>
          <w:sz w:val="14"/>
          <w:szCs w:val="14"/>
          <w:color w:val="231F20"/>
        </w:rPr>
        <w:t>The amendments revise the capitalization criteria for internal-use software costs and eliminate stage-based development guidance. The update is effective for fiscal years beginning after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December 15, 2027, with early adoption permitted. The Company is currently evaluating the guidance to determine the impact on its accounting policies and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are no other recently issued, but not yet adopted, accounting pronouncements that are expected to have a material impact on the Company's Consolidated Interim Financial Statements and related disclosures.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Net sales by region (determined based on country of shipment) and channel is included in Note 21, </w:t>
      </w:r>
      <w:r>
        <w:rPr>
          <w:rFonts w:ascii="Times New Roman" w:cs="Times New Roman" w:eastAsia="Times New Roman" w:hAnsi="Times New Roman"/>
          <w:sz w:val="14"/>
          <w:szCs w:val="14"/>
          <w:i w:val="1"/>
          <w:iCs w:val="1"/>
          <w:color w:val="auto"/>
        </w:rPr>
        <w:t>Segments and Concentrations</w:t>
      </w:r>
      <w:r>
        <w:rPr>
          <w:rFonts w:ascii="Times New Roman" w:cs="Times New Roman" w:eastAsia="Times New Roman" w:hAnsi="Times New Roman"/>
          <w:sz w:val="14"/>
          <w:szCs w:val="14"/>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Contract assets—September 30</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vMerge w:val="continue"/>
          </w:tcPr>
          <w:p>
            <w:pPr>
              <w:spacing w:after="0"/>
              <w:rPr>
                <w:sz w:val="14"/>
                <w:szCs w:val="14"/>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liabilities—September 30</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liabilities—Decrease/(Increase)</w:t>
            </w:r>
          </w:p>
        </w:tc>
        <w:tc>
          <w:tcPr>
            <w:tcW w:w="10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Research, Development and Engineering</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Garrett conducts research, development, and engineering (“RD&amp;E”) activities, which consist primarily of the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231F20"/>
        </w:rPr>
        <w:t>development of new products and product applications. RD&amp;E costs are charged to expense as incurred unless the Company has a contractual guarantee for reimbursement from the customer.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Customer  reimbursements  are  netted  against  gross  RD&amp;E  expenditures  as  they  are  considered  a  recovery  of  cost.  Such  costs  are  included  in  Cost  of  goods  sold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59"/>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center"/>
              <w:ind w:left="255"/>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138</w:t>
            </w:r>
          </w:p>
        </w:tc>
      </w:tr>
      <w:tr>
        <w:trPr>
          <w:trHeight w:val="202"/>
        </w:trPr>
        <w:tc>
          <w:tcPr>
            <w:tcW w:w="4680" w:type="dxa"/>
            <w:vAlign w:val="bottom"/>
            <w:tcBorders>
              <w:bottom w:val="single" w:sz="8" w:color="CFF0FC"/>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Engineering-related expenses, net </w:t>
            </w:r>
            <w:r>
              <w:rPr>
                <w:rFonts w:ascii="Times New Roman" w:cs="Times New Roman" w:eastAsia="Times New Roman" w:hAnsi="Times New Roman"/>
                <w:sz w:val="18"/>
                <w:szCs w:val="18"/>
                <w:color w:val="auto"/>
                <w:vertAlign w:val="superscript"/>
              </w:rPr>
              <w:t>(1)</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left="215"/>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(6)</w:t>
            </w:r>
          </w:p>
        </w:tc>
        <w:tc>
          <w:tcPr>
            <w:tcW w:w="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(10)</w:t>
            </w:r>
          </w:p>
        </w:tc>
      </w:tr>
      <w:tr>
        <w:trPr>
          <w:trHeight w:val="212"/>
        </w:trPr>
        <w:tc>
          <w:tcPr>
            <w:tcW w:w="46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center"/>
              <w:ind w:left="255"/>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128</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55"/>
        <w:spacing w:after="0" w:line="289" w:lineRule="auto"/>
        <w:tabs>
          <w:tab w:leader="none" w:pos="6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Engineering-related expenses are net of customer reimbursements and costs capitalized from contractual guarantees of reimbursement of $23 million and $17 million for the three months ended September 30, 2025 and 2024, respectively, and $48 million and $41 million for the nine months ended September 30, 2025 and 2024, respectively.</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Certain engineering expenses related to long-term supply arrangements are capitalized when defined criteria, such as the existence of a contractual guarantee for reimbursement, are met. As of </w:t>
      </w:r>
      <w:r>
        <w:rPr>
          <w:rFonts w:ascii="Times New Roman" w:cs="Times New Roman" w:eastAsia="Times New Roman" w:hAnsi="Times New Roman"/>
          <w:sz w:val="14"/>
          <w:szCs w:val="14"/>
          <w:color w:val="000000"/>
        </w:rPr>
        <w:t xml:space="preserve">September 30, 2025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December 31, 2024</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$49 million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$29 million</w:t>
      </w:r>
      <w:r>
        <w:rPr>
          <w:rFonts w:ascii="Times New Roman" w:cs="Times New Roman" w:eastAsia="Times New Roman" w:hAnsi="Times New Roman"/>
          <w:sz w:val="14"/>
          <w:szCs w:val="14"/>
          <w:color w:val="231F20"/>
        </w:rPr>
        <w:t>, respectively, of such contractually reimbursable costs were capitalized. These amounts are recorded within Other current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assets and Other assets in the Consolidated Interim Balance Sheet.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Income Taxes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Borders>
              <w:bottom w:val="single" w:sz="8" w:color="auto"/>
            </w:tcBorders>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4"/>
                <w:szCs w:val="14"/>
                <w:color w:val="auto"/>
              </w:rPr>
              <w:t>25</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63</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62</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r>
    </w:tbl>
    <w:p>
      <w:pPr>
        <w:spacing w:after="0" w:line="263"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rates for the three months ended </w:t>
      </w:r>
      <w:r>
        <w:rPr>
          <w:rFonts w:ascii="Times New Roman" w:cs="Times New Roman" w:eastAsia="Times New Roman" w:hAnsi="Times New Roman"/>
          <w:sz w:val="14"/>
          <w:szCs w:val="14"/>
          <w:color w:val="000000"/>
        </w:rPr>
        <w:t>September 30, 2025</w:t>
      </w:r>
      <w:r>
        <w:rPr>
          <w:rFonts w:ascii="Times New Roman" w:cs="Times New Roman" w:eastAsia="Times New Roman" w:hAnsi="Times New Roman"/>
          <w:sz w:val="14"/>
          <w:szCs w:val="14"/>
          <w:color w:val="231F20"/>
        </w:rPr>
        <w:t xml:space="preserve"> and 2024 were 24.5% and 31.6%, respectively. The effective tax rates for the nine months ended </w:t>
      </w:r>
      <w:r>
        <w:rPr>
          <w:rFonts w:ascii="Times New Roman" w:cs="Times New Roman" w:eastAsia="Times New Roman" w:hAnsi="Times New Roman"/>
          <w:sz w:val="14"/>
          <w:szCs w:val="14"/>
          <w:color w:val="000000"/>
        </w:rPr>
        <w:t>September 30, 2025</w:t>
      </w:r>
      <w:r>
        <w:rPr>
          <w:rFonts w:ascii="Times New Roman" w:cs="Times New Roman" w:eastAsia="Times New Roman" w:hAnsi="Times New Roman"/>
          <w:sz w:val="14"/>
          <w:szCs w:val="14"/>
          <w:color w:val="231F20"/>
        </w:rPr>
        <w:t xml:space="preserve"> and 2024 were 21.8% and 25.4%, respectively.</w:t>
      </w:r>
    </w:p>
    <w:p>
      <w:pPr>
        <w:spacing w:after="0" w:line="134"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three months ended </w:t>
      </w:r>
      <w:r>
        <w:rPr>
          <w:rFonts w:ascii="Times New Roman" w:cs="Times New Roman" w:eastAsia="Times New Roman" w:hAnsi="Times New Roman"/>
          <w:sz w:val="14"/>
          <w:szCs w:val="14"/>
          <w:color w:val="000000"/>
        </w:rPr>
        <w:t>September 30, 2025</w:t>
      </w:r>
      <w:r>
        <w:rPr>
          <w:rFonts w:ascii="Times New Roman" w:cs="Times New Roman" w:eastAsia="Times New Roman" w:hAnsi="Times New Roman"/>
          <w:sz w:val="14"/>
          <w:szCs w:val="14"/>
          <w:color w:val="231F20"/>
        </w:rPr>
        <w:t xml:space="preserve"> compared to the prior period is primarily related to a decrease in U.S. taxes on international operations and the global mix of earnings.</w:t>
      </w:r>
    </w:p>
    <w:p>
      <w:pPr>
        <w:spacing w:after="0" w:line="156"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nine months ended </w:t>
      </w:r>
      <w:r>
        <w:rPr>
          <w:rFonts w:ascii="Times New Roman" w:cs="Times New Roman" w:eastAsia="Times New Roman" w:hAnsi="Times New Roman"/>
          <w:sz w:val="14"/>
          <w:szCs w:val="14"/>
          <w:color w:val="000000"/>
        </w:rPr>
        <w:t>September 30, 2025</w:t>
      </w:r>
      <w:r>
        <w:rPr>
          <w:rFonts w:ascii="Times New Roman" w:cs="Times New Roman" w:eastAsia="Times New Roman" w:hAnsi="Times New Roman"/>
          <w:sz w:val="14"/>
          <w:szCs w:val="14"/>
          <w:color w:val="231F20"/>
        </w:rPr>
        <w:t xml:space="preserve"> compared to the prior period is primarily related to a one-time benefit attributable to the revaluation of deferred tax assets in China.</w:t>
      </w:r>
    </w:p>
    <w:p>
      <w:pPr>
        <w:spacing w:after="0" w:line="14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 for the three months ended </w:t>
      </w:r>
      <w:r>
        <w:rPr>
          <w:rFonts w:ascii="Times New Roman" w:cs="Times New Roman" w:eastAsia="Times New Roman" w:hAnsi="Times New Roman"/>
          <w:sz w:val="14"/>
          <w:szCs w:val="14"/>
          <w:color w:val="000000"/>
        </w:rPr>
        <w:t>September 30, 2025</w:t>
      </w:r>
      <w:r>
        <w:rPr>
          <w:rFonts w:ascii="Times New Roman" w:cs="Times New Roman" w:eastAsia="Times New Roman" w:hAnsi="Times New Roman"/>
          <w:sz w:val="14"/>
          <w:szCs w:val="14"/>
          <w:color w:val="231F20"/>
        </w:rPr>
        <w:t xml:space="preserve"> was higher than the U.S. federal statutory rate of 21% primarily because of U.S. taxes on international operations partially offset by lower taxes on non-U.S. earnings and global research and development benefits.</w:t>
      </w:r>
    </w:p>
    <w:p>
      <w:pPr>
        <w:spacing w:after="0" w:line="145"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231F20"/>
        </w:rPr>
        <w:t xml:space="preserve">The effective tax rate for the nine months ended </w:t>
      </w:r>
      <w:r>
        <w:rPr>
          <w:rFonts w:ascii="Times New Roman" w:cs="Times New Roman" w:eastAsia="Times New Roman" w:hAnsi="Times New Roman"/>
          <w:sz w:val="14"/>
          <w:szCs w:val="14"/>
          <w:color w:val="000000"/>
        </w:rPr>
        <w:t>September 30, 2025</w:t>
      </w:r>
      <w:r>
        <w:rPr>
          <w:rFonts w:ascii="Times New Roman" w:cs="Times New Roman" w:eastAsia="Times New Roman" w:hAnsi="Times New Roman"/>
          <w:sz w:val="14"/>
          <w:szCs w:val="14"/>
          <w:color w:val="231F20"/>
        </w:rPr>
        <w:t xml:space="preserve"> was higher than the U.S. federal statutory rate of 21% primarily because of U.S. taxes on international operations. This increase was partially offset by a one-time benefit attributable to the revaluation of deferred tax assets in China as well as lower taxes on non-U.S. earnings and global research and development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Accounts, Notes and Other Receivables—Net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14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center"/>
              <w:ind w:right="379"/>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000" w:type="dxa"/>
            <w:vAlign w:val="bottom"/>
          </w:tcPr>
          <w:p>
            <w:pPr>
              <w:spacing w:after="0"/>
              <w:rPr>
                <w:sz w:val="12"/>
                <w:szCs w:val="12"/>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8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1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608</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3"/>
        </w:trPr>
        <w:tc>
          <w:tcPr>
            <w:tcW w:w="8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Less—Allowance for expected credit losses</w:t>
            </w: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8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0"/>
        </w:trPr>
        <w:tc>
          <w:tcPr>
            <w:tcW w:w="8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336" w:lineRule="auto"/>
        <w:rPr>
          <w:sz w:val="20"/>
          <w:szCs w:val="20"/>
          <w:color w:val="auto"/>
        </w:rPr>
      </w:pPr>
      <w:r>
        <w:rPr>
          <w:rFonts w:ascii="Times New Roman" w:cs="Times New Roman" w:eastAsia="Times New Roman" w:hAnsi="Times New Roman"/>
          <w:sz w:val="14"/>
          <w:szCs w:val="14"/>
          <w:color w:val="auto"/>
        </w:rPr>
        <w:t xml:space="preserve">Trade receivables include $48 million and $40 million of unbilled customer contract asset balances as of </w:t>
      </w:r>
      <w:r>
        <w:rPr>
          <w:rFonts w:ascii="Times New Roman" w:cs="Times New Roman" w:eastAsia="Times New Roman" w:hAnsi="Times New Roman"/>
          <w:sz w:val="14"/>
          <w:szCs w:val="14"/>
          <w:color w:val="231F20"/>
        </w:rPr>
        <w:t>September 30, 2025</w:t>
      </w:r>
      <w:r>
        <w:rPr>
          <w:rFonts w:ascii="Times New Roman" w:cs="Times New Roman" w:eastAsia="Times New Roman" w:hAnsi="Times New Roman"/>
          <w:sz w:val="14"/>
          <w:szCs w:val="14"/>
          <w:color w:val="auto"/>
        </w:rPr>
        <w:t xml:space="preserve"> and December 31, 2024, respectively. These amounts are billed in accordance with the terms of customer contracts to which they relate. See Note 3</w:t>
      </w:r>
      <w:r>
        <w:rPr>
          <w:rFonts w:ascii="Times New Roman" w:cs="Times New Roman" w:eastAsia="Times New Roman" w:hAnsi="Times New Roman"/>
          <w:sz w:val="14"/>
          <w:szCs w:val="14"/>
          <w:i w:val="1"/>
          <w:iCs w:val="1"/>
          <w:color w:val="auto"/>
        </w:rPr>
        <w:t>, Revenue Recognition and Contracts with Customers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Other receivables includes VAT receivables of $46 million and $50 million as of </w:t>
      </w:r>
      <w:r>
        <w:rPr>
          <w:rFonts w:ascii="Times New Roman" w:cs="Times New Roman" w:eastAsia="Times New Roman" w:hAnsi="Times New Roman"/>
          <w:sz w:val="14"/>
          <w:szCs w:val="14"/>
          <w:color w:val="231F20"/>
        </w:rPr>
        <w:t>September 30, 2025</w:t>
      </w:r>
      <w:r>
        <w:rPr>
          <w:rFonts w:ascii="Times New Roman" w:cs="Times New Roman" w:eastAsia="Times New Roman" w:hAnsi="Times New Roman"/>
          <w:sz w:val="14"/>
          <w:szCs w:val="14"/>
          <w:color w:val="auto"/>
        </w:rPr>
        <w:t xml:space="preserve"> and December 31, 2024, respectively.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Factoring and Notes Receivable</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1"/>
        </w:trPr>
        <w:tc>
          <w:tcPr>
            <w:tcW w:w="4820" w:type="dxa"/>
            <w:vAlign w:val="bottom"/>
          </w:tcPr>
          <w:p>
            <w:pPr>
              <w:spacing w:after="0"/>
              <w:rPr>
                <w:sz w:val="14"/>
                <w:szCs w:val="14"/>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4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6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191</w:t>
            </w:r>
          </w:p>
        </w:tc>
        <w:tc>
          <w:tcPr>
            <w:tcW w:w="110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533</w:t>
            </w:r>
          </w:p>
        </w:tc>
        <w:tc>
          <w:tcPr>
            <w:tcW w:w="4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542</w:t>
            </w:r>
          </w:p>
        </w:tc>
      </w:tr>
      <w:tr>
        <w:trPr>
          <w:trHeight w:val="191"/>
        </w:trPr>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w:t>
            </w:r>
          </w:p>
        </w:tc>
        <w:tc>
          <w:tcPr>
            <w:tcW w:w="1100" w:type="dxa"/>
            <w:vAlign w:val="bottom"/>
          </w:tcPr>
          <w:p>
            <w:pPr>
              <w:spacing w:after="0"/>
              <w:rPr>
                <w:sz w:val="16"/>
                <w:szCs w:val="16"/>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157</w:t>
            </w:r>
          </w:p>
        </w:tc>
        <w:tc>
          <w:tcPr>
            <w:tcW w:w="46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147</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expenses related to the sale of trade receivables and guaranteed bank notes are recognized within Other expense, net in the Consolidated Interim Statements of Operations, and were $— million and $1 million for the three months ended </w:t>
      </w:r>
      <w:r>
        <w:rPr>
          <w:rFonts w:ascii="Times New Roman" w:cs="Times New Roman" w:eastAsia="Times New Roman" w:hAnsi="Times New Roman"/>
          <w:sz w:val="14"/>
          <w:szCs w:val="14"/>
          <w:color w:val="231F20"/>
        </w:rPr>
        <w:t>September 30, 2025</w:t>
      </w:r>
      <w:r>
        <w:rPr>
          <w:rFonts w:ascii="Times New Roman" w:cs="Times New Roman" w:eastAsia="Times New Roman" w:hAnsi="Times New Roman"/>
          <w:sz w:val="14"/>
          <w:szCs w:val="14"/>
          <w:color w:val="auto"/>
        </w:rPr>
        <w:t xml:space="preserve"> and 2024, respectively, and $2 million and $3 million for the nine months ended </w:t>
      </w:r>
      <w:r>
        <w:rPr>
          <w:rFonts w:ascii="Times New Roman" w:cs="Times New Roman" w:eastAsia="Times New Roman" w:hAnsi="Times New Roman"/>
          <w:sz w:val="14"/>
          <w:szCs w:val="14"/>
          <w:color w:val="231F20"/>
        </w:rPr>
        <w:t>September 30, 2025 and</w:t>
      </w:r>
      <w:r>
        <w:rPr>
          <w:rFonts w:ascii="Times New Roman" w:cs="Times New Roman" w:eastAsia="Times New Roman" w:hAnsi="Times New Roman"/>
          <w:sz w:val="14"/>
          <w:szCs w:val="14"/>
          <w:color w:val="auto"/>
        </w:rPr>
        <w:t xml:space="preserve"> 2024</w:t>
      </w:r>
      <w:r>
        <w:rPr>
          <w:rFonts w:ascii="Times New Roman" w:cs="Times New Roman" w:eastAsia="Times New Roman" w:hAnsi="Times New Roman"/>
          <w:sz w:val="14"/>
          <w:szCs w:val="14"/>
          <w:color w:val="231F20"/>
        </w:rPr>
        <w:t>,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1140" w:type="dxa"/>
            <w:vAlign w:val="bottom"/>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12"/>
                <w:szCs w:val="12"/>
                <w:color w:val="auto"/>
              </w:rPr>
            </w:pPr>
          </w:p>
        </w:tc>
        <w:tc>
          <w:tcPr>
            <w:tcW w:w="1200" w:type="dxa"/>
            <w:vAlign w:val="bottom"/>
          </w:tcPr>
          <w:p>
            <w:pPr>
              <w:jc w:val="center"/>
              <w:ind w:left="27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Pr>
          <w:p>
            <w:pPr>
              <w:spacing w:after="0"/>
              <w:rPr>
                <w:sz w:val="12"/>
                <w:szCs w:val="12"/>
                <w:color w:val="auto"/>
              </w:rPr>
            </w:pPr>
          </w:p>
        </w:tc>
      </w:tr>
      <w:tr>
        <w:trPr>
          <w:trHeight w:val="159"/>
        </w:trPr>
        <w:tc>
          <w:tcPr>
            <w:tcW w:w="8360" w:type="dxa"/>
            <w:vAlign w:val="bottom"/>
          </w:tcPr>
          <w:p>
            <w:pPr>
              <w:spacing w:after="0"/>
              <w:rPr>
                <w:sz w:val="13"/>
                <w:szCs w:val="13"/>
                <w:color w:val="auto"/>
              </w:rPr>
            </w:pPr>
          </w:p>
        </w:tc>
        <w:tc>
          <w:tcPr>
            <w:tcW w:w="11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r>
      <w:tr>
        <w:trPr>
          <w:trHeight w:val="161"/>
        </w:trPr>
        <w:tc>
          <w:tcPr>
            <w:tcW w:w="8360" w:type="dxa"/>
            <w:vAlign w:val="bottom"/>
          </w:tcPr>
          <w:p>
            <w:pPr>
              <w:spacing w:after="0"/>
              <w:rPr>
                <w:sz w:val="13"/>
                <w:szCs w:val="13"/>
                <w:color w:val="auto"/>
              </w:rPr>
            </w:pPr>
          </w:p>
        </w:tc>
        <w:tc>
          <w:tcPr>
            <w:tcW w:w="2640" w:type="dxa"/>
            <w:vAlign w:val="bottom"/>
            <w:gridSpan w:val="3"/>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Pr>
          <w:p>
            <w:pPr>
              <w:spacing w:after="0"/>
              <w:rPr>
                <w:sz w:val="13"/>
                <w:szCs w:val="13"/>
                <w:color w:val="auto"/>
              </w:rPr>
            </w:pPr>
          </w:p>
        </w:tc>
      </w:tr>
      <w:tr>
        <w:trPr>
          <w:trHeight w:val="21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114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11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1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2025 and December 31, 2024, the Company had no guaranteed bank notes pledged as collateral.</w:t>
      </w: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Note 8. Inventories—Net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2"/>
                <w:szCs w:val="12"/>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Less—Reserves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9. Other Assets</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8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3"/>
                <w:szCs w:val="13"/>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13)</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reimbursable engineering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 (Note 16)</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Supplier Financing</w:t>
      </w:r>
    </w:p>
    <w:p>
      <w:pPr>
        <w:spacing w:after="0" w:line="16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Pr>
          <w:p>
            <w:pPr>
              <w:spacing w:after="0"/>
              <w:rPr>
                <w:sz w:val="12"/>
                <w:szCs w:val="12"/>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Supplier financing obligations outstanding with financial institutions</w:t>
            </w:r>
          </w:p>
        </w:tc>
        <w:tc>
          <w:tcPr>
            <w:tcW w:w="3180" w:type="dxa"/>
            <w:vAlign w:val="bottom"/>
            <w:shd w:val="clear" w:color="auto" w:fill="CFF0FC"/>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5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outstanding</w:t>
            </w:r>
          </w:p>
        </w:tc>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394"/>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Accrued Liabilities</w:t>
            </w: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4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Pr>
          <w:p>
            <w:pPr>
              <w:spacing w:after="0"/>
              <w:rPr>
                <w:sz w:val="11"/>
                <w:szCs w:val="11"/>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pricing reserve</w:t>
            </w:r>
          </w:p>
        </w:tc>
        <w:tc>
          <w:tcPr>
            <w:tcW w:w="3440" w:type="dxa"/>
            <w:vAlign w:val="bottom"/>
            <w:gridSpan w:val="2"/>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5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benefit and other employee related</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Repositioning</w:t>
            </w:r>
          </w:p>
        </w:tc>
        <w:tc>
          <w:tcPr>
            <w:tcW w:w="3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 (Note 19)</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and other taxes</w:t>
            </w:r>
          </w:p>
        </w:tc>
        <w:tc>
          <w:tcPr>
            <w:tcW w:w="3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521"/>
        </w:trPr>
        <w:tc>
          <w:tcPr>
            <w:tcW w:w="4880" w:type="dxa"/>
            <w:vAlign w:val="bottom"/>
          </w:tcPr>
          <w:p>
            <w:pPr>
              <w:spacing w:after="0"/>
              <w:rPr>
                <w:sz w:val="24"/>
                <w:szCs w:val="24"/>
                <w:color w:val="auto"/>
              </w:rPr>
            </w:pPr>
          </w:p>
        </w:tc>
        <w:tc>
          <w:tcPr>
            <w:tcW w:w="3180" w:type="dxa"/>
            <w:vAlign w:val="bottom"/>
          </w:tcPr>
          <w:p>
            <w:pPr>
              <w:jc w:val="right"/>
              <w:ind w:right="2129"/>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8"/>
        </w:trPr>
        <w:tc>
          <w:tcPr>
            <w:tcW w:w="4880" w:type="dxa"/>
            <w:vAlign w:val="bottom"/>
            <w:tcBorders>
              <w:bottom w:val="single" w:sz="8" w:color="9A9A9A"/>
            </w:tcBorders>
          </w:tcPr>
          <w:p>
            <w:pPr>
              <w:spacing w:after="0"/>
              <w:rPr>
                <w:sz w:val="23"/>
                <w:szCs w:val="23"/>
                <w:color w:val="auto"/>
              </w:rPr>
            </w:pPr>
          </w:p>
        </w:tc>
        <w:tc>
          <w:tcPr>
            <w:tcW w:w="31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22"/>
                <w:szCs w:val="22"/>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liability (Note 13)</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payable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reserve</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(primarily operating expenses)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3"/>
        </w:trPr>
        <w:tc>
          <w:tcPr>
            <w:tcW w:w="806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0"/>
        </w:trPr>
        <w:tc>
          <w:tcPr>
            <w:tcW w:w="8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580" w:hanging="255"/>
        <w:spacing w:after="0" w:line="292"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$6 million and $8 million of contract liabilities as of September 30, 2025 and December 31, 2024, respectively. See Note 3,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Recognition and Contracts with Customers</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activity in our repositioning accrual: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left="7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2020" w:type="dxa"/>
            <w:vAlign w:val="bottom"/>
            <w:shd w:val="clear" w:color="auto" w:fill="CCEEFF"/>
          </w:tcPr>
          <w:p>
            <w:pPr>
              <w:spacing w:after="0"/>
              <w:rPr>
                <w:sz w:val="18"/>
                <w:szCs w:val="18"/>
                <w:color w:val="auto"/>
              </w:rPr>
            </w:pPr>
          </w:p>
        </w:tc>
        <w:tc>
          <w:tcPr>
            <w:tcW w:w="112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20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2020" w:type="dxa"/>
            <w:vAlign w:val="bottom"/>
          </w:tcPr>
          <w:p>
            <w:pPr>
              <w:spacing w:after="0"/>
              <w:rPr>
                <w:sz w:val="16"/>
                <w:szCs w:val="16"/>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left="7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314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20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140" w:type="dxa"/>
            <w:vAlign w:val="bottom"/>
            <w:gridSpan w:val="2"/>
          </w:tcPr>
          <w:p>
            <w:pPr>
              <w:jc w:val="right"/>
              <w:ind w:right="97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Other Liabilities</w:t>
            </w:r>
          </w:p>
        </w:tc>
        <w:tc>
          <w:tcPr>
            <w:tcW w:w="2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4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6"/>
          </w:tcPr>
          <w:p>
            <w:pPr>
              <w:jc w:val="center"/>
              <w:ind w:left="63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13)</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 (Note 19)</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 term</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949"/>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8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13. Leases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As of September 30, 2025, the Company does not have any material finance leases. Our leases have remaining lease terms of up to 12 years, some of which include options to extend the leases for up to two years, and some of which include options to terminate the leases within the year.</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59"/>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60" w:type="dxa"/>
            <w:vAlign w:val="bottom"/>
            <w:gridSpan w:val="3"/>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11</w:t>
            </w:r>
          </w:p>
        </w:tc>
      </w:tr>
      <w:tr>
        <w:trPr>
          <w:trHeight w:val="197"/>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Short-term lease cost</w:t>
            </w:r>
          </w:p>
        </w:tc>
        <w:tc>
          <w:tcPr>
            <w:tcW w:w="102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46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lease cost</w:t>
            </w:r>
          </w:p>
        </w:tc>
        <w:tc>
          <w:tcPr>
            <w:tcW w:w="1020" w:type="dxa"/>
            <w:vAlign w:val="bottom"/>
            <w:tcBorders>
              <w:top w:val="single" w:sz="8" w:color="auto"/>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4"/>
                <w:szCs w:val="14"/>
                <w:color w:val="auto"/>
              </w:rPr>
            </w:pP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60" w:type="dxa"/>
            <w:vAlign w:val="bottom"/>
            <w:gridSpan w:val="4"/>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0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0" w:type="dxa"/>
            <w:vAlign w:val="bottom"/>
            <w:gridSpan w:val="3"/>
          </w:tcPr>
          <w:p>
            <w:pPr>
              <w:jc w:val="right"/>
              <w:ind w:right="98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8"/>
                <w:szCs w:val="18"/>
                <w:color w:val="auto"/>
              </w:rPr>
            </w:pPr>
          </w:p>
        </w:tc>
      </w:tr>
      <w:tr>
        <w:trPr>
          <w:trHeight w:val="21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191"/>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r>
      <w:tr>
        <w:trPr>
          <w:trHeight w:val="394"/>
        </w:trPr>
        <w:tc>
          <w:tcPr>
            <w:tcW w:w="5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51</w:t>
            </w:r>
          </w:p>
        </w:tc>
        <w:tc>
          <w:tcPr>
            <w:tcW w:w="520" w:type="dxa"/>
            <w:vAlign w:val="bottom"/>
            <w:shd w:val="clear" w:color="auto" w:fill="CFF0FC"/>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8"/>
                <w:szCs w:val="18"/>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40</w:t>
            </w:r>
          </w:p>
        </w:tc>
        <w:tc>
          <w:tcPr>
            <w:tcW w:w="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20" w:type="dxa"/>
            <w:vAlign w:val="bottom"/>
          </w:tcPr>
          <w:p>
            <w:pPr>
              <w:spacing w:after="0"/>
              <w:rPr>
                <w:sz w:val="10"/>
                <w:szCs w:val="10"/>
                <w:color w:val="auto"/>
              </w:rPr>
            </w:pPr>
          </w:p>
        </w:tc>
        <w:tc>
          <w:tcPr>
            <w:tcW w:w="122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3"/>
        </w:trPr>
        <w:tc>
          <w:tcPr>
            <w:tcW w:w="9040" w:type="dxa"/>
            <w:vAlign w:val="bottom"/>
            <w:gridSpan w:val="2"/>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2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Borders>
              <w:top w:val="single" w:sz="8" w:color="CFF0FC"/>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7820" w:type="dxa"/>
            <w:vAlign w:val="bottom"/>
          </w:tcPr>
          <w:p>
            <w:pPr>
              <w:jc w:val="right"/>
              <w:ind w:right="1893"/>
              <w:spacing w:after="0"/>
              <w:rPr>
                <w:sz w:val="20"/>
                <w:szCs w:val="20"/>
                <w:color w:val="auto"/>
              </w:rPr>
            </w:pPr>
            <w:r>
              <w:rPr>
                <w:rFonts w:ascii="Times New Roman" w:cs="Times New Roman" w:eastAsia="Times New Roman" w:hAnsi="Times New Roman"/>
                <w:sz w:val="14"/>
                <w:szCs w:val="14"/>
                <w:color w:val="auto"/>
              </w:rPr>
              <w:t>14</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9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as of September 30, 2025 were as follows: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3"/>
        </w:trPr>
        <w:tc>
          <w:tcPr>
            <w:tcW w:w="98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(Dollars in millions)</w:t>
            </w:r>
          </w:p>
        </w:tc>
      </w:tr>
      <w:tr>
        <w:trPr>
          <w:trHeight w:val="202"/>
        </w:trPr>
        <w:tc>
          <w:tcPr>
            <w:tcW w:w="9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7"/>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8"/>
        </w:trPr>
        <w:tc>
          <w:tcPr>
            <w:tcW w:w="9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8"/>
        </w:trPr>
        <w:tc>
          <w:tcPr>
            <w:tcW w:w="9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7"/>
        </w:trPr>
        <w:tc>
          <w:tcPr>
            <w:tcW w:w="9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9"/>
        </w:trPr>
        <w:tc>
          <w:tcPr>
            <w:tcW w:w="9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7"/>
        </w:trPr>
        <w:tc>
          <w:tcPr>
            <w:tcW w:w="9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8"/>
        </w:trPr>
        <w:tc>
          <w:tcPr>
            <w:tcW w:w="98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98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will be amortized on a straight-line basis.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Credit Agreement (as defined below), subject to certain exceptions. The proceeds from the sale of the 2032 Senior Notes, together with cash on hand, were used to repay approximately $800 million of term loan indebtedness and to pay related fees and expenses. The 2032 Senior Notes bear interest at a rate of 7.75% per annum. Interest on the 2032 Senior Notes is payable semi-annually in arrears on May 31 and November 30 of each year, commencing on November 30, 2024.</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indenture contains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On January 30, 2025, the Company entered into that certain Restatement Agreement (the "Restatement Agreement"), which amends and restates that certain Credit Agreement, dated as of April 30, 2021 (as amended from time to time, the "Existing Credit Agreement" and as amended and restated by the Restatement Agreement, the "Credit Agreement"), by and among the Company, Garrett Motion Holdings Inc., Garrett Motion Sàrl and Garrett LX I S.à.r.l., as borrowers (the "Borrowers"), the lenders and issuing banks part thereto from time to time, and JPMorgan Chase Bank, N.A., as administrative agent. Under the Restatement Agreement, the Company refinanced in full its $692 million U.S. Dollar term loan facility (the "2021 Dollar Term Facility") under the Existing Credit Agreement with a new $692 million term loan (the "2025 Dollar Term Facility") in an aggregate principal amount of $692 million. The 2025 Dollar Term Facility will mature on January 30, 2032, and initially bore interest at a rate equal to, at the Company's option, the Adjusted Term SOFR Rate (as defined in the Restatement Agreement) plus 2.25% per annum in the case of Term Benchmark Loans (as defined in the Restatement Agreement) and the Alternate Base Rate (as defined in the Restatement Agreement) plus 1.25% per annum in the case of ABR Loans (as defined in the Restatement Agreement). On August 6, 2025, the Company entered into Amendment No. 1 (the "First Amendment") to the Restatement Agreement, which reduced the Applicable Rate (as defined</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16" w:name="page17"/>
    <w:bookmarkEnd w:id="16"/>
    <w:p>
      <w:pPr>
        <w:jc w:val="both"/>
        <w:ind w:right="80"/>
        <w:spacing w:after="0" w:line="289" w:lineRule="auto"/>
        <w:rPr>
          <w:sz w:val="20"/>
          <w:szCs w:val="20"/>
          <w:color w:val="auto"/>
        </w:rPr>
      </w:pPr>
      <w:r>
        <w:rPr>
          <w:rFonts w:ascii="Times New Roman" w:cs="Times New Roman" w:eastAsia="Times New Roman" w:hAnsi="Times New Roman"/>
          <w:sz w:val="14"/>
          <w:szCs w:val="14"/>
          <w:color w:val="auto"/>
        </w:rPr>
        <w:t>in the Restatement Agreement) to the Adjusted Term SOFR Rate plus 2.00% per annum in the case of Term Benchmark Loans and the Alternate Base Rate plus 1.00% per annum in the case of ABR Loans.</w:t>
      </w:r>
    </w:p>
    <w:p>
      <w:pPr>
        <w:spacing w:after="0" w:line="102" w:lineRule="exact"/>
        <w:rPr>
          <w:sz w:val="20"/>
          <w:szCs w:val="20"/>
          <w:color w:val="auto"/>
        </w:rPr>
      </w:pPr>
    </w:p>
    <w:p>
      <w:pPr>
        <w:jc w:val="both"/>
        <w:ind w:right="80" w:firstLine="307"/>
        <w:spacing w:after="0" w:line="261" w:lineRule="auto"/>
        <w:rPr>
          <w:sz w:val="20"/>
          <w:szCs w:val="20"/>
          <w:color w:val="auto"/>
        </w:rPr>
      </w:pPr>
      <w:r>
        <w:rPr>
          <w:rFonts w:ascii="Times New Roman" w:cs="Times New Roman" w:eastAsia="Times New Roman" w:hAnsi="Times New Roman"/>
          <w:sz w:val="14"/>
          <w:szCs w:val="14"/>
          <w:color w:val="auto"/>
        </w:rPr>
        <w:t>Also on January 30, 2025, pursuant to the Restatement Agreement, the Company replaced its existing $600 million revolving commitments under the Existing Credit Agreement with new revolving commitments under the Credit Agreement in an aggregate principal amount of $630 million (the "New Revolving Facility" and, together with the New Term Loans, the "Credit Facilities"). The maturity date of the New Revolving Facility is January 30, 2030. The New Revolving Facility, when drawn, will bear interest at a rate equal to the applicable benchmark plus an applicable margin that varies based on the Company's leverage ratio. The applicable margin for revolving borrowings ranges from 2.25% to 1.75% per annum in the case of Term Benchmark Loans and 1.25% to 0.75% per annum in the case of ABR Loans. In addition to paying interest on outstanding borrowings under the New Revolving Facility, the Company must also pay a quarterly commitment fee based on the average daily unused portion of the New Revolving Facility during such quarter, which is determined by its leverage ratio and ranges from 0.25% to 0.50% per annum.</w:t>
      </w:r>
    </w:p>
    <w:p>
      <w:pPr>
        <w:spacing w:after="0" w:line="110" w:lineRule="exact"/>
        <w:rPr>
          <w:sz w:val="20"/>
          <w:szCs w:val="20"/>
          <w:color w:val="auto"/>
        </w:rPr>
      </w:pPr>
    </w:p>
    <w:p>
      <w:pPr>
        <w:jc w:val="both"/>
        <w:ind w:right="80" w:firstLine="307"/>
        <w:spacing w:after="0" w:line="259"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financings of this type. The Credit Agreement also contains certain customary events of default. The New Revolving Facility is subject to a financial covenant requiring the maintenance of a consolidated total leverage ratio of not greater than 4.7 to 1.00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New Revolving Facility exceeds 35% of the aggregate commitments in effect thereunder on such date. The Credit Facilities are secured on a first-priority basis by: (1)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2025, the Company was in compliance with all covenants under the 2032 Senior Notes indenture and Credit Agreement.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September 30, 2025 and December 31, 2024 are as follows: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Due</w:t>
            </w:r>
          </w:p>
        </w:tc>
        <w:tc>
          <w:tcPr>
            <w:tcW w:w="80" w:type="dxa"/>
            <w:vAlign w:val="bottom"/>
            <w:vMerge w:val="restart"/>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vMerge w:val="restart"/>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30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7"/>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1/30/2032</w:t>
            </w:r>
          </w:p>
        </w:tc>
        <w:tc>
          <w:tcPr>
            <w:tcW w:w="80" w:type="dxa"/>
            <w:vAlign w:val="bottom"/>
          </w:tcPr>
          <w:p>
            <w:pPr>
              <w:spacing w:after="0"/>
              <w:rPr>
                <w:sz w:val="17"/>
                <w:szCs w:val="17"/>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200 bps</w:t>
            </w: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2032</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5/31/2032</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19"/>
        <w:spacing w:after="0" w:line="289" w:lineRule="auto"/>
        <w:rPr>
          <w:sz w:val="20"/>
          <w:szCs w:val="20"/>
          <w:color w:val="auto"/>
        </w:rPr>
      </w:pPr>
      <w:r>
        <w:rPr>
          <w:rFonts w:ascii="Times New Roman" w:cs="Times New Roman" w:eastAsia="Times New Roman" w:hAnsi="Times New Roman"/>
          <w:sz w:val="14"/>
          <w:szCs w:val="14"/>
          <w:color w:val="auto"/>
        </w:rPr>
        <w:t>Separate from the New Revolving Facility, the Company has a bilateral letter of credit facility with outstanding letters of credit in the amount of $9 million and $8 million at September 30, 2025 and December 31, 2024, respectively. The letters of credit typically support customs arrangements and other obligations at our local affiliates.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scheduled principal repayments of long-term debt as of September 30, 2025 are as follow:</w:t>
      </w: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02" w:right="239" w:bottom="1440" w:gutter="0" w:footer="0" w:header="0"/>
        </w:sectPr>
      </w:pPr>
    </w:p>
    <w:bookmarkStart w:id="17" w:name="page18"/>
    <w:bookmarkEnd w:id="17"/>
    <w:tbl>
      <w:tblPr>
        <w:tblLayout w:type="fixed"/>
        <w:tblInd w:w="320" w:type="dxa"/>
        <w:tblCellMar>
          <w:top w:w="0" w:type="dxa"/>
          <w:left w:w="0" w:type="dxa"/>
          <w:bottom w:w="0" w:type="dxa"/>
          <w:right w:w="0" w:type="dxa"/>
        </w:tblCellMar>
      </w:tblPr>
      <w:tr>
        <w:trPr>
          <w:trHeight w:val="126"/>
        </w:trPr>
        <w:tc>
          <w:tcPr>
            <w:tcW w:w="8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3"/>
        </w:trPr>
        <w:tc>
          <w:tcPr>
            <w:tcW w:w="8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6"/>
        </w:trPr>
        <w:tc>
          <w:tcPr>
            <w:tcW w:w="8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r>
      <w:tr>
        <w:trPr>
          <w:trHeight w:val="20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2"/>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r>
      <w:tr>
        <w:trPr>
          <w:trHeight w:val="218"/>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payments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Equity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December 5, 2024, the Board of Directors declared a cash dividend of $0.06 per share of Common Stock, payable on January 31, 2025, to shareholders of record as of January 15, 2025. The total amount of dividends paid on January 31, 2025 amounted to $12 million.</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May 1, 2025, the Board of Directors declared a cash dividend of $0.06 per share of Common Stock, payable on June 16, 2025, to shareholders of record as of June 2, 2025. The total amount of dividends paid on June 16, 2025 amounted to $13 million.</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July 24, 2025, the Board of Directors declared a cash dividend of $0.06 per share of Common Stock, payable on September 16, 2025, to shareholders of record as of September 2, 2025. The total amount of dividends paid on September 16, 2025 amounted to $11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Treasury stock represents shares of the Company's Common Stock that have been issued and subsequently repurchased by the Company or withheld to satisfy withholding tax obligations in connection with the vesting of equity awards, and that have not been retired or cancelled. The Company accounts for treasury stock under the cost method and includes treasury stock as a component of Equity (Deficit) on the Consolidated Interim Balance Sheet. The Company accounts for the reissuance of treasury stock using the average cost method. The Company did not reissue or retire any shares of treasury stock during the three and nine months ended September 30,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January 1, 2025 until December 31, 2025.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nine months ended September 30, 2025, the Company repurchased $136 million of Common Stock, and had $114 million remaining under the share repurchase program as of that date. These repurchases include a total of 5 million shares repurchased from funds affiliated with Oaktree Capital Management, L.P., a related party, for approximately $62 million. The repurchased shares are held as treasury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Financial Instruments and Fair Value Measures</w:t>
      </w:r>
    </w:p>
    <w:p>
      <w:pPr>
        <w:spacing w:after="0" w:line="14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Our credit, market, and foreign currency risk management policies are described in Note 19, </w:t>
      </w:r>
      <w:r>
        <w:rPr>
          <w:rFonts w:ascii="Times New Roman" w:cs="Times New Roman" w:eastAsia="Times New Roman" w:hAnsi="Times New Roman"/>
          <w:sz w:val="14"/>
          <w:szCs w:val="14"/>
          <w:i w:val="1"/>
          <w:iCs w:val="1"/>
          <w:color w:val="auto"/>
        </w:rPr>
        <w:t>Financial Instruments and Fair Value Measures</w:t>
      </w:r>
      <w:r>
        <w:rPr>
          <w:rFonts w:ascii="Times New Roman" w:cs="Times New Roman" w:eastAsia="Times New Roman" w:hAnsi="Times New Roman"/>
          <w:sz w:val="14"/>
          <w:szCs w:val="14"/>
          <w:color w:val="auto"/>
        </w:rPr>
        <w:t>, to the Consolidated Financial Statements for the year ended December 31, 2024 included in our 2024 Form 10-K. As of September 30, 2025 and December 31, 2024, we had contracts with aggregate gross notional amounts of $889 million and $928 million, respectively, to hedge foreign currencies, principally the U.S. Dollar, Swiss Franc, British Pound, Euro, Chinese Yuan, Japanese Yen, Mexican Peso, New Romanian Leu, Czech Koruna, Australian Dollar, and Korean Won.</w:t>
      </w: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991"/>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1320" w:type="dxa"/>
            <w:vAlign w:val="bottom"/>
            <w:gridSpan w:val="3"/>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9"/>
                <w:szCs w:val="9"/>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Pr>
          <w:p>
            <w:pPr>
              <w:spacing w:after="0"/>
              <w:rPr>
                <w:sz w:val="9"/>
                <w:szCs w:val="9"/>
                <w:color w:val="auto"/>
              </w:rPr>
            </w:pPr>
          </w:p>
        </w:tc>
        <w:tc>
          <w:tcPr>
            <w:tcW w:w="114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9"/>
                <w:szCs w:val="9"/>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9"/>
                <w:szCs w:val="9"/>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Designated instruments:</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forward currency exchange contracts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560" w:type="dxa"/>
            <w:vAlign w:val="bottom"/>
            <w:gridSpan w:val="2"/>
          </w:tcPr>
          <w:p>
            <w:pPr>
              <w:jc w:val="right"/>
              <w:ind w:right="369"/>
              <w:spacing w:after="0"/>
              <w:rPr>
                <w:sz w:val="20"/>
                <w:szCs w:val="20"/>
                <w:color w:val="auto"/>
              </w:rPr>
            </w:pPr>
            <w:r>
              <w:rPr>
                <w:rFonts w:ascii="Times New Roman" w:cs="Times New Roman" w:eastAsia="Times New Roman" w:hAnsi="Times New Roman"/>
                <w:sz w:val="10"/>
                <w:szCs w:val="10"/>
                <w:color w:val="auto"/>
                <w:w w:val="85"/>
              </w:rPr>
              <w:t>(b)</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interest-rate swaps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Undesignated instruments: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swaps</w:t>
            </w:r>
          </w:p>
        </w:tc>
        <w:tc>
          <w:tcPr>
            <w:tcW w:w="7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gridSpan w:val="2"/>
          </w:tcPr>
          <w:p>
            <w:pPr>
              <w:jc w:val="right"/>
              <w:ind w:right="369"/>
              <w:spacing w:after="0"/>
              <w:rPr>
                <w:sz w:val="20"/>
                <w:szCs w:val="20"/>
                <w:color w:val="auto"/>
              </w:rPr>
            </w:pPr>
            <w:r>
              <w:rPr>
                <w:rFonts w:ascii="Times New Roman" w:cs="Times New Roman" w:eastAsia="Times New Roman" w:hAnsi="Times New Roman"/>
                <w:sz w:val="10"/>
                <w:szCs w:val="10"/>
                <w:color w:val="auto"/>
                <w:w w:val="85"/>
              </w:rPr>
              <w:t>(b)</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0"/>
                <w:szCs w:val="10"/>
                <w:color w:val="auto"/>
                <w:w w:val="85"/>
              </w:rPr>
              <w:t>(d)</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Undesignated forward currency exchange</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0"/>
                <w:szCs w:val="10"/>
                <w:color w:val="auto"/>
                <w:w w:val="89"/>
              </w:rPr>
              <w:t>(a)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7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7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designated and undesignated instruments</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Recorded within Other current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Recorded within Other assets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 Recorded within Accrued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 Recorded within Other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the second quarter of 2024, resulting in net gains of $18 million recorded to Interest expense and a $4 million loss recorded to Non-operating expense in the Consolidated Interim Statement of Operations.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2025, the Company entered into float-to-fixed interest rate swap contracts with an aggregate notional amount of $675 million and maturities in January 2027, January 2028, January 2029, January 2030 and January 2031. Changes in the fair value of the interest rate swap contracts are recorded in Accumulated Other Comprehensive Income ("AOCI") and will be reclassified to Interest expense in the Consolidated Interim Statement of Operations upon maturity.</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$465 million and $331 million as of September 30, 2025 and December 31, 2024, respectively.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Interim Statement of Operations when the underlying transactions are recognized in earnings.</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order to mitigate foreign currency risk on its 2032 Senior Notes, the Company entered into fixed-to-fixed cross-currency swap contracts with an aggregate notional amount of €507 million ($550 million) and notional exchanges occurring in May 2027, May 2028, May 2029, and May 2030. Changes in the fair value of the cross-currency swap contracts are recognized in AOCI and reclassified to Non-operating (income) expense in the Consolidated Interim</w:t>
      </w: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19" w:name="page20"/>
    <w:bookmarkEnd w:id="19"/>
    <w:p>
      <w:pPr>
        <w:jc w:val="both"/>
        <w:spacing w:after="0" w:line="289" w:lineRule="auto"/>
        <w:rPr>
          <w:sz w:val="20"/>
          <w:szCs w:val="20"/>
          <w:color w:val="auto"/>
        </w:rPr>
      </w:pPr>
      <w:r>
        <w:rPr>
          <w:rFonts w:ascii="Times New Roman" w:cs="Times New Roman" w:eastAsia="Times New Roman" w:hAnsi="Times New Roman"/>
          <w:sz w:val="14"/>
          <w:szCs w:val="14"/>
          <w:color w:val="auto"/>
        </w:rPr>
        <w:t>Statement of Operations, based upon changes in the spot rate remeasurement of the underlying debt. The net interest settlements on the cross-currency swap contracts are recorded in Interest expense in the Consolidated Interim Statements of Operations.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 of the Company's cash flow hedges are assessed as highly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designated cross-currency swaps with aggregate notional amounts of €1,381 million ($1,490 million) and €858 million ($965 million) as of September 30, 2025 and December 31, 2024, respectively, as net investment hedges of its Euro-denominated operations. Changes in the fair value of the net investment hedges are recorded in AOCI until the net investment is liquidated or sold. The fair values of the net investment hedges were a net liability of $122 million and a net asset of $70 million as of September 30, 2025 and December 31, 2024, respectively. No ineffectiveness has been recorded on the net investment hedges.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outstanding float-to-fixed interest rate swap contracts with an aggregate notional amount of €450 million ($470 million) and maturities of April 2025, April 2026, April 2027, and April 2028. Changes in the fair value of the undesignated interest rate swap contracts are recorded in Interest expense in the Consolidated Interim Statements of Operations. These interest rate swap contracts were early settled in 2025.</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$424 million and $597 million as of September 30, 2025 and December 31, 2024, respectively. Changes in the fair value of the forward currency exchange contracts are recorded in Non-operating (income) expense in the Consolidated Interim Statements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of Derivatives on the Statements of Operations and Statements of Comprehensive Income (Loss)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the pretax impact that changes in the fair values of derivatives designated as cash flow hedges and net investment hedges had on OCI, AOCI and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26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700" w:type="dxa"/>
            <w:vAlign w:val="bottom"/>
          </w:tcPr>
          <w:p>
            <w:pPr>
              <w:spacing w:after="0"/>
              <w:rPr>
                <w:sz w:val="13"/>
                <w:szCs w:val="13"/>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45"/>
        </w:trPr>
        <w:tc>
          <w:tcPr>
            <w:tcW w:w="47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Gain (loss) reclassified from AOCI to</w:t>
            </w: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5"/>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1"/>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Cost of goods sold</w:t>
            </w:r>
          </w:p>
        </w:tc>
        <w:tc>
          <w:tcPr>
            <w:tcW w:w="11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4700" w:type="dxa"/>
            <w:vAlign w:val="bottom"/>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1140" w:type="dxa"/>
            <w:vAlign w:val="bottom"/>
          </w:tcPr>
          <w:p>
            <w:pPr>
              <w:spacing w:after="0"/>
              <w:rPr>
                <w:sz w:val="15"/>
                <w:szCs w:val="15"/>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70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Non-operating income </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65</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45"/>
        </w:trPr>
        <w:tc>
          <w:tcPr>
            <w:tcW w:w="47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Gain (loss) recognized in other comprehensive</w:t>
            </w: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5"/>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w:t>
            </w:r>
          </w:p>
        </w:tc>
        <w:tc>
          <w:tcPr>
            <w:tcW w:w="114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4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81"/>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45"/>
        </w:trPr>
        <w:tc>
          <w:tcPr>
            <w:tcW w:w="47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Gain (loss) recognized in other comprehensive</w:t>
            </w:r>
          </w:p>
        </w:tc>
        <w:tc>
          <w:tcPr>
            <w:tcW w:w="1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8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w:t>
            </w:r>
          </w:p>
        </w:tc>
        <w:tc>
          <w:tcPr>
            <w:tcW w:w="1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198" w:lineRule="exact"/>
        <w:rPr>
          <w:sz w:val="20"/>
          <w:szCs w:val="20"/>
          <w:color w:val="auto"/>
        </w:rPr>
      </w:pPr>
    </w:p>
    <w:p>
      <w:pPr>
        <w:ind w:left="520" w:hanging="19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settlement loss of $3 million for the nine months ended September 30, 2024.</w:t>
      </w:r>
    </w:p>
    <w:p>
      <w:pPr>
        <w:spacing w:after="0" w:line="158" w:lineRule="exact"/>
        <w:rPr>
          <w:rFonts w:ascii="Times New Roman" w:cs="Times New Roman" w:eastAsia="Times New Roman" w:hAnsi="Times New Roman"/>
          <w:sz w:val="14"/>
          <w:szCs w:val="14"/>
          <w:color w:val="auto"/>
        </w:rPr>
      </w:pPr>
    </w:p>
    <w:p>
      <w:pPr>
        <w:ind w:left="520" w:hanging="19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settlement loss of $4 million for the nine months ended September 30, 2024.</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pretax gain (loss) that changes in the fair values of derivatives not designated as hedging instruments had on earnings: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59"/>
        </w:trPr>
        <w:tc>
          <w:tcPr>
            <w:tcW w:w="2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0"/>
        </w:trPr>
        <w:tc>
          <w:tcPr>
            <w:tcW w:w="2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7"/>
        </w:trPr>
        <w:tc>
          <w:tcPr>
            <w:tcW w:w="282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Contract Type</w:t>
            </w:r>
          </w:p>
        </w:tc>
        <w:tc>
          <w:tcPr>
            <w:tcW w:w="276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Location</w:t>
            </w: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760" w:type="dxa"/>
            <w:vAlign w:val="bottom"/>
            <w:shd w:val="clear" w:color="auto" w:fill="CCEEFF"/>
          </w:tcPr>
          <w:p>
            <w:pPr>
              <w:ind w:left="660"/>
              <w:spacing w:after="0" w:line="183"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currency exchange contracts</w:t>
            </w:r>
          </w:p>
        </w:tc>
        <w:tc>
          <w:tcPr>
            <w:tcW w:w="27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Non-operating income</w:t>
            </w:r>
          </w:p>
        </w:tc>
        <w:tc>
          <w:tcPr>
            <w:tcW w:w="98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248" w:lineRule="exact"/>
        <w:rPr>
          <w:sz w:val="20"/>
          <w:szCs w:val="20"/>
          <w:color w:val="auto"/>
        </w:rPr>
      </w:pPr>
    </w:p>
    <w:p>
      <w:pPr>
        <w:ind w:left="460" w:hanging="199"/>
        <w:spacing w:after="0" w:line="289" w:lineRule="auto"/>
        <w:tabs>
          <w:tab w:leader="none" w:pos="47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of $5 million, partially offset by marked-to-market remeasurement losses of $9 million, for the three months ended September 30, 2024. Includes settlement gain of $21 million and interest income of $21 million, partially offset by marked-to-market remeasurement losses of $33 million, for the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Interim Balance Sheet approximates fair value.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2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1"/>
        </w:trPr>
        <w:tc>
          <w:tcPr>
            <w:tcW w:w="4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1"/>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124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675</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680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2"/>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1240" w:type="dxa"/>
            <w:vAlign w:val="bottom"/>
          </w:tcPr>
          <w:p>
            <w:pPr>
              <w:spacing w:after="0"/>
              <w:rPr>
                <w:sz w:val="17"/>
                <w:szCs w:val="17"/>
                <w:color w:val="auto"/>
              </w:rPr>
            </w:pPr>
          </w:p>
        </w:tc>
        <w:tc>
          <w:tcPr>
            <w:tcW w:w="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790</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790</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determined the fair value of its Term Loan Facilities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exchange traded markets and is classified as a Level 1 measurement.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Income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set forth below:</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6"/>
        </w:trPr>
        <w:tc>
          <w:tcPr>
            <w:tcW w:w="5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0"/>
        </w:trPr>
        <w:tc>
          <w:tcPr>
            <w:tcW w:w="5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38"/>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9"/>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9"/>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1"/>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associated with reclassifications from AOCI</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9"/>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Accumulated other comprehensive (loss) income, end of</w:t>
            </w:r>
          </w:p>
        </w:tc>
        <w:tc>
          <w:tcPr>
            <w:tcW w:w="84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0"/>
                <w:szCs w:val="10"/>
                <w:color w:val="auto"/>
              </w:rPr>
            </w:pPr>
          </w:p>
        </w:tc>
        <w:tc>
          <w:tcPr>
            <w:tcW w:w="86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0"/>
                <w:szCs w:val="10"/>
                <w:color w:val="auto"/>
              </w:rPr>
            </w:pPr>
          </w:p>
        </w:tc>
        <w:tc>
          <w:tcPr>
            <w:tcW w:w="5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0"/>
                <w:szCs w:val="10"/>
                <w:color w:val="auto"/>
              </w:rPr>
            </w:pPr>
          </w:p>
        </w:tc>
        <w:tc>
          <w:tcPr>
            <w:tcW w:w="5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5"/>
        </w:trPr>
        <w:tc>
          <w:tcPr>
            <w:tcW w:w="5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4"/>
          <w:szCs w:val="14"/>
          <w:color w:val="auto"/>
        </w:rPr>
        <w:t>Reclassifications from AOCI to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gridSpan w:val="3"/>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60" w:type="dxa"/>
            <w:vAlign w:val="bottom"/>
          </w:tcPr>
          <w:p>
            <w:pPr>
              <w:spacing w:after="0"/>
              <w:rPr>
                <w:sz w:val="11"/>
                <w:szCs w:val="11"/>
                <w:color w:val="auto"/>
              </w:rPr>
            </w:pPr>
          </w:p>
        </w:tc>
      </w:tr>
      <w:tr>
        <w:trPr>
          <w:trHeight w:val="155"/>
        </w:trPr>
        <w:tc>
          <w:tcPr>
            <w:tcW w:w="5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60" w:type="dxa"/>
            <w:vAlign w:val="bottom"/>
            <w:tcBorders>
              <w:bottom w:val="single" w:sz="8" w:color="auto"/>
            </w:tcBorders>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2"/>
        </w:trPr>
        <w:tc>
          <w:tcPr>
            <w:tcW w:w="55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Reclassification adjustments recognized in income </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2"/>
        </w:trPr>
        <w:tc>
          <w:tcPr>
            <w:tcW w:w="5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38"/>
        </w:trPr>
        <w:tc>
          <w:tcPr>
            <w:tcW w:w="5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Reclassification forward currency exchange contracts to</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goods sold</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5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Reclassification cross-currency swaps to Non-operating</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expense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5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17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5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(1) Cumulative translation losses reclassified to Net income related to the sale of an equity interest in an unconsolidated joint venture. See Note 22 for discussion.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Basic earnings per share ("EPS") is computed using the weighted-average number of common shares outstanding during the period.</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Diluted earnings per share is calculated based on the weighted-average number of common shares outstanding for the period plus the dilutive effect of common stock equivalents using the treasury stock method.</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three and nine months ended September 30, 2025 and 2024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198,668,143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217,283,749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202,127,953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226,057,803</w:t>
            </w: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4"/>
        </w:trPr>
        <w:tc>
          <w:tcPr>
            <w:tcW w:w="4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198,668,143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217,283,749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202,127,953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226,057,803</w:t>
            </w: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3,526,191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1,119,932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3,002,663</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1,591,944</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202,194,334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218,403,681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205,130,616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227,649,747</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0.80</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01"/>
        </w:trPr>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9"/>
        </w:trPr>
        <w:tc>
          <w:tcPr>
            <w:tcW w:w="4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6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health and safety, intellectual property, employment, commercial and contractual matters and various other matters. We regularly assess the likelihood of adverse judgments or outcomes in these matters, as well as potential ranges of possible losses based on a careful analysis of each matter. We identify below the individual proceedings where we believe a material loss is reasonably possible or probable, and we accrue for matters when we believe that losses are probable and the amount of the potential loss is reasonably estimable. It is inherently difficult to determine whether a loss is probable or reasonably possible or to estimate the size or range of any potential loss. Accordingly, while we believe that appropriate accruals have been established for losses that are probable and can be reasonably estimated, it is possible that adverse outcomes from such proceedings could exceed the amounts accrued by an amount that could be material to our financial position, results of operations or cash flows.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between January 2017 and February 2020. The estimated total amount of the loss contingency arising from this matter as of September 30, 2025 was $26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tbl>
      <w:tblPr>
        <w:tblLayout w:type="fixed"/>
        <w:tblInd w:w="0" w:type="dxa"/>
        <w:tblCellMar>
          <w:top w:w="0" w:type="dxa"/>
          <w:left w:w="0" w:type="dxa"/>
          <w:bottom w:w="0" w:type="dxa"/>
          <w:right w:w="0" w:type="dxa"/>
        </w:tblCellMar>
      </w:tblPr>
      <w:tr>
        <w:trPr>
          <w:trHeight w:val="118"/>
        </w:trPr>
        <w:tc>
          <w:tcPr>
            <w:tcW w:w="6720" w:type="dxa"/>
            <w:vAlign w:val="bottom"/>
          </w:tcPr>
          <w:p>
            <w:pPr>
              <w:spacing w:after="0"/>
              <w:rPr>
                <w:sz w:val="10"/>
                <w:szCs w:val="10"/>
                <w:color w:val="auto"/>
              </w:rPr>
            </w:pPr>
          </w:p>
        </w:tc>
        <w:tc>
          <w:tcPr>
            <w:tcW w:w="1920" w:type="dxa"/>
            <w:vAlign w:val="bottom"/>
            <w:gridSpan w:val="4"/>
          </w:tcPr>
          <w:p>
            <w:pPr>
              <w:jc w:val="right"/>
              <w:ind w:right="216"/>
              <w:spacing w:after="0" w:line="118"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4"/>
          </w:tcPr>
          <w:p>
            <w:pPr>
              <w:jc w:val="right"/>
              <w:ind w:right="214"/>
              <w:spacing w:after="0" w:line="118" w:lineRule="exact"/>
              <w:rPr>
                <w:sz w:val="20"/>
                <w:szCs w:val="20"/>
                <w:color w:val="auto"/>
              </w:rPr>
            </w:pPr>
            <w:r>
              <w:rPr>
                <w:rFonts w:ascii="Times New Roman" w:cs="Times New Roman" w:eastAsia="Times New Roman" w:hAnsi="Times New Roman"/>
                <w:sz w:val="11"/>
                <w:szCs w:val="11"/>
                <w:b w:val="1"/>
                <w:bCs w:val="1"/>
                <w:color w:val="auto"/>
              </w:rPr>
              <w:t>Nine Months Ended</w:t>
            </w:r>
          </w:p>
        </w:tc>
        <w:tc>
          <w:tcPr>
            <w:tcW w:w="340" w:type="dxa"/>
            <w:vAlign w:val="bottom"/>
          </w:tcPr>
          <w:p>
            <w:pPr>
              <w:spacing w:after="0"/>
              <w:rPr>
                <w:sz w:val="10"/>
                <w:szCs w:val="10"/>
                <w:color w:val="auto"/>
              </w:rPr>
            </w:pPr>
          </w:p>
        </w:tc>
      </w:tr>
      <w:tr>
        <w:trPr>
          <w:trHeight w:val="153"/>
        </w:trPr>
        <w:tc>
          <w:tcPr>
            <w:tcW w:w="6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40" w:type="dxa"/>
            <w:vAlign w:val="bottom"/>
            <w:tcBorders>
              <w:bottom w:val="single" w:sz="8" w:color="auto"/>
            </w:tcBorders>
          </w:tcPr>
          <w:p>
            <w:pPr>
              <w:spacing w:after="0"/>
              <w:rPr>
                <w:sz w:val="13"/>
                <w:szCs w:val="13"/>
                <w:color w:val="auto"/>
              </w:rPr>
            </w:pPr>
          </w:p>
        </w:tc>
      </w:tr>
      <w:tr>
        <w:trPr>
          <w:trHeight w:val="156"/>
        </w:trPr>
        <w:tc>
          <w:tcPr>
            <w:tcW w:w="67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r>
      <w:tr>
        <w:trPr>
          <w:trHeight w:val="161"/>
        </w:trPr>
        <w:tc>
          <w:tcPr>
            <w:tcW w:w="6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4"/>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period</w:t>
            </w: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period</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period</w:t>
            </w:r>
          </w:p>
        </w:tc>
        <w:tc>
          <w:tcPr>
            <w:tcW w:w="72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employment and employee benefit plans, intellectual property, and environmental, health and safety matters. We recognize a liability for any contingency that is probable of occurring and reasonably estimable. We regularly assess the likelihood of adverse judgments or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Pension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4" w:name="page25"/>
    <w:bookmarkEnd w:id="24"/>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general funding policy for qualified defined benefit pension plans is to contribute amounts at least sufficient to satisfy regulatory funding standards. We are not required to make any contributions to our U.S. pension plan in 2025. We expect to make contributions of cash and/or marketable securities of approximately $5 million to our non-U.S. pension plans to satisfy regulatory funding standards in 2025, of which $5 million has been contributed as of September 30, 2025.</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periodic benefit costs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61"/>
        </w:trPr>
        <w:tc>
          <w:tcPr>
            <w:tcW w:w="2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r>
      <w:tr>
        <w:trPr>
          <w:trHeight w:val="161"/>
        </w:trPr>
        <w:tc>
          <w:tcPr>
            <w:tcW w:w="296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2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68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center"/>
              <w:ind w:left="513"/>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center"/>
              <w:ind w:left="371"/>
              <w:spacing w:after="0"/>
              <w:rPr>
                <w:sz w:val="20"/>
                <w:szCs w:val="20"/>
                <w:color w:val="auto"/>
              </w:rPr>
            </w:pPr>
            <w:r>
              <w:rPr>
                <w:rFonts w:ascii="Times New Roman" w:cs="Times New Roman" w:eastAsia="Times New Roman" w:hAnsi="Times New Roman"/>
                <w:sz w:val="14"/>
                <w:szCs w:val="14"/>
                <w:color w:val="auto"/>
                <w:w w:val="85"/>
              </w:rPr>
              <w:t>5</w:t>
            </w:r>
          </w:p>
        </w:tc>
      </w:tr>
      <w:tr>
        <w:trPr>
          <w:trHeight w:val="19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w w:val="85"/>
              </w:rPr>
              <w:t>3</w:t>
            </w:r>
          </w:p>
        </w:tc>
      </w:tr>
      <w:tr>
        <w:trPr>
          <w:trHeight w:val="20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left="473"/>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center"/>
              <w:ind w:left="351"/>
              <w:spacing w:after="0"/>
              <w:rPr>
                <w:sz w:val="20"/>
                <w:szCs w:val="20"/>
                <w:color w:val="auto"/>
              </w:rPr>
            </w:pPr>
            <w:r>
              <w:rPr>
                <w:rFonts w:ascii="Times New Roman" w:cs="Times New Roman" w:eastAsia="Times New Roman" w:hAnsi="Times New Roman"/>
                <w:sz w:val="14"/>
                <w:szCs w:val="14"/>
                <w:color w:val="auto"/>
                <w:w w:val="97"/>
              </w:rPr>
              <w:t>(6)</w:t>
            </w:r>
          </w:p>
        </w:tc>
      </w:tr>
      <w:tr>
        <w:trPr>
          <w:trHeight w:val="197"/>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7"/>
              </w:rPr>
              <w:t>(1)</w:t>
            </w: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center"/>
              <w:ind w:left="513"/>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center"/>
              <w:ind w:left="371"/>
              <w:spacing w:after="0"/>
              <w:rPr>
                <w:sz w:val="20"/>
                <w:szCs w:val="20"/>
                <w:color w:val="auto"/>
              </w:rPr>
            </w:pPr>
            <w:r>
              <w:rPr>
                <w:rFonts w:ascii="Times New Roman" w:cs="Times New Roman" w:eastAsia="Times New Roman" w:hAnsi="Times New Roman"/>
                <w:sz w:val="14"/>
                <w:szCs w:val="14"/>
                <w:color w:val="auto"/>
                <w:w w:val="85"/>
              </w:rPr>
              <w:t>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Segments and Concentrations</w:t>
      </w:r>
    </w:p>
    <w:p>
      <w:pPr>
        <w:spacing w:after="0" w:line="203"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has identified our CODM as the Chief Executive Officer. The CODM reviews consolidated net income when assessing the Company's performance, allocating resources, and establishing management's compensation. In addition to consolidated net income, the CODM receives discrete information for net sales by product and by geographical location. Consolidated net income is used to monitor budget versus actual results.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our operating segment are the same as those described in the Company's summary of significant accounting policies.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derives revenues from customers through sales of air and fluid compression and high-speed electric motor technologies for OEMs and distributors within the mobility and industrial space. In addition to consolidated net income, the CODM regularly reviews sales by region and product line.</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Sales concentration </w:t>
      </w:r>
      <w:r>
        <w:rPr>
          <w:rFonts w:ascii="Times New Roman" w:cs="Times New Roman" w:eastAsia="Times New Roman" w:hAnsi="Times New Roman"/>
          <w:sz w:val="14"/>
          <w:szCs w:val="14"/>
          <w:color w:val="auto"/>
        </w:rPr>
        <w:t>- Net sales by region (determined based on country of shipment) and product line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220" w:type="dxa"/>
            <w:vAlign w:val="bottom"/>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Germany</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81"/>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 of Europe</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1"/>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18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1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7"/>
        </w:trPr>
        <w:tc>
          <w:tcPr>
            <w:tcW w:w="4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4"/>
        </w:trPr>
        <w:tc>
          <w:tcPr>
            <w:tcW w:w="4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9"/>
        </w:trPr>
        <w:tc>
          <w:tcPr>
            <w:tcW w:w="4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220" w:type="dxa"/>
            <w:vAlign w:val="bottom"/>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4220" w:type="dxa"/>
            <w:vAlign w:val="bottom"/>
          </w:tcPr>
          <w:p>
            <w:pPr>
              <w:spacing w:after="0"/>
              <w:rPr>
                <w:sz w:val="14"/>
                <w:szCs w:val="14"/>
                <w:color w:val="auto"/>
              </w:rPr>
            </w:pPr>
          </w:p>
        </w:tc>
        <w:tc>
          <w:tcPr>
            <w:tcW w:w="120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w:t>
            </w:r>
          </w:p>
        </w:tc>
      </w:tr>
      <w:tr>
        <w:trPr>
          <w:trHeight w:val="20"/>
        </w:trPr>
        <w:tc>
          <w:tcPr>
            <w:tcW w:w="4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provides segment information about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220" w:type="dxa"/>
            <w:vAlign w:val="bottom"/>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 costs</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181"/>
        </w:trPr>
        <w:tc>
          <w:tcPr>
            <w:tcW w:w="42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Variable manufacturing costs </w:t>
            </w:r>
            <w:r>
              <w:rPr>
                <w:rFonts w:ascii="Times New Roman" w:cs="Times New Roman" w:eastAsia="Times New Roman" w:hAnsi="Times New Roman"/>
                <w:sz w:val="18"/>
                <w:szCs w:val="18"/>
                <w:color w:val="auto"/>
                <w:vertAlign w:val="superscript"/>
              </w:rPr>
              <w:t>(1)</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1"/>
        </w:trPr>
        <w:tc>
          <w:tcPr>
            <w:tcW w:w="42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Fixed manufacturing costs </w:t>
            </w:r>
            <w:r>
              <w:rPr>
                <w:rFonts w:ascii="Times New Roman" w:cs="Times New Roman" w:eastAsia="Times New Roman" w:hAnsi="Times New Roman"/>
                <w:sz w:val="18"/>
                <w:szCs w:val="18"/>
                <w:color w:val="auto"/>
                <w:vertAlign w:val="superscript"/>
              </w:rPr>
              <w:t>(2)</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1"/>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RD&amp;E costs</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costs</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1"/>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1"/>
        </w:trPr>
        <w:tc>
          <w:tcPr>
            <w:tcW w:w="42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1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7"/>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120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199"/>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manufacturing costs include freight, duties and tariffs, direct and indirect labor costs, repairs and maintenance, and variable overhead costs.</w:t>
      </w:r>
    </w:p>
    <w:p>
      <w:pPr>
        <w:spacing w:after="0" w:line="147" w:lineRule="exact"/>
        <w:rPr>
          <w:rFonts w:ascii="Times New Roman" w:cs="Times New Roman" w:eastAsia="Times New Roman" w:hAnsi="Times New Roman"/>
          <w:sz w:val="14"/>
          <w:szCs w:val="14"/>
          <w:color w:val="auto"/>
        </w:rPr>
      </w:pPr>
    </w:p>
    <w:p>
      <w:pPr>
        <w:ind w:left="460" w:hanging="199"/>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manufacturing costs include depreciation and amortization, rent, overhead labor costs, repositioning costs, utilities and other fixed costs.</w:t>
      </w:r>
    </w:p>
    <w:p>
      <w:pPr>
        <w:spacing w:after="0" w:line="147" w:lineRule="exact"/>
        <w:rPr>
          <w:rFonts w:ascii="Times New Roman" w:cs="Times New Roman" w:eastAsia="Times New Roman" w:hAnsi="Times New Roman"/>
          <w:sz w:val="14"/>
          <w:szCs w:val="14"/>
          <w:color w:val="auto"/>
        </w:rPr>
      </w:pPr>
    </w:p>
    <w:p>
      <w:pPr>
        <w:ind w:left="520" w:hanging="259"/>
        <w:spacing w:after="0" w:line="289" w:lineRule="auto"/>
        <w:tabs>
          <w:tab w:leader="none" w:pos="47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sale of equity interest in unconsolidated joint venture, non-service components of net periodic pension expense, interest income, equity income and other non-operating income items (if any).</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measure of segment assets is reported on the balance sheet as total consolidated assets. The Company had capital expenditures of $10 million and $20 million for the three months ended September 30, 2025 and 2024, respectively, and $51 million and $69 million for the nine months ended September 30, 2025 and 2024,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Acquisitions and Divestitures</w:t>
      </w:r>
    </w:p>
    <w:p>
      <w:pPr>
        <w:spacing w:after="0" w:line="1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We received cash consideration on the divestiture date of $46 million. An additional $7 million of deferred payments is to be received in equal installments due twelve months and thirty-six months from the divestiture date, with the first deferred payment received in 2025. A pre-tax gain of $27 million was recognized related to this divestiture, including $5 million of cumulative translation losses reclassified from AOCI to Net income. Transaction fees of $1 million were incurred in connection with the divestiture and are included in Selling, general, and administrative expenses in our Consolidated Interim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Note 23. Subsequent Events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October 23, 2025, the Company made a voluntary early debt repayment of $50 million on its 2025 Dollar Term Facility.</w:t>
      </w:r>
    </w:p>
    <w:p>
      <w:pPr>
        <w:spacing w:after="0" w:line="201"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Also on October 23, 2025, the Board of Directors declared a cash dividend of $0.08 per share of Common Stock, payable on December 15, 2025, to shareholders of record as of December 1, 2025.</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2024, included in our 2024 Form 10-K. Some of the information contained in this MD&amp;A or set forth elsewhere in this Quarterly Report on Form 10-Q, including information with respect to our plans and strategy for our business, includes forward-looking statements that involve various risks and uncertainties. Please refer to the "Special Note Regarding Forward-Looking Statements" below.</w:t>
      </w:r>
    </w:p>
    <w:p>
      <w:pPr>
        <w:spacing w:after="0" w:line="281" w:lineRule="exact"/>
        <w:rPr>
          <w:sz w:val="20"/>
          <w:szCs w:val="20"/>
          <w:color w:val="auto"/>
        </w:rPr>
      </w:pPr>
    </w:p>
    <w:p>
      <w:pPr>
        <w:ind w:right="380" w:firstLine="307"/>
        <w:spacing w:after="0" w:line="468" w:lineRule="auto"/>
        <w:rPr>
          <w:sz w:val="20"/>
          <w:szCs w:val="20"/>
          <w:color w:val="auto"/>
        </w:rPr>
      </w:pPr>
      <w:r>
        <w:rPr>
          <w:rFonts w:ascii="Times New Roman" w:cs="Times New Roman" w:eastAsia="Times New Roman" w:hAnsi="Times New Roman"/>
          <w:sz w:val="14"/>
          <w:szCs w:val="14"/>
          <w:color w:val="auto"/>
        </w:rPr>
        <w:t xml:space="preserve">The following MD&amp;A is intended to help you understand the results of operations and financial condition of Garrett Motion Inc. for the three and nine months ended September 30, 2025. </w:t>
      </w:r>
      <w:r>
        <w:rPr>
          <w:rFonts w:ascii="Times New Roman" w:cs="Times New Roman" w:eastAsia="Times New Roman" w:hAnsi="Times New Roman"/>
          <w:sz w:val="14"/>
          <w:szCs w:val="14"/>
          <w:b w:val="1"/>
          <w:bCs w:val="1"/>
          <w:color w:val="auto"/>
        </w:rPr>
        <w:t>Executive Summary</w:t>
      </w: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the third quarter of 2025, we continued to navigate macro-economic challenges. Increased demand in light vehicle gasoline, primarily driven by new program launches in Europe, China, India and North America, was partially offset by decreased demand for Aftermarket off-highway replacement parts in North America, resulting in unfavorable product mix. Driven by sustainable cost initiatives implemented over the last year and the current year, successful recovery of import tariffs, and a favorable foreign exchange environment, we delivered Net income of $77 million and Adjusted EBIT of $133 million for the quarter.</w:t>
      </w:r>
    </w:p>
    <w:p>
      <w:pPr>
        <w:spacing w:after="0" w:line="16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continue to have success across our differentiated technologies by winning business in both turbo and zero emission offerings. We secured light vehicle turbo awards in the US, India and Brazil and continued to win commercial vehicle and industrial business across multiple regions, including turbo technology for data centers. With respect to our zero-emission offerings, we deepened our strategic collaborations with OEMs by executing additional E-Powertrain proof-of-concept initiatives. Furthermore, we received favorable feedback related to the efficiency gains for our E-Cooling oil-free compressor from mobility and industrial customers. These zero-emission technologies lay the foundation for future business growth.</w:t>
      </w:r>
    </w:p>
    <w:p>
      <w:pPr>
        <w:spacing w:after="0" w:line="109"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2025, we repurchased $84 million of Common Stock under our share repurchase program. These repurchases include a total of 5 million shares from funds affiliated with Oaktree Capital Management, L.P., a related party, for approximately $62 million. As of September 30, 2025, we had $114 million of the authorized amount remaining under our share repurchase program. The repurchased shares are held as treasury stock.</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July 24, 2025, the Board of Directors declared a cash dividend of $0.06 per share of Common Stock, payable on September 16, 2025, to shareholders of record as of September 2, 2025. The total amount of dividends paid on September 16, 2025 amounted to $11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three and nine months ended September 30, 2025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By Region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9"/>
        </w:trPr>
        <w:tc>
          <w:tcPr>
            <w:tcW w:w="2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61"/>
        </w:trPr>
        <w:tc>
          <w:tcPr>
            <w:tcW w:w="2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1"/>
        </w:trPr>
        <w:tc>
          <w:tcPr>
            <w:tcW w:w="2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19%</w:t>
            </w:r>
          </w:p>
        </w:tc>
        <w:tc>
          <w:tcPr>
            <w:tcW w:w="1020" w:type="dxa"/>
            <w:vAlign w:val="bottom"/>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19%</w:t>
            </w:r>
          </w:p>
        </w:tc>
        <w:tc>
          <w:tcPr>
            <w:tcW w:w="96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20%</w:t>
            </w:r>
          </w:p>
        </w:tc>
      </w:tr>
      <w:tr>
        <w:trPr>
          <w:trHeight w:val="20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300" w:type="dxa"/>
            <w:vAlign w:val="bottom"/>
          </w:tcPr>
          <w:p>
            <w:pPr>
              <w:spacing w:after="0"/>
              <w:rPr>
                <w:sz w:val="17"/>
                <w:szCs w:val="17"/>
                <w:color w:val="auto"/>
              </w:rPr>
            </w:pPr>
          </w:p>
        </w:tc>
        <w:tc>
          <w:tcPr>
            <w:tcW w:w="46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rPr>
              <w:t>48%</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300" w:type="dxa"/>
            <w:vAlign w:val="bottom"/>
          </w:tcPr>
          <w:p>
            <w:pPr>
              <w:spacing w:after="0"/>
              <w:rPr>
                <w:sz w:val="17"/>
                <w:szCs w:val="17"/>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300" w:type="dxa"/>
            <w:vAlign w:val="bottom"/>
          </w:tcPr>
          <w:p>
            <w:pPr>
              <w:spacing w:after="0"/>
              <w:rPr>
                <w:sz w:val="17"/>
                <w:szCs w:val="17"/>
                <w:color w:val="auto"/>
              </w:rPr>
            </w:pPr>
          </w:p>
        </w:tc>
        <w:tc>
          <w:tcPr>
            <w:tcW w:w="44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49%</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300" w:type="dxa"/>
            <w:vAlign w:val="bottom"/>
          </w:tcPr>
          <w:p>
            <w:pPr>
              <w:spacing w:after="0"/>
              <w:rPr>
                <w:sz w:val="17"/>
                <w:szCs w:val="17"/>
                <w:color w:val="auto"/>
              </w:rPr>
            </w:pPr>
          </w:p>
        </w:tc>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49%</w:t>
            </w:r>
          </w:p>
        </w:tc>
      </w:tr>
      <w:tr>
        <w:trPr>
          <w:trHeight w:val="20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29%</w:t>
            </w:r>
          </w:p>
        </w:tc>
      </w:tr>
      <w:tr>
        <w:trPr>
          <w:trHeight w:val="202"/>
        </w:trPr>
        <w:tc>
          <w:tcPr>
            <w:tcW w:w="2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jc w:val="center"/>
              <w:ind w:left="52"/>
              <w:spacing w:after="0"/>
              <w:rPr>
                <w:sz w:val="20"/>
                <w:szCs w:val="20"/>
                <w:color w:val="auto"/>
              </w:rPr>
            </w:pPr>
            <w:r>
              <w:rPr>
                <w:rFonts w:ascii="Times New Roman" w:cs="Times New Roman" w:eastAsia="Times New Roman" w:hAnsi="Times New Roman"/>
                <w:sz w:val="14"/>
                <w:szCs w:val="14"/>
                <w:color w:val="auto"/>
                <w:w w:val="96"/>
              </w:rPr>
              <w:t>4%</w:t>
            </w:r>
          </w:p>
        </w:tc>
        <w:tc>
          <w:tcPr>
            <w:tcW w:w="4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52"/>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center"/>
              <w:ind w:left="52"/>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686"/>
        </w:trPr>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8"/>
        </w:trPr>
        <w:tc>
          <w:tcPr>
            <w:tcW w:w="25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By Product Line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4"/>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0"/>
        </w:trPr>
        <w:tc>
          <w:tcPr>
            <w:tcW w:w="2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2"/>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4"/>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22%</w:t>
            </w:r>
          </w:p>
        </w:tc>
        <w:tc>
          <w:tcPr>
            <w:tcW w:w="58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626</w:t>
            </w:r>
          </w:p>
        </w:tc>
        <w:tc>
          <w:tcPr>
            <w:tcW w:w="10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23%</w:t>
            </w:r>
          </w:p>
        </w:tc>
        <w:tc>
          <w:tcPr>
            <w:tcW w:w="6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24%</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300" w:type="dxa"/>
            <w:vAlign w:val="bottom"/>
          </w:tcPr>
          <w:p>
            <w:pPr>
              <w:spacing w:after="0"/>
              <w:rPr>
                <w:sz w:val="17"/>
                <w:szCs w:val="17"/>
                <w:color w:val="auto"/>
              </w:rPr>
            </w:pPr>
          </w:p>
        </w:tc>
        <w:tc>
          <w:tcPr>
            <w:tcW w:w="4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1,206</w:t>
            </w:r>
          </w:p>
        </w:tc>
        <w:tc>
          <w:tcPr>
            <w:tcW w:w="10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489</w:t>
            </w:r>
          </w:p>
        </w:tc>
        <w:tc>
          <w:tcPr>
            <w:tcW w:w="10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18%</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00" w:type="dxa"/>
            <w:vAlign w:val="bottom"/>
          </w:tcPr>
          <w:p>
            <w:pPr>
              <w:spacing w:after="0"/>
              <w:rPr>
                <w:sz w:val="17"/>
                <w:szCs w:val="17"/>
                <w:color w:val="auto"/>
              </w:rPr>
            </w:pPr>
          </w:p>
        </w:tc>
        <w:tc>
          <w:tcPr>
            <w:tcW w:w="4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325</w:t>
            </w:r>
          </w:p>
        </w:tc>
        <w:tc>
          <w:tcPr>
            <w:tcW w:w="10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w w:val="96"/>
              </w:rPr>
              <w:t>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10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w w:val="96"/>
              </w:rPr>
              <w:t>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2,693</w:t>
            </w:r>
          </w:p>
        </w:tc>
        <w:tc>
          <w:tcPr>
            <w:tcW w:w="40" w:type="dxa"/>
            <w:vAlign w:val="bottom"/>
            <w:tcBorders>
              <w:top w:val="single" w:sz="8" w:color="auto"/>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6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57"/>
        </w:trPr>
        <w:tc>
          <w:tcPr>
            <w:tcW w:w="52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and Nine Months Ended September 30, 2025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00" w:type="dxa"/>
            <w:vAlign w:val="bottom"/>
          </w:tcPr>
          <w:p>
            <w:pPr>
              <w:spacing w:after="0"/>
              <w:rPr>
                <w:sz w:val="15"/>
                <w:szCs w:val="15"/>
                <w:color w:val="auto"/>
              </w:rPr>
            </w:pPr>
          </w:p>
        </w:tc>
      </w:tr>
      <w:tr>
        <w:trPr>
          <w:trHeight w:val="159"/>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4"/>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902</w:t>
            </w:r>
          </w:p>
        </w:tc>
        <w:tc>
          <w:tcPr>
            <w:tcW w:w="7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92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4"/>
                <w:szCs w:val="14"/>
                <w:color w:val="auto"/>
              </w:rPr>
              <w:t>2,693</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2,631</w:t>
            </w: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color w:val="auto"/>
              </w:rPr>
              <w:t>9.2 %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2.4 %</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 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463415" cy="878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63415" cy="87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2025, net sales compared to the prior period increased by $76 million or 9% (including a favorable impact of $26 million or 3% due to foreign currency translation primarily driven by higher Euro-to-U.S. dollar exchange rates). This increase was primarily related to favorable foreign currency impacts and higher demand in gasoline and diesel, partially offset by weaker demand for replacement parts on aftermarket sales and unfavorable product mix. Net sales also includes $12 million of recoveries on enacted import tariffs.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$45 million or 13% (including a favorable impact of $11 million or 3% due to foreign currency translation), primarily driven by new application launches and program ramp-ups in Europe, China, India and North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increased by $21 million or 12% (including a favorable impact of $9 million or 5% due to foreign currency translation), primarily driven by strong light commercial vehicle performance in Europe combined with sustained demand for pickup trucks in North America, South America and Southeast Asia.</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increased by $9 million or 6% (including a favorable impact of $2 million or 2% due to foreign currency translation), primarily driven by launch of an on-highway program in Europe and partial recovery of prior year softness in the construction and agriculture industries.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decreased by $1 million or 1% (including a favorable impact of $3 million or 3% due to foreign currency translation), primarily due to softer demand for off-highway replacement parts in North America.</w:t>
      </w: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463415" cy="899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6341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For the nine months ended September 30, 2025, net sales compared to the prior period increased by $62 million or 2% (including a favorable impact of $28 million or 1% due to foreign currency translation, primarily driven by fluctuations in global exchange rates). This increase was primarily related to favorable foreign currency impacts and higher demand in gasoline and commercial vehicles, partially offset by weaker demand for replacement parts on aftermarket sales and weakness in light vehicle diesel in Europe. Net sales also include $30 million of recoveries on enacted import tariffs.</w:t>
      </w:r>
    </w:p>
    <w:p>
      <w:pPr>
        <w:spacing w:after="0" w:line="28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$83 million or 7% (including a favorable impact of $10 million or 1% due to foreign currency translation), primarily driven by new application launches and program ramp-ups in Europe, North America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$15 million or 2% (including a favorable impact of $11 million or 2% due to foreign currency translation), primarily driven by passenger vehicles in Europe pursuing transition to gasoline hybrids, partially offset by sustained demand for pickup trucks in North America, South America and Southeast Asia.</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increased by $12 million or 3% (including a favorable impact of $3 million or 1% due to foreign currency translation), primarily driven by launch of an on-highway program in Europe and partial recovery of prior year softness in the construction and agriculture industries.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decreased by $25 million or 7% (including a favorable impact of $3 million or 1% due to foreign currency translation), primarily driven by softer demand for off-highway replacement parts in North America.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2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2"/>
                <w:szCs w:val="12"/>
                <w:color w:val="auto"/>
              </w:rPr>
            </w:pPr>
          </w:p>
        </w:tc>
      </w:tr>
      <w:tr>
        <w:trPr>
          <w:trHeight w:val="159"/>
        </w:trPr>
        <w:tc>
          <w:tcPr>
            <w:tcW w:w="45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Borders>
              <w:bottom w:val="single" w:sz="8" w:color="auto"/>
            </w:tcBorders>
          </w:tcPr>
          <w:p>
            <w:pPr>
              <w:spacing w:after="0"/>
              <w:rPr>
                <w:sz w:val="13"/>
                <w:szCs w:val="13"/>
                <w:color w:val="auto"/>
              </w:rPr>
            </w:pPr>
          </w:p>
        </w:tc>
      </w:tr>
      <w:tr>
        <w:trPr>
          <w:trHeight w:val="161"/>
        </w:trPr>
        <w:tc>
          <w:tcPr>
            <w:tcW w:w="4500" w:type="dxa"/>
            <w:vAlign w:val="bottom"/>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4"/>
                <w:szCs w:val="14"/>
                <w:color w:val="auto"/>
              </w:rPr>
              <w:t>716</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4"/>
                <w:szCs w:val="14"/>
                <w:color w:val="auto"/>
              </w:rPr>
              <w:t>2,147</w:t>
            </w:r>
          </w:p>
        </w:tc>
        <w:tc>
          <w:tcPr>
            <w:tcW w:w="64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2,108</w:t>
            </w:r>
          </w:p>
        </w:tc>
      </w:tr>
      <w:tr>
        <w:trPr>
          <w:trHeight w:val="19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 for the Three Months Ended September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September 30, 2024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220" w:type="dxa"/>
            <w:vAlign w:val="bottom"/>
          </w:tcPr>
          <w:p>
            <w:pPr>
              <w:spacing w:after="0"/>
              <w:rPr>
                <w:sz w:val="15"/>
                <w:szCs w:val="15"/>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4"/>
                <w:szCs w:val="14"/>
                <w:color w:val="auto"/>
                <w:w w:val="97"/>
              </w:rPr>
              <w:t>(9)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220" w:type="dxa"/>
            <w:vAlign w:val="bottom"/>
          </w:tcPr>
          <w:p>
            <w:pPr>
              <w:spacing w:after="0"/>
              <w:rPr>
                <w:sz w:val="15"/>
                <w:szCs w:val="15"/>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4"/>
                <w:szCs w:val="14"/>
                <w:color w:val="auto"/>
                <w:w w:val="97"/>
              </w:rPr>
              <w:t>(7)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Enacted import tariffs</w:t>
            </w:r>
          </w:p>
        </w:tc>
        <w:tc>
          <w:tcPr>
            <w:tcW w:w="220" w:type="dxa"/>
            <w:vAlign w:val="bottom"/>
          </w:tcPr>
          <w:p>
            <w:pPr>
              <w:spacing w:after="0"/>
              <w:rPr>
                <w:sz w:val="15"/>
                <w:szCs w:val="15"/>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September 30, 2025</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2025, cost of goods sold increased by $56 million, primarily driven by $61 million from higher sales volumes, $12 million from enacted import tariffs and $11 million from foreign currency impacts. These increases were partially offset by $9 million of favorable product mix, $7 million of commodity, transportation and energy deflation, $6 million of productivity net of labor inflation and $6 million of lower R&amp;D costs.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2025, gross profit increased by $20 million, primarily driven by $28 million from higher sales volumes, $14 million from foreign currency impacts, $10 million from productivity net of labor inflation, $7 million from commodity, transportation and energy deflation and $6 million of lower R&amp;D costs. These increases were partially offset by $28 million of unfavorable product mix and $17 million of pricing, net of inflation pass-through.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 for the Nine Months Ended September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nine months ended September 30, 2024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Enacted import tariffs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nine months ended September 30, 2025</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nine months ended September 30, 2025, cost of goods sold increased by $39 million, primarily driven by $52 million from higher sales volumes, $31 million from enacted import tariffs, $12 million from foreign currency impacts and $1 million from unfavorable product mix. These increases were partially offset by $30 million of productivity net of labor inflation, $20 million of commodity, transportation and energy deflation and $7 million of lower R&amp;D costs.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nine months ended September 30, 2025, gross profit increased by $23 million, primarily driven by $35 million of productivity, net of labor inflation, $22 million of higher sales volumes, $20 million of commodity, transportation and energy deflation, $15 million from foreign currency impacts and $7 million of lower R&amp;D costs. These increases were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1" w:name="page32"/>
    <w:bookmarkEnd w:id="31"/>
    <w:p>
      <w:pPr>
        <w:jc w:val="both"/>
        <w:spacing w:after="0" w:line="289" w:lineRule="auto"/>
        <w:rPr>
          <w:sz w:val="20"/>
          <w:szCs w:val="20"/>
          <w:color w:val="auto"/>
        </w:rPr>
      </w:pPr>
      <w:r>
        <w:rPr>
          <w:rFonts w:ascii="Times New Roman" w:cs="Times New Roman" w:eastAsia="Times New Roman" w:hAnsi="Times New Roman"/>
          <w:sz w:val="14"/>
          <w:szCs w:val="14"/>
          <w:color w:val="auto"/>
        </w:rPr>
        <w:t>partially offset by $60 million from unfavorable product mix and $15 million of price net of inflation pass through. We also had a $1 million impact to gross profit from newly enacted import tariffs due to the timing of negotiated recoveries.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49"/>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Pr>
          <w:p>
            <w:pPr>
              <w:spacing w:after="0"/>
              <w:rPr>
                <w:sz w:val="12"/>
                <w:szCs w:val="12"/>
                <w:color w:val="auto"/>
              </w:rPr>
            </w:pPr>
          </w:p>
        </w:tc>
      </w:tr>
      <w:tr>
        <w:trPr>
          <w:trHeight w:val="30"/>
        </w:trPr>
        <w:tc>
          <w:tcPr>
            <w:tcW w:w="44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48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57</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175</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178</w:t>
            </w:r>
          </w:p>
        </w:tc>
      </w:tr>
      <w:tr>
        <w:trPr>
          <w:trHeight w:val="19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(“SG&amp;A”) expenses for the three months ended September 30, 2025, increased by $4 million compared with the prior period, primarily driven by $4 million unfavorable foreign currency impacts and $2 million of higher bad debt expense. These increases were partially offset by a $3 million reduction in personnel costs, driven by sustainable cost measures implemented in the current and prior years.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SG&amp;A expenses for the nine months ended September 30, 2025, decreased by $3 million compared with the prior period, primarily driven by a $5 million reduction in personnel costs related to cost measures implemented in current and prior years and $3 million of lower outsourced activities partially offset by $6 million primarily related to acquisition and divestiture expenses.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2"/>
          </w:tcPr>
          <w:p>
            <w:pPr>
              <w:jc w:val="center"/>
              <w:ind w:left="58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53"/>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jc w:val="center"/>
              <w:ind w:left="5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jc w:val="center"/>
              <w:ind w:left="6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18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expense, net for the three months ended September 30, 2025 was consistent with the prior period.</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expense, net for the nine months ended September 30, 2025 increased by $4 million compared to the prior period, primarily driven by $6 million in third-party costs related to our Restatement Agreement partially offset by $2 million of professional fees associated with our 2032 Senior Notes in the prior year.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gridSpan w:val="3"/>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10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83</w:t>
            </w: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r>
    </w:tbl>
    <w:p>
      <w:pPr>
        <w:spacing w:after="0" w:line="25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2025, interest expense decreased by $8 million compared to the prior period. This decrease was primarily due to $3 million in lower interest expense resulting from the Amendment and Restatement of our Credit Agreement. Additionally, we did not record any net gains on designated and undesignated interest rate derivatives in the current year, in comparison to net gains of $5 million in the prior year.</w:t>
      </w:r>
    </w:p>
    <w:p>
      <w:pPr>
        <w:spacing w:after="0" w:line="158"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the nine months ended September 30, 2025, interest expense decreased by $47 million compared to the prior period. This decrease was primarily due to a $30 million reduction in debt issuance cost amortization, driven by accelerated amortization in the prior year, and $22 million of lower interest expense resulting from the Amendment and Restatement of our Credit Agreement. In addition, we recorded net gains of $4 million on our designated and undesignated interest derivatives in the current year, in comparison to net gains of $9 million in the prior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Net</w:t>
      </w: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19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three months ended September 30, 2025, we had non-operating income of $3 million versus $1 million in the prior period. The increase in non-operating income was primarily driven by higher interest income.</w:t>
      </w:r>
    </w:p>
    <w:p>
      <w:pPr>
        <w:spacing w:after="0" w:line="9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nine months ended September 30, 2025, we had non-operating income of $10 million versus $7 million in the prior period. The increase in non-operating income was primarily driven by higher foreign exchange transactional gains, partially offset by lower equity income due to the prior year sale of an equity interest in an unconsolidated joint venture.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Pr>
          <w:p>
            <w:pPr>
              <w:spacing w:after="0"/>
              <w:rPr>
                <w:sz w:val="12"/>
                <w:szCs w:val="12"/>
                <w:color w:val="auto"/>
              </w:rPr>
            </w:pPr>
          </w:p>
        </w:tc>
      </w:tr>
      <w:tr>
        <w:trPr>
          <w:trHeight w:val="30"/>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4"/>
                <w:szCs w:val="14"/>
                <w:color w:val="auto"/>
              </w:rPr>
              <w:t>25</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63</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62</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r>
    </w:tbl>
    <w:p>
      <w:pPr>
        <w:spacing w:after="0" w:line="210"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auto"/>
        </w:rPr>
        <w:t>The effective tax rates for the three months ended September 30, 2025 and 2024 were 24.5% and 31.6%, respectively. The effective tax rates for the nine months ended September 30, 2025 and 2024 were 21.8% and 25.4%, respectively.</w:t>
      </w:r>
    </w:p>
    <w:p>
      <w:pPr>
        <w:spacing w:after="0" w:line="134"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auto"/>
        </w:rPr>
        <w:t xml:space="preserve">The change in the effective tax rate for the three months ended September 30, 2025, compared to the prior period is primarily </w:t>
      </w:r>
      <w:r>
        <w:rPr>
          <w:rFonts w:ascii="Times New Roman" w:cs="Times New Roman" w:eastAsia="Times New Roman" w:hAnsi="Times New Roman"/>
          <w:sz w:val="14"/>
          <w:szCs w:val="14"/>
          <w:color w:val="231F20"/>
        </w:rPr>
        <w:t>related to a decrease in U.S. taxes on international operations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the global mix of earnings.</w:t>
      </w:r>
    </w:p>
    <w:p>
      <w:pPr>
        <w:spacing w:after="0" w:line="145"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w:t>
      </w:r>
      <w:r>
        <w:rPr>
          <w:rFonts w:ascii="Times New Roman" w:cs="Times New Roman" w:eastAsia="Times New Roman" w:hAnsi="Times New Roman"/>
          <w:sz w:val="14"/>
          <w:szCs w:val="14"/>
          <w:color w:val="000000"/>
        </w:rPr>
        <w:t>nine months ended September 30, 2025</w:t>
      </w:r>
      <w:r>
        <w:rPr>
          <w:rFonts w:ascii="Times New Roman" w:cs="Times New Roman" w:eastAsia="Times New Roman" w:hAnsi="Times New Roman"/>
          <w:sz w:val="14"/>
          <w:szCs w:val="14"/>
          <w:color w:val="231F20"/>
        </w:rPr>
        <w:t>, compared to the prior period is primarily related to a one-time benefit attributable to the revaluation of deferred tax assets in China.</w:t>
      </w:r>
    </w:p>
    <w:p>
      <w:pPr>
        <w:spacing w:after="0" w:line="156"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231F20"/>
        </w:rPr>
        <w:t>The Organization for Economic Cooperation and Development reached agreement among over 140 countries to implement a minimum 15% tax rate on certain multinational enterprises, commonly referred to as Pillar Two. Many countries we operate in continue to announce changes in their tax laws and regulations based on the Pillar Two framework. While we continue to evaluate the impact of these legislative changes as additional guidance becomes available, uncertainty remains regarding the timing and interpretation by tax authorities in affected jurisdictions. For 2025, Pillar Two is not expected to have a material impact to our effective tax rate.</w:t>
      </w:r>
    </w:p>
    <w:p>
      <w:pPr>
        <w:spacing w:after="0" w:line="16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On July 4, 2025, the United States enacted H.R. 1, comprehensive legislation that introduced changes to federal tax law, among other things. We are currently evaluating the implications of the new tax law and its impact on our Consolidated Interim Financial Statements. F</w:t>
      </w:r>
      <w:r>
        <w:rPr>
          <w:rFonts w:ascii="Times New Roman" w:cs="Times New Roman" w:eastAsia="Times New Roman" w:hAnsi="Times New Roman"/>
          <w:sz w:val="14"/>
          <w:szCs w:val="14"/>
          <w:color w:val="231F20"/>
        </w:rPr>
        <w:t>urther enactment of legislation by jurisdictions in which we do business could also have an impact on our future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effective tax rate, tax liabilities, and cash tax.</w:t>
      </w:r>
    </w:p>
    <w:p>
      <w:pPr>
        <w:spacing w:after="0" w:line="15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Pr>
          <w:p>
            <w:pPr>
              <w:spacing w:after="0"/>
              <w:rPr>
                <w:sz w:val="12"/>
                <w:szCs w:val="12"/>
                <w:color w:val="auto"/>
              </w:rPr>
            </w:pPr>
          </w:p>
        </w:tc>
      </w:tr>
      <w:tr>
        <w:trPr>
          <w:trHeight w:val="30"/>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4"/>
                <w:szCs w:val="14"/>
                <w:color w:val="auto"/>
              </w:rPr>
              <w:t>77</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226</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182</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r>
      <w:tr>
        <w:trPr>
          <w:trHeight w:val="532"/>
        </w:trPr>
        <w:tc>
          <w:tcPr>
            <w:tcW w:w="4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32</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9"/>
        </w:trPr>
        <w:tc>
          <w:tcPr>
            <w:tcW w:w="4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3" w:name="page34"/>
    <w:bookmarkEnd w:id="33"/>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Net income for the three months ended September 30, 2025, increased by $25 million compared with the prior period, primarily due to $20 million of increased gross profit, $8 million of lower interest expense, and a $2 million increase in non-operating income. These were partially offset by $4 million of increased SG&amp;A expense and $1 million of higher tax expense.</w:t>
      </w:r>
    </w:p>
    <w:p>
      <w:pPr>
        <w:spacing w:after="0" w:line="10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Net income for the nine months ended September 30, 2025, increased by $44 million compared with the prior period, primarily due to $47 million of lower interest expense, $23 million of increased gross profit, $3 million of lower SG&amp;A expense, and a $3 million increase in non-operating income. These were partially offset by $4 million of higher other expense, net and the prior year gain of $27 million on the sale of an equity interest in an unconsolidated joint venture.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from, or as a substitute for, an analysis of the Company’s operating results as reported under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EBIT and Adjusted EBIT</w:t>
      </w:r>
    </w:p>
    <w:p>
      <w:pPr>
        <w:spacing w:after="0" w:line="16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In 2025, we revised our non-GAAP reporting metric, transitioning from Adjusted EBITDA to Adjusted EBIT. This change is intended to better reflect our core operating performance and align with industry practices. We believe this change will provide investors with a clearer understanding of our ongoing operational performance.</w:t>
      </w:r>
    </w:p>
    <w:p>
      <w:pPr>
        <w:spacing w:after="0" w:line="92"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4"/>
          <w:szCs w:val="14"/>
          <w:color w:val="auto"/>
        </w:rPr>
        <w:t>We define “EBIT” as our net income calculated in accordance with U.S. GAAP, plus the sum of (i) interest expense net of interest income and (ii) tax expense. We define “Adjusted EBIT” as EBIT, plus the sum of (i) repositioning costs, (ii) foreign exchange (gain) loss on debt net of related hedging (gains) losses, (iii) discounting costs on factoring, (iv) gain on sale of equity investment,</w:t>
      </w:r>
    </w:p>
    <w:p>
      <w:pPr>
        <w:spacing w:after="0" w:line="1" w:lineRule="exact"/>
        <w:rPr>
          <w:sz w:val="20"/>
          <w:szCs w:val="20"/>
          <w:color w:val="auto"/>
        </w:rPr>
      </w:pPr>
    </w:p>
    <w:p>
      <w:pPr>
        <w:ind w:firstLine="5"/>
        <w:spacing w:after="0" w:line="268" w:lineRule="auto"/>
        <w:tabs>
          <w:tab w:leader="none" w:pos="2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 expenses, (vi) other non-operating income, (vii) capital structure transformation expenses, (viii) debt refinancing and redemption costs, and (ix) loss on extinguishment of debt, if any. We believe that EBIT and Adjusted EBIT are important indicators of operating performance and provide useful information for investors because:</w:t>
      </w:r>
    </w:p>
    <w:p>
      <w:pPr>
        <w:spacing w:after="0" w:line="105"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and Adjusted EBIT exclude the effects of income taxes, as well as the effects of financing activities by eliminating the effects of interest and therefore more closely measure our operational performance; and</w:t>
      </w:r>
    </w:p>
    <w:p>
      <w:pPr>
        <w:spacing w:after="0" w:line="102"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could therefore have a disproportionate effect in a given period, affecting the comparability of our results.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income under GAAP to Adjusted EBIT: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80" w:type="dxa"/>
            <w:vAlign w:val="bottom"/>
          </w:tcPr>
          <w:p>
            <w:pPr>
              <w:spacing w:after="0"/>
              <w:rPr>
                <w:sz w:val="12"/>
                <w:szCs w:val="12"/>
                <w:color w:val="auto"/>
              </w:rPr>
            </w:pPr>
          </w:p>
        </w:tc>
      </w:tr>
      <w:tr>
        <w:trPr>
          <w:trHeight w:val="159"/>
        </w:trPr>
        <w:tc>
          <w:tcPr>
            <w:tcW w:w="59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80" w:type="dxa"/>
            <w:vAlign w:val="bottom"/>
            <w:tcBorders>
              <w:bottom w:val="single" w:sz="8" w:color="auto"/>
            </w:tcBorders>
          </w:tcPr>
          <w:p>
            <w:pPr>
              <w:spacing w:after="0"/>
              <w:rPr>
                <w:sz w:val="13"/>
                <w:szCs w:val="13"/>
                <w:color w:val="auto"/>
              </w:rPr>
            </w:pPr>
          </w:p>
        </w:tc>
      </w:tr>
      <w:tr>
        <w:trPr>
          <w:trHeight w:val="161"/>
        </w:trPr>
        <w:tc>
          <w:tcPr>
            <w:tcW w:w="59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5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gridSpan w:val="3"/>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2"/>
        </w:trPr>
        <w:tc>
          <w:tcPr>
            <w:tcW w:w="59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expense</w:t>
            </w:r>
          </w:p>
        </w:tc>
        <w:tc>
          <w:tcPr>
            <w:tcW w:w="7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7"/>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w:t>
            </w:r>
          </w:p>
        </w:tc>
        <w:tc>
          <w:tcPr>
            <w:tcW w:w="7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219"/>
        </w:trPr>
        <w:tc>
          <w:tcPr>
            <w:tcW w:w="59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Repositioning costs </w:t>
            </w:r>
            <w:r>
              <w:rPr>
                <w:rFonts w:ascii="Times New Roman" w:cs="Times New Roman" w:eastAsia="Times New Roman" w:hAnsi="Times New Roman"/>
                <w:sz w:val="22"/>
                <w:szCs w:val="22"/>
                <w:color w:val="auto"/>
                <w:vertAlign w:val="superscript"/>
              </w:rPr>
              <w:t>(2)</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7"/>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gain on debt, net of related hedging loss</w:t>
            </w:r>
          </w:p>
        </w:tc>
        <w:tc>
          <w:tcPr>
            <w:tcW w:w="7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9"/>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7"/>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equity investment</w:t>
            </w: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19"/>
        </w:trPr>
        <w:tc>
          <w:tcPr>
            <w:tcW w:w="59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22"/>
                <w:szCs w:val="22"/>
                <w:color w:val="auto"/>
                <w:vertAlign w:val="superscript"/>
              </w:rPr>
              <w:t>(3)</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3"/>
        </w:trPr>
        <w:tc>
          <w:tcPr>
            <w:tcW w:w="59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22"/>
                <w:szCs w:val="22"/>
                <w:color w:val="auto"/>
                <w:vertAlign w:val="superscript"/>
              </w:rPr>
              <w:t>(4)</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expenses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w:t>
            </w: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20" w:hanging="259"/>
        <w:spacing w:after="0" w:line="289"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income of $1 million and $0 million for the three months ended September 30, 2025 and 2024, respectively, and $3 million and $3 million for the nine months ended September 30, 2025 and 2024, respectively.</w:t>
      </w:r>
    </w:p>
    <w:p>
      <w:pPr>
        <w:spacing w:after="0" w:line="10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includes severance costs related to restructuring projects to improve future productivity.</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non-service component of net periodic pension income.</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third-party costs directly attributable to the refinancing of our credit facilities and any amendments.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122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6341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three months ended September 30, 2025</w:t>
      </w:r>
      <w:r>
        <w:rPr>
          <w:rFonts w:ascii="Times New Roman" w:cs="Times New Roman" w:eastAsia="Times New Roman" w:hAnsi="Times New Roman"/>
          <w:sz w:val="14"/>
          <w:szCs w:val="14"/>
          <w:color w:val="231F20"/>
        </w:rPr>
        <w:t xml:space="preserve">, net income increased by $25 million versus the prior period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Nine Months Ended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September 30, 2025</w:t>
      </w:r>
      <w:r>
        <w:rPr>
          <w:rFonts w:ascii="Times New Roman" w:cs="Times New Roman" w:eastAsia="Times New Roman" w:hAnsi="Times New Roman"/>
          <w:sz w:val="14"/>
          <w:szCs w:val="14"/>
          <w:color w:val="231F20"/>
        </w:rPr>
        <w:t>.</w:t>
      </w:r>
    </w:p>
    <w:p>
      <w:pPr>
        <w:spacing w:after="0" w:line="8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Adjusted EBIT increased by $16 million compared to the prior period, driven by $28 million of higher sales volumes, $11 million of productivity, net of labor inflation and higher stock based compensation, $9 million of foreign currency impacts, $7 million of commodity, transportation and energy deflation and $6 million lower R&amp;D costs. These increases were partially offset by $28 million of unfavorable product mix and $17 million of lower pricing net of inflation pass-through.</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During the three months ended September 30, 2025, we saw growth in gasoline from new application launches and program ramp-ups in Europe, China, India and North America. Volumes for diesel and commercial vehicles also increased due to higher demand in Europe and North America, and the launch of an on-highway program in Europe, respectively. Aftermarket volumes, however, showed continued softness primarily due to lower demand for off-highway replacement</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231F20"/>
        </w:rPr>
        <w:t>parts in North America. The combination of these volume dynamics, led by the strong growth in gasoline, resulted in an unfavorable product mix.</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 and higher stock based compensation.</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Gains in foreign currency from translational, transactional, and hedging effects in the three months ended September 30, 2025, primarily driven by a higher Euro-to-U.S. dollar versus the prior period, accounted for a $9 million increase in Adjusted EBIT.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122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6341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nine months ended September 30, 2025</w:t>
      </w:r>
      <w:r>
        <w:rPr>
          <w:rFonts w:ascii="Times New Roman" w:cs="Times New Roman" w:eastAsia="Times New Roman" w:hAnsi="Times New Roman"/>
          <w:sz w:val="14"/>
          <w:szCs w:val="14"/>
          <w:color w:val="231F20"/>
        </w:rPr>
        <w:t xml:space="preserve">, net income increased by </w:t>
      </w:r>
      <w:r>
        <w:rPr>
          <w:rFonts w:ascii="Times New Roman" w:cs="Times New Roman" w:eastAsia="Times New Roman" w:hAnsi="Times New Roman"/>
          <w:sz w:val="14"/>
          <w:szCs w:val="14"/>
          <w:color w:val="000000"/>
        </w:rPr>
        <w:t>$44 million</w:t>
      </w:r>
      <w:r>
        <w:rPr>
          <w:rFonts w:ascii="Times New Roman" w:cs="Times New Roman" w:eastAsia="Times New Roman" w:hAnsi="Times New Roman"/>
          <w:sz w:val="14"/>
          <w:szCs w:val="14"/>
          <w:color w:val="231F20"/>
        </w:rPr>
        <w:t xml:space="preserve"> versus the prior period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Nine Months Ended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September 30, 2025</w:t>
      </w:r>
      <w:r>
        <w:rPr>
          <w:rFonts w:ascii="Times New Roman" w:cs="Times New Roman" w:eastAsia="Times New Roman" w:hAnsi="Times New Roman"/>
          <w:sz w:val="14"/>
          <w:szCs w:val="14"/>
          <w:color w:val="231F20"/>
        </w:rPr>
        <w:t>.</w:t>
      </w:r>
    </w:p>
    <w:p>
      <w:pPr>
        <w:spacing w:after="0" w:line="10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Adjusted EBIT increased by $27 million compared to the prior year, mainly from $40 million of productivity, net of labor inflation and higher stock based compensation, $22 million of higher sales volumes from gasoline and commercial vehicles, $20 million of commodity, transportation, and energy deflation, $13 million of favorable foreign exchange impacts and $7 million of lower R&amp;D costs. These increases were partially offset by $60 million of unfavorable product mix and $15 million of pricing net of inflation pass through.</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 xml:space="preserve">During the nine months ended September 30, 2025, we saw growth in gasoline from new application launches and program ramp-ups in Europe, North America and India. Volumes for commercial vehicles also increased due to a launch of an on-highway program in Europe and </w:t>
      </w:r>
      <w:r>
        <w:rPr>
          <w:rFonts w:ascii="Times New Roman" w:cs="Times New Roman" w:eastAsia="Times New Roman" w:hAnsi="Times New Roman"/>
          <w:sz w:val="14"/>
          <w:szCs w:val="14"/>
          <w:color w:val="000000"/>
        </w:rPr>
        <w:t>partial recovery of prior year softness in the construction and agriculture industries</w:t>
      </w:r>
      <w:r>
        <w:rPr>
          <w:rFonts w:ascii="Times New Roman" w:cs="Times New Roman" w:eastAsia="Times New Roman" w:hAnsi="Times New Roman"/>
          <w:sz w:val="14"/>
          <w:szCs w:val="14"/>
          <w:color w:val="231F20"/>
        </w:rPr>
        <w:t>. Aftermarket volumes, however, showed continued softness primarily due to lower demand for off-highway replacement parts in North America. The combination of these volume dynamics resulted in an unfavorable product mix.</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Gains in foreign currency from translational, transactional, and hedging effects in the nine months ended September 30, 2025, primarily driven by a higher Euro-to-U.S. dollar versus the prior period, accounted for a $13 million increase in Adjusted EBIT.</w:t>
      </w: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140" w:type="dxa"/>
            <w:vAlign w:val="bottom"/>
          </w:tcPr>
          <w:p>
            <w:pPr>
              <w:jc w:val="center"/>
              <w:ind w:left="37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000" w:type="dxa"/>
            <w:vAlign w:val="bottom"/>
          </w:tcPr>
          <w:p>
            <w:pPr>
              <w:spacing w:after="0"/>
              <w:rPr>
                <w:sz w:val="12"/>
                <w:szCs w:val="12"/>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8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FF0FC"/>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4"/>
          <w:szCs w:val="14"/>
          <w:color w:val="auto"/>
        </w:rPr>
        <w:t>On January 30, 2025, we entered into the Restatement Agreement, which amends and restates the Existing Credit Agreement, under which we refinanced in full our $692 million 2021 Dollar Term Facility with a new 2025 Dollar Term Facility in an aggregate principal amount of $692 million. The 2025 Dollar Term Facility will mature on January 30, 2032, and initially bore interest at a spread equal to, at our option, the Adjusted Term SOFR Rate plus 2.25% per annum in the case of Term Benchmark Loans and the Alternate Base Rate plus 1.25% per annum in the case of ABR Loans. We also replaced our existing $600 million revolving facility under the Existing Credit Agreement with the New Revolving Facility under the Credit Agreement in an aggregate principal amount of $630 million. The maturity date of the New Revolving Facility is January 30, 2030.</w:t>
      </w:r>
    </w:p>
    <w:p>
      <w:pPr>
        <w:spacing w:after="0" w:line="11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On August 6, 2025, we entered into the First Amendment to the Restatement Agreement, which reduced the Applicable Rate to the Adjusted Term SOFR Rate plus 2.00% per annum in the case of Term Benchmark Loans and the Alternate Base Rate plus 1.00% per annum in the case of ABR Loans.</w:t>
      </w:r>
    </w:p>
    <w:p>
      <w:pPr>
        <w:spacing w:after="0" w:line="9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During the nine months ended September 30, 2025, we paid cash dividends of $36 million. On October 23, 2025, we declared a cash dividend of $0.08 per share of Common Stock, payable on December 15, 2025, to shareholders of record as of December 1, 2025.</w:t>
      </w:r>
    </w:p>
    <w:p>
      <w:pPr>
        <w:spacing w:after="0" w:line="10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employ several means to manage our liquidity, and our sources of financing include cash flows from operations, cash and cash equivalents on hand, the 2032 Senior Notes, and our Credit Agreement, including our 2025 Dollar Term Facility and our New Revolving Facility. We expect to continue investing in our facilities as we expand our manufacturing capacity for new product launches and invest in new technologies and strategic growth opportunities, in particular in connection with our zero-emission technologies. We believe the combination of expected cash flows, the term loan borrowings, the 2032 Senior Notes, and the New Revolving Facility, will provide us with adequate liquidity to support the Company's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 xml:space="preserve">On December 4, 2024, the Board of Directors authorized a $250 million share repurchase program valid from January 1, 2025, until December 31, 2025. During the nine months ended September 30, 2025, we repurchased $136 million of Common Stock, with $114 million remaining under the share repurchase program as of that date. These repurchases include a total of 5 million shares repurchased from funds affiliated with Oaktree Capital Management, L.P., a related party, for approximately $62 million. We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We are not obligated to purchase any shares under the share repurchase program, and the program may be suspended, modified, or discontinued at any time without prior notice. For more information, see Item 2. </w:t>
      </w:r>
      <w:r>
        <w:rPr>
          <w:rFonts w:ascii="Times New Roman" w:cs="Times New Roman" w:eastAsia="Times New Roman" w:hAnsi="Times New Roman"/>
          <w:sz w:val="14"/>
          <w:szCs w:val="14"/>
          <w:i w:val="1"/>
          <w:iCs w:val="1"/>
          <w:color w:val="auto"/>
        </w:rPr>
        <w:t>Unregistered Sales of Equity Securities and Use of Proceeds</w:t>
      </w:r>
      <w:r>
        <w:rPr>
          <w:rFonts w:ascii="Times New Roman" w:cs="Times New Roman" w:eastAsia="Times New Roman" w:hAnsi="Times New Roman"/>
          <w:sz w:val="14"/>
          <w:szCs w:val="14"/>
          <w:color w:val="auto"/>
        </w:rPr>
        <w:t>.</w:t>
      </w:r>
    </w:p>
    <w:p>
      <w:pPr>
        <w:spacing w:after="0" w:line="2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Nine Months Ended September 30, 2025</w:t>
      </w:r>
    </w:p>
    <w:p>
      <w:pPr>
        <w:spacing w:after="0" w:line="10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2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increased by $37 million for the nine months ended September 30, 2025, versus the prior year. The increase was primarily driven by $44 million of higher net income and $39 million of favorable impacts from working capital changes, partially offset by a decrease of $34 million of non-cash charges and $12 million of unfavorable impacts from changes in other assets and liabilities.</w:t>
      </w:r>
    </w:p>
    <w:p>
      <w:pPr>
        <w:spacing w:after="0" w:line="115"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Cash flow used for investing activities decreased by $28 million for the nine months ended September 30, 2025, compared to the same period in the prior year. The decrease was primarily driven by $46 million in proceeds from the sale of our unconsolidated joint venture realized in the prior year, along with $3 million in reduced proceeds from the cross currency swap. These impacts were partially offset by $18 million in lower capital expenditures on property, plant and equipment and $3 million received for the first deferred payment on the sale of our unconsolidated joint venture.</w:t>
      </w:r>
    </w:p>
    <w:p>
      <w:pPr>
        <w:spacing w:after="0" w:line="281"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financing activities was $187 million for the nine months ended September 30, 2025, compared with $439 million in the prior year. During the nine months ended September 30, 2025, we made debt repayments of $87 million, payments of $136 million for the repurchase of Common Stock under our share repurchase program and payments of $36 million for dividends on our Common Stock. These payments were partially offset by proceeds of $80 million from the Credit Facilities.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comparison, cash used for financing activities was $439 million for the nine months ended September 30, 2024 primarily driven by aggregate debt repayments of $991 million on our credit facilities. We also made payments of $226 million for Common Stock repurchases, $7 million for debt issuance costs and $9 million for other financing activities. These payments were partially offset by proceeds of $794 million, net of deferred financing costs, from the issuance of our 2032 Senior Notes.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60"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The preparation of our Consolidated Interim Financial Statements in accordance with GAAP is based on the selection and application of accounting policies that require us to make significant estimates and assumptions about the effects of matters that are inherently uncertain. Actual results could differ from our estimates and assumptions, and any such differences could be material to our</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statements. Our critical accounting policies are summarized in the “Management’s Discussion and Analysis of Financial Condition and Results of Operations” section of our 2024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of the Notes to the Consolidated Interim Financial Statements for further discussion of recent accounting pronouncements.</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0"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and the other reports filed by us with the SEC from time to time, as well as statements incorporated by reference herein and related comments by our management, contain forward-looking statements within the meaning of the U.S. federal securities laws. All statements other than statements of historical fact,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In many cases, you can identify forward-looking statements by terms such as “aim,” “anticipate,” “appears,” “approximately,” “believe,” “continue,” “could,” “designed,” “effect,” “estimate,” “evaluate,” “expect,” “forecast,” “goal,” “initiative,” “intend,” “may,” “objective,” “outlook,” “plan,” “potential,” “priorities,” “project,” “pursue,” “seek,” “should,” “target,” “when,” “will,” “would,” or the negative of these terms or other similar expressions. In making these forward-looking statements, we rely on our current expectations and projections about possible future events and financial trends that we believe may affect our business, financial condition and results of operations.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 things, risks related to the following: (1) the ongoing evolution of the automotive industry; (2) the highly competitive markets in which we operate; (3) our reliance on sales to major customers; (4) changing industry and economic conditions; (5) the unique aspects of our aftermarket business; (6) pricing pressures from our original equipment manufacturer customers; (7) the foreign markets in which we operate; (8) climate change and increased scrutiny from customers, investors, regulators and other stakeholders; (9) recruitment, development, and retention of qualified personnel; (10) program launch difficulties; (11) volatility in the cost of raw materials, components, energy, transportation, and other inputs; (12) supply shortages or supplier distress leading to a disruption of our operations;</w:t>
      </w:r>
    </w:p>
    <w:p>
      <w:pPr>
        <w:spacing w:after="0" w:line="5" w:lineRule="exact"/>
        <w:rPr>
          <w:sz w:val="20"/>
          <w:szCs w:val="20"/>
          <w:color w:val="auto"/>
        </w:rPr>
      </w:pPr>
    </w:p>
    <w:p>
      <w:pPr>
        <w:jc w:val="both"/>
        <w:ind w:firstLine="5"/>
        <w:spacing w:after="0" w:line="254" w:lineRule="auto"/>
        <w:tabs>
          <w:tab w:leader="none" w:pos="27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sales from awarded business; (14) economic, political, regulatory, foreign exchange and other risks of our international operations; (15) geopolitical conditions, catastrophic events and pandemics; (16) joint venture partnerships, joint development projects and other strategic opportunities; (17) intellectual property rights; (18) work stoppages or other disruptions at our facilities;</w:t>
      </w:r>
    </w:p>
    <w:p>
      <w:pPr>
        <w:jc w:val="both"/>
        <w:ind w:firstLine="5"/>
        <w:spacing w:after="0" w:line="257" w:lineRule="auto"/>
        <w:tabs>
          <w:tab w:leader="none" w:pos="28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productivity and efficiency improvements and repositioning projects; (20) warranty claims, product recalls, field actions or product liability actions; (21) litigation, government proceedings and other contingencies and uncertainties; (22) environmental matters and liabilities; (23) third-party licensing arrangements; (24) information technology and data privacy considerations, including cybersecurity and other security concerns; (25) our substantial indebtedness and restrictive covenants related to such indebtedness; (26) tax considerations; (27) our ability to raise capital; (28) our pension funding obligations; (29) concentration of ownership of our equity securities; or (30) payment of dividends and share repurchases. For a further discussion of these and other risks, refer to Part I, Item 1A. "Risk Factors" of our 2024 Form 10-K.</w:t>
      </w:r>
    </w:p>
    <w:p>
      <w:pPr>
        <w:spacing w:after="0" w:line="12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You should read this Quarterly Report and the documents that we reference herein completely and with the understanding that our actual future results may be materially different from those envisioned by these forward-looking statements.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herein, whether as a result of any new information, future events, changed circumstances, or otherwise.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of September 30, 2025, the net fair value of all financial instruments with exposure to currency risk was $164 million. The potential loss or gain in fair value for such financial instruments from a hypothetical 10% adverse or favorable change in quoted currency exchange rates would be $271 million and $(268) million, respectively, as of September 30, 2025,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9"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auto"/>
        </w:rPr>
        <w:t xml:space="preserve">There have been no other material changes to the Company’s quantitative and qualitative disclosures about interest rate or commodity price risks as disclosed in Part II, Item 7A, </w:t>
      </w:r>
      <w:r>
        <w:rPr>
          <w:rFonts w:ascii="Times New Roman" w:cs="Times New Roman" w:eastAsia="Times New Roman" w:hAnsi="Times New Roman"/>
          <w:sz w:val="14"/>
          <w:szCs w:val="14"/>
          <w:i w:val="1"/>
          <w:iCs w:val="1"/>
          <w:color w:val="auto"/>
        </w:rPr>
        <w:t>Quantitative and Qualitative Disclosures About Market Risks</w:t>
      </w:r>
      <w:r>
        <w:rPr>
          <w:rFonts w:ascii="Times New Roman" w:cs="Times New Roman" w:eastAsia="Times New Roman" w:hAnsi="Times New Roman"/>
          <w:sz w:val="14"/>
          <w:szCs w:val="14"/>
          <w:color w:val="auto"/>
        </w:rPr>
        <w:t>, in our 2024 Form 10-K.</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September 30, 2025.</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40" w:name="page41"/>
    <w:bookmarkEnd w:id="40"/>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1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the discussion under Note 19,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Interim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which is incorporated by reference into this Part II, Item 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There have been no material changes to the risks described under "Risk Factors” in our 2024 Form 10-K. In addition to the other information set forth in this Quarterly Report on Form 10-Q, you should carefully consider the factors discussed under “Risk Factors” in our 2024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from January 1, 2025, until December 31, 2025.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September 30, 2025, and additional information regarding our share repurchase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May Yet Be</w:t>
            </w:r>
          </w:p>
        </w:tc>
        <w:tc>
          <w:tcPr>
            <w:tcW w:w="0" w:type="dxa"/>
            <w:vAlign w:val="bottom"/>
          </w:tcPr>
          <w:p>
            <w:pPr>
              <w:spacing w:after="0"/>
              <w:rPr>
                <w:sz w:val="1"/>
                <w:szCs w:val="1"/>
                <w:color w:val="auto"/>
              </w:rPr>
            </w:pPr>
          </w:p>
        </w:tc>
      </w:tr>
      <w:tr>
        <w:trPr>
          <w:trHeight w:val="115"/>
        </w:trPr>
        <w:tc>
          <w:tcPr>
            <w:tcW w:w="30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0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7"/>
        </w:trPr>
        <w:tc>
          <w:tcPr>
            <w:tcW w:w="302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900" w:type="dxa"/>
            <w:vAlign w:val="bottom"/>
            <w:gridSpan w:val="3"/>
            <w:vMerge w:val="continue"/>
          </w:tcPr>
          <w:p>
            <w:pPr>
              <w:spacing w:after="0"/>
              <w:rPr>
                <w:sz w:val="10"/>
                <w:szCs w:val="10"/>
                <w:color w:val="auto"/>
              </w:rPr>
            </w:pPr>
          </w:p>
        </w:tc>
        <w:tc>
          <w:tcPr>
            <w:tcW w:w="10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w:t>
            </w:r>
          </w:p>
        </w:tc>
        <w:tc>
          <w:tcPr>
            <w:tcW w:w="160" w:type="dxa"/>
            <w:vAlign w:val="bottom"/>
          </w:tcPr>
          <w:p>
            <w:pPr>
              <w:spacing w:after="0"/>
              <w:rPr>
                <w:sz w:val="10"/>
                <w:szCs w:val="10"/>
                <w:color w:val="auto"/>
              </w:rPr>
            </w:pPr>
          </w:p>
        </w:tc>
        <w:tc>
          <w:tcPr>
            <w:tcW w:w="8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the Plan or</w:t>
            </w:r>
          </w:p>
        </w:tc>
        <w:tc>
          <w:tcPr>
            <w:tcW w:w="0" w:type="dxa"/>
            <w:vAlign w:val="bottom"/>
          </w:tcPr>
          <w:p>
            <w:pPr>
              <w:spacing w:after="0"/>
              <w:rPr>
                <w:sz w:val="1"/>
                <w:szCs w:val="1"/>
                <w:color w:val="auto"/>
              </w:rPr>
            </w:pPr>
          </w:p>
        </w:tc>
      </w:tr>
      <w:tr>
        <w:trPr>
          <w:trHeight w:val="160"/>
        </w:trPr>
        <w:tc>
          <w:tcPr>
            <w:tcW w:w="3020" w:type="dxa"/>
            <w:vAlign w:val="bottom"/>
            <w:vMerge w:val="continue"/>
          </w:tcPr>
          <w:p>
            <w:pPr>
              <w:spacing w:after="0"/>
              <w:rPr>
                <w:sz w:val="13"/>
                <w:szCs w:val="13"/>
                <w:color w:val="auto"/>
              </w:rPr>
            </w:pPr>
          </w:p>
        </w:tc>
        <w:tc>
          <w:tcPr>
            <w:tcW w:w="10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1"/>
                <w:szCs w:val="11"/>
                <w:b w:val="1"/>
                <w:bCs w:val="1"/>
                <w:color w:val="auto"/>
                <w:w w:val="98"/>
              </w:rPr>
              <w:t xml:space="preserve">Purchased </w:t>
            </w:r>
            <w:r>
              <w:rPr>
                <w:rFonts w:ascii="Times New Roman" w:cs="Times New Roman" w:eastAsia="Times New Roman" w:hAnsi="Times New Roman"/>
                <w:sz w:val="14"/>
                <w:szCs w:val="14"/>
                <w:b w:val="1"/>
                <w:bCs w:val="1"/>
                <w:color w:val="auto"/>
                <w:w w:val="98"/>
                <w:vertAlign w:val="superscript"/>
              </w:rPr>
              <w:t>(1)</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16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2025 - July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196,292,875</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 2025 - August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5,799,335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123,823,380</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2025 - September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114,303,798</w:t>
            </w:r>
          </w:p>
        </w:tc>
        <w:tc>
          <w:tcPr>
            <w:tcW w:w="0" w:type="dxa"/>
            <w:vAlign w:val="bottom"/>
          </w:tcPr>
          <w:p>
            <w:pPr>
              <w:spacing w:after="0"/>
              <w:rPr>
                <w:sz w:val="1"/>
                <w:szCs w:val="1"/>
                <w:color w:val="auto"/>
              </w:rPr>
            </w:pPr>
          </w:p>
        </w:tc>
      </w:tr>
      <w:tr>
        <w:trPr>
          <w:trHeight w:val="17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6,710,397</w:t>
            </w:r>
          </w:p>
        </w:tc>
        <w:tc>
          <w:tcPr>
            <w:tcW w:w="12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6,710,397</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114,303,798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shares withheld to satisfy tax withholding obligations in connection with the vesting of equity awards.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than the repurchases reflected in the table above, there were no purchases of equity securities by the issuer or affiliated purchasers during the quarter ended September 30,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Agreements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September 30, 2025, no director or Section 16 officer of the Company adopted or terminated a "Rule 10b5-1 trading agreement" or "non-Rule 10b5-1 trading agreement," as each term is defined in Item 408(a) of Regulation S-K.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4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26670</wp:posOffset>
            </wp:positionV>
            <wp:extent cx="244094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40940" cy="698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64262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620" cy="698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33000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0095" cy="6985"/>
                    </a:xfrm>
                    <a:prstGeom prst="rect">
                      <a:avLst/>
                    </a:prstGeom>
                    <a:noFill/>
                  </pic:spPr>
                </pic:pic>
              </a:graphicData>
            </a:graphic>
          </wp:anchor>
        </w:drawing>
      </w:r>
    </w:p>
    <w:p>
      <w:pPr>
        <w:spacing w:after="0" w:line="29" w:lineRule="exact"/>
        <w:rPr>
          <w:sz w:val="20"/>
          <w:szCs w:val="20"/>
          <w:color w:val="auto"/>
        </w:rPr>
      </w:pPr>
    </w:p>
    <w:p>
      <w:pPr>
        <w:ind w:right="200"/>
        <w:spacing w:after="0" w:line="269" w:lineRule="auto"/>
        <w:rPr>
          <w:rFonts w:ascii="Times New Roman" w:cs="Times New Roman" w:eastAsia="Times New Roman" w:hAnsi="Times New Roman"/>
          <w:sz w:val="14"/>
          <w:szCs w:val="14"/>
          <w:u w:val="single" w:color="auto"/>
          <w:color w:val="0000FF"/>
        </w:rPr>
      </w:pPr>
      <w:hyperlink r:id="rId67">
        <w:r>
          <w:rPr>
            <w:rFonts w:ascii="Times New Roman" w:cs="Times New Roman" w:eastAsia="Times New Roman" w:hAnsi="Times New Roman"/>
            <w:sz w:val="14"/>
            <w:szCs w:val="14"/>
            <w:u w:val="single" w:color="auto"/>
            <w:color w:val="0000FF"/>
          </w:rPr>
          <w:t>Third Amended and Restated Certificate of Incorporation of Garrett Motion Inc., dated</w:t>
        </w:r>
      </w:hyperlink>
      <w:r>
        <w:rPr>
          <w:rFonts w:ascii="Times New Roman" w:cs="Times New Roman" w:eastAsia="Times New Roman" w:hAnsi="Times New Roman"/>
          <w:sz w:val="14"/>
          <w:szCs w:val="14"/>
          <w:u w:val="single" w:color="auto"/>
          <w:color w:val="0000FF"/>
        </w:rPr>
        <w:t xml:space="preserve"> </w:t>
      </w:r>
      <w:hyperlink r:id="rId67">
        <w:r>
          <w:rPr>
            <w:rFonts w:ascii="Times New Roman" w:cs="Times New Roman" w:eastAsia="Times New Roman" w:hAnsi="Times New Roman"/>
            <w:sz w:val="14"/>
            <w:szCs w:val="14"/>
            <w:u w:val="single" w:color="auto"/>
            <w:color w:val="0000FF"/>
          </w:rPr>
          <w:t>May 29, 2024</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68">
        <w:r>
          <w:rPr>
            <w:rFonts w:ascii="Times New Roman" w:cs="Times New Roman" w:eastAsia="Times New Roman" w:hAnsi="Times New Roman"/>
            <w:sz w:val="14"/>
            <w:szCs w:val="14"/>
            <w:u w:val="single" w:color="auto"/>
            <w:color w:val="0000FF"/>
          </w:rPr>
          <w:t>Fifth Amended and Restated By-Laws of Garrett Motion Inc., dated May 29, 2024</w:t>
        </w:r>
      </w:hyperlink>
    </w:p>
    <w:p>
      <w:pPr>
        <w:spacing w:after="0" w:line="41" w:lineRule="exact"/>
        <w:rPr>
          <w:sz w:val="20"/>
          <w:szCs w:val="20"/>
          <w:color w:val="auto"/>
        </w:rPr>
      </w:pPr>
    </w:p>
    <w:p>
      <w:pPr>
        <w:spacing w:after="0" w:line="219" w:lineRule="auto"/>
        <w:rPr>
          <w:rFonts w:ascii="Times New Roman" w:cs="Times New Roman" w:eastAsia="Times New Roman" w:hAnsi="Times New Roman"/>
          <w:sz w:val="14"/>
          <w:szCs w:val="14"/>
          <w:u w:val="single" w:color="auto"/>
          <w:color w:val="0000FF"/>
        </w:rPr>
      </w:pPr>
      <w:hyperlink r:id="rId69">
        <w:r>
          <w:rPr>
            <w:rFonts w:ascii="Times New Roman" w:cs="Times New Roman" w:eastAsia="Times New Roman" w:hAnsi="Times New Roman"/>
            <w:sz w:val="14"/>
            <w:szCs w:val="14"/>
            <w:u w:val="single" w:color="auto"/>
            <w:color w:val="0000FF"/>
          </w:rPr>
          <w:t>First Amendment, dated as of August 6, 2025, to Amended and Restated Credit</w:t>
        </w:r>
      </w:hyperlink>
      <w:r>
        <w:rPr>
          <w:rFonts w:ascii="Times New Roman" w:cs="Times New Roman" w:eastAsia="Times New Roman" w:hAnsi="Times New Roman"/>
          <w:sz w:val="14"/>
          <w:szCs w:val="14"/>
          <w:u w:val="single" w:color="auto"/>
          <w:color w:val="0000FF"/>
        </w:rPr>
        <w:t xml:space="preserve"> </w:t>
      </w:r>
      <w:hyperlink r:id="rId69">
        <w:r>
          <w:rPr>
            <w:rFonts w:ascii="Times New Roman" w:cs="Times New Roman" w:eastAsia="Times New Roman" w:hAnsi="Times New Roman"/>
            <w:sz w:val="14"/>
            <w:szCs w:val="14"/>
            <w:u w:val="single" w:color="auto"/>
            <w:color w:val="0000FF"/>
          </w:rPr>
          <w:t>Agreement, dated as of January 30, 2025, among Garrett Motion Inc., Garrett LX I S.à r.l.,</w:t>
        </w:r>
      </w:hyperlink>
      <w:r>
        <w:rPr>
          <w:rFonts w:ascii="Times New Roman" w:cs="Times New Roman" w:eastAsia="Times New Roman" w:hAnsi="Times New Roman"/>
          <w:sz w:val="14"/>
          <w:szCs w:val="14"/>
          <w:u w:val="single" w:color="auto"/>
          <w:color w:val="0000FF"/>
        </w:rPr>
        <w:t xml:space="preserve"> </w:t>
      </w:r>
      <w:hyperlink r:id="rId69">
        <w:r>
          <w:rPr>
            <w:rFonts w:ascii="Times New Roman" w:cs="Times New Roman" w:eastAsia="Times New Roman" w:hAnsi="Times New Roman"/>
            <w:sz w:val="14"/>
            <w:szCs w:val="14"/>
            <w:u w:val="single" w:color="auto"/>
            <w:color w:val="0000FF"/>
          </w:rPr>
          <w:t>Garrett Motion Holdings, Inc., Garrett Motion Sàrl, the lenders and issuing banks party</w:t>
        </w:r>
      </w:hyperlink>
    </w:p>
    <w:p>
      <w:pPr>
        <w:spacing w:after="0" w:line="1" w:lineRule="exact"/>
        <w:rPr>
          <w:rFonts w:ascii="Times New Roman" w:cs="Times New Roman" w:eastAsia="Times New Roman" w:hAnsi="Times New Roman"/>
          <w:sz w:val="14"/>
          <w:szCs w:val="14"/>
          <w:u w:val="single" w:color="auto"/>
          <w:color w:val="0000FF"/>
        </w:rPr>
      </w:pPr>
    </w:p>
    <w:p>
      <w:pPr>
        <w:spacing w:after="0"/>
        <w:rPr>
          <w:rFonts w:ascii="Times New Roman" w:cs="Times New Roman" w:eastAsia="Times New Roman" w:hAnsi="Times New Roman"/>
          <w:sz w:val="14"/>
          <w:szCs w:val="14"/>
          <w:u w:val="single" w:color="auto"/>
          <w:color w:val="0000FF"/>
        </w:rPr>
      </w:pPr>
      <w:hyperlink r:id="rId69">
        <w:r>
          <w:rPr>
            <w:rFonts w:ascii="Times New Roman" w:cs="Times New Roman" w:eastAsia="Times New Roman" w:hAnsi="Times New Roman"/>
            <w:sz w:val="14"/>
            <w:szCs w:val="14"/>
            <w:u w:val="single" w:color="auto"/>
            <w:color w:val="0000FF"/>
          </w:rPr>
          <w:t>thereto, and JPMorgan Chase Bank, N.A., as administrative agent.</w:t>
        </w:r>
      </w:hyperlink>
    </w:p>
    <w:p>
      <w:pPr>
        <w:spacing w:after="0" w:line="25" w:lineRule="exact"/>
        <w:rPr>
          <w:rFonts w:ascii="Times New Roman" w:cs="Times New Roman" w:eastAsia="Times New Roman" w:hAnsi="Times New Roman"/>
          <w:sz w:val="14"/>
          <w:szCs w:val="14"/>
          <w:u w:val="single" w:color="auto"/>
          <w:color w:val="0000FF"/>
        </w:rPr>
      </w:pPr>
    </w:p>
    <w:p>
      <w:pPr>
        <w:jc w:val="both"/>
        <w:ind w:right="200"/>
        <w:spacing w:after="0" w:line="255" w:lineRule="auto"/>
        <w:rPr>
          <w:sz w:val="20"/>
          <w:szCs w:val="20"/>
          <w:color w:val="auto"/>
        </w:rPr>
      </w:pPr>
      <w:r>
        <w:rPr>
          <w:rFonts w:ascii="Times New Roman" w:cs="Times New Roman" w:eastAsia="Times New Roman" w:hAnsi="Times New Roman"/>
          <w:sz w:val="14"/>
          <w:szCs w:val="14"/>
          <w:u w:val="single" w:color="auto"/>
          <w:color w:val="auto"/>
        </w:rPr>
        <w:t>Certification of Principal Executive Officer Pursuant to Rules 13a-14(a) and 15d-14(a) under the Securities Exchange Act of 1934, as Adopted Pursuant to Section 302 of the Sarbanes-Oxley Act of 2002.</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45" w:lineRule="exact"/>
        <w:rPr>
          <w:rFonts w:ascii="Times New Roman" w:cs="Times New Roman" w:eastAsia="Times New Roman" w:hAnsi="Times New Roman"/>
          <w:sz w:val="14"/>
          <w:szCs w:val="14"/>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8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Filed/ Furnished</w:t>
            </w:r>
          </w:p>
        </w:tc>
      </w:tr>
      <w:tr>
        <w:trPr>
          <w:trHeight w:val="170"/>
        </w:trPr>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98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191"/>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980" w:type="dxa"/>
            <w:vAlign w:val="bottom"/>
          </w:tcPr>
          <w:p>
            <w:pPr>
              <w:spacing w:after="0"/>
              <w:rPr>
                <w:sz w:val="16"/>
                <w:szCs w:val="16"/>
                <w:color w:val="auto"/>
              </w:rPr>
            </w:pPr>
          </w:p>
        </w:tc>
      </w:tr>
      <w:tr>
        <w:trPr>
          <w:trHeight w:val="362"/>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980" w:type="dxa"/>
            <w:vAlign w:val="bottom"/>
          </w:tcPr>
          <w:p>
            <w:pPr>
              <w:spacing w:after="0"/>
              <w:rPr>
                <w:sz w:val="24"/>
                <w:szCs w:val="24"/>
                <w:color w:val="auto"/>
              </w:rPr>
            </w:pPr>
          </w:p>
        </w:tc>
      </w:tr>
      <w:tr>
        <w:trPr>
          <w:trHeight w:val="202"/>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08/07/2025</w:t>
            </w:r>
          </w:p>
        </w:tc>
        <w:tc>
          <w:tcPr>
            <w:tcW w:w="980" w:type="dxa"/>
            <w:vAlign w:val="bottom"/>
          </w:tcPr>
          <w:p>
            <w:pPr>
              <w:spacing w:after="0"/>
              <w:rPr>
                <w:sz w:val="17"/>
                <w:szCs w:val="17"/>
                <w:color w:val="auto"/>
              </w:rPr>
            </w:pPr>
          </w:p>
        </w:tc>
      </w:tr>
    </w:tbl>
    <w:p>
      <w:pPr>
        <w:spacing w:after="0" w:line="200" w:lineRule="exact"/>
        <w:rPr>
          <w:rFonts w:ascii="Times New Roman" w:cs="Times New Roman" w:eastAsia="Times New Roman" w:hAnsi="Times New Roman"/>
          <w:sz w:val="14"/>
          <w:szCs w:val="14"/>
          <w:u w:val="single" w:color="auto"/>
          <w:color w:val="0000FF"/>
        </w:rPr>
      </w:pPr>
    </w:p>
    <w:p>
      <w:pPr>
        <w:spacing w:after="0" w:line="223" w:lineRule="exact"/>
        <w:rPr>
          <w:rFonts w:ascii="Times New Roman" w:cs="Times New Roman" w:eastAsia="Times New Roman" w:hAnsi="Times New Roman"/>
          <w:sz w:val="14"/>
          <w:szCs w:val="14"/>
          <w:u w:val="single" w:color="auto"/>
          <w:color w:val="0000FF"/>
        </w:rPr>
      </w:pPr>
    </w:p>
    <w:p>
      <w:pPr>
        <w:ind w:left="4380"/>
        <w:spacing w:after="0"/>
        <w:rPr>
          <w:sz w:val="20"/>
          <w:szCs w:val="20"/>
          <w:color w:val="auto"/>
        </w:rPr>
      </w:pPr>
      <w:r>
        <w:rPr>
          <w:rFonts w:ascii="Times New Roman" w:cs="Times New Roman" w:eastAsia="Times New Roman" w:hAnsi="Times New Roman"/>
          <w:sz w:val="14"/>
          <w:szCs w:val="14"/>
          <w:color w:val="auto"/>
        </w:rPr>
        <w:t>*</w:t>
      </w:r>
    </w:p>
    <w:p>
      <w:pPr>
        <w:spacing w:after="0" w:line="381" w:lineRule="exact"/>
        <w:rPr>
          <w:rFonts w:ascii="Times New Roman" w:cs="Times New Roman" w:eastAsia="Times New Roman" w:hAnsi="Times New Roman"/>
          <w:sz w:val="14"/>
          <w:szCs w:val="14"/>
          <w:u w:val="single" w:color="auto"/>
          <w:color w:val="0000FF"/>
        </w:rPr>
      </w:pPr>
    </w:p>
    <w:p>
      <w:pPr>
        <w:sectPr>
          <w:pgSz w:w="11900" w:h="16838" w:orient="portrait"/>
          <w:cols w:equalWidth="0" w:num="3">
            <w:col w:w="720" w:space="400"/>
            <w:col w:w="5140" w:space="140"/>
            <w:col w:w="4880"/>
          </w:cols>
          <w:pgMar w:left="300" w:top="900" w:right="31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w:t>
            </w:r>
          </w:p>
        </w:tc>
        <w:tc>
          <w:tcPr>
            <w:tcW w:w="2760" w:type="dxa"/>
            <w:vAlign w:val="bottom"/>
          </w:tcPr>
          <w:p>
            <w:pPr>
              <w:jc w:val="center"/>
              <w:ind w:left="174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4900" w:type="dxa"/>
            <w:vAlign w:val="bottom"/>
            <w:tcBorders>
              <w:top w:val="single" w:sz="8" w:color="auto"/>
              <w:bottom w:val="single" w:sz="8" w:color="auto"/>
            </w:tcBorders>
            <w:gridSpan w:val="5"/>
          </w:tcPr>
          <w:p>
            <w:pPr>
              <w:spacing w:after="0" w:line="140"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2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4920" w:type="dxa"/>
            <w:vAlign w:val="bottom"/>
            <w:gridSpan w:val="6"/>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6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760" w:type="dxa"/>
            <w:vAlign w:val="bottom"/>
            <w:vMerge w:val="restart"/>
          </w:tcPr>
          <w:p>
            <w:pPr>
              <w:jc w:val="center"/>
              <w:ind w:left="17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line="20" w:lineRule="exact"/>
              <w:rPr>
                <w:sz w:val="1"/>
                <w:szCs w:val="1"/>
                <w:color w:val="auto"/>
              </w:rPr>
            </w:pPr>
          </w:p>
        </w:tc>
      </w:tr>
      <w:tr>
        <w:trPr>
          <w:trHeight w:val="204"/>
        </w:trPr>
        <w:tc>
          <w:tcPr>
            <w:tcW w:w="1120" w:type="dxa"/>
            <w:vAlign w:val="bottom"/>
            <w:vMerge w:val="continue"/>
          </w:tcPr>
          <w:p>
            <w:pPr>
              <w:spacing w:after="0"/>
              <w:rPr>
                <w:sz w:val="17"/>
                <w:szCs w:val="17"/>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w:t>
            </w:r>
          </w:p>
        </w:tc>
        <w:tc>
          <w:tcPr>
            <w:tcW w:w="2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394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80" w:type="dxa"/>
            <w:vAlign w:val="bottom"/>
            <w:tcBorders>
              <w:top w:val="single" w:sz="8" w:color="auto"/>
            </w:tcBorders>
            <w:gridSpan w:val="2"/>
          </w:tcPr>
          <w:p>
            <w:pPr>
              <w:spacing w:after="0"/>
              <w:rPr>
                <w:sz w:val="12"/>
                <w:szCs w:val="12"/>
                <w:color w:val="auto"/>
              </w:rPr>
            </w:pPr>
          </w:p>
        </w:tc>
        <w:tc>
          <w:tcPr>
            <w:tcW w:w="2680" w:type="dxa"/>
            <w:vAlign w:val="bottom"/>
            <w:gridSpan w:val="3"/>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w:t>
            </w:r>
          </w:p>
        </w:tc>
        <w:tc>
          <w:tcPr>
            <w:tcW w:w="2760" w:type="dxa"/>
            <w:vAlign w:val="bottom"/>
          </w:tcPr>
          <w:p>
            <w:pPr>
              <w:jc w:val="center"/>
              <w:ind w:left="17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394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40" w:type="dxa"/>
            <w:vAlign w:val="bottom"/>
            <w:tcBorders>
              <w:top w:val="single" w:sz="8" w:color="auto"/>
            </w:tcBorders>
          </w:tcPr>
          <w:p>
            <w:pPr>
              <w:spacing w:after="0"/>
              <w:rPr>
                <w:sz w:val="12"/>
                <w:szCs w:val="12"/>
                <w:color w:val="auto"/>
              </w:rPr>
            </w:pPr>
          </w:p>
        </w:tc>
        <w:tc>
          <w:tcPr>
            <w:tcW w:w="2720" w:type="dxa"/>
            <w:vAlign w:val="bottom"/>
            <w:gridSpan w:val="4"/>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Quarterly Report on Form 10-Q</w:t>
            </w:r>
          </w:p>
        </w:tc>
        <w:tc>
          <w:tcPr>
            <w:tcW w:w="2760" w:type="dxa"/>
            <w:vAlign w:val="bottom"/>
          </w:tcPr>
          <w:p>
            <w:pPr>
              <w:jc w:val="center"/>
              <w:ind w:left="174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for the quarter ended September 30, 2025, formatted in Inline Extensible Business</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Reporting Language (iXBRL) includes: (i) the Consolidated Interim Statements of</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Operations, (ii) the Consolidated Interim Statements of Comprehensive Income, (iii) the</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Consolidated Interim Balance Sheets, (iv) the Consolidated Interim Statements of Cash</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Flows, (v) the Consolidated Interim Statements of Equity (Deficit) and (vi) Notes to the</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Consolidated Interim Financial Statements</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2760" w:type="dxa"/>
            <w:vAlign w:val="bottom"/>
          </w:tcPr>
          <w:p>
            <w:pPr>
              <w:jc w:val="center"/>
              <w:ind w:left="174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532"/>
        </w:trPr>
        <w:tc>
          <w:tcPr>
            <w:tcW w:w="1120" w:type="dxa"/>
            <w:vAlign w:val="bottom"/>
          </w:tcPr>
          <w:p>
            <w:pPr>
              <w:spacing w:after="0"/>
              <w:rPr>
                <w:sz w:val="24"/>
                <w:szCs w:val="24"/>
                <w:color w:val="auto"/>
              </w:rPr>
            </w:pPr>
          </w:p>
        </w:tc>
        <w:tc>
          <w:tcPr>
            <w:tcW w:w="4900" w:type="dxa"/>
            <w:vAlign w:val="bottom"/>
            <w:gridSpan w:val="5"/>
          </w:tcPr>
          <w:p>
            <w:pPr>
              <w:ind w:left="460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120" w:type="dxa"/>
            <w:vAlign w:val="bottom"/>
            <w:tcBorders>
              <w:bottom w:val="single" w:sz="8" w:color="9A9A9A"/>
            </w:tcBorders>
          </w:tcPr>
          <w:p>
            <w:pPr>
              <w:spacing w:after="0"/>
              <w:rPr>
                <w:sz w:val="23"/>
                <w:szCs w:val="23"/>
                <w:color w:val="auto"/>
              </w:rPr>
            </w:pPr>
          </w:p>
        </w:tc>
        <w:tc>
          <w:tcPr>
            <w:tcW w:w="1660" w:type="dxa"/>
            <w:vAlign w:val="bottom"/>
            <w:tcBorders>
              <w:bottom w:val="single" w:sz="8" w:color="9A9A9A"/>
            </w:tcBorders>
          </w:tcPr>
          <w:p>
            <w:pPr>
              <w:spacing w:after="0"/>
              <w:rPr>
                <w:sz w:val="23"/>
                <w:szCs w:val="23"/>
                <w:color w:val="auto"/>
              </w:rPr>
            </w:pPr>
          </w:p>
        </w:tc>
        <w:tc>
          <w:tcPr>
            <w:tcW w:w="228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480" w:type="dxa"/>
            <w:vAlign w:val="bottom"/>
            <w:tcBorders>
              <w:bottom w:val="single" w:sz="8" w:color="9A9A9A"/>
            </w:tcBorders>
          </w:tcPr>
          <w:p>
            <w:pPr>
              <w:spacing w:after="0"/>
              <w:rPr>
                <w:sz w:val="23"/>
                <w:szCs w:val="23"/>
                <w:color w:val="auto"/>
              </w:rPr>
            </w:pPr>
          </w:p>
        </w:tc>
        <w:tc>
          <w:tcPr>
            <w:tcW w:w="27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type w:val="continuous"/>
        </w:sectPr>
      </w:pPr>
    </w:p>
    <w:bookmarkStart w:id="42" w:name="page43"/>
    <w:bookmarkEnd w:id="42"/>
    <w:p>
      <w:pPr>
        <w:ind w:left="500" w:hanging="494"/>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389890</wp:posOffset>
            </wp:positionH>
            <wp:positionV relativeFrom="page">
              <wp:posOffset>542290</wp:posOffset>
            </wp:positionV>
            <wp:extent cx="85217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852170" cy="6985"/>
                    </a:xfrm>
                    <a:prstGeom prst="rect">
                      <a:avLst/>
                    </a:prstGeom>
                    <a:noFill/>
                  </pic:spPr>
                </pic:pic>
              </a:graphicData>
            </a:graphic>
          </wp:anchor>
        </w:drawing>
        <w:t>Filed herewith.</w:t>
      </w:r>
    </w:p>
    <w:p>
      <w:pPr>
        <w:spacing w:after="0" w:line="137" w:lineRule="exact"/>
        <w:rPr>
          <w:sz w:val="20"/>
          <w:szCs w:val="20"/>
          <w:color w:val="auto"/>
        </w:rPr>
      </w:pPr>
    </w:p>
    <w:p>
      <w:pPr>
        <w:ind w:left="500" w:hanging="494"/>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371"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171450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39"/>
          </w:cols>
          <w:pgMar w:left="620" w:top="977" w:right="1440" w:bottom="1440" w:gutter="0" w:footer="0" w:header="0"/>
        </w:sectPr>
      </w:pPr>
    </w:p>
    <w:bookmarkStart w:id="43" w:name="page44"/>
    <w:bookmarkEnd w:id="43"/>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Garrett Motion Inc.</w:t>
      </w:r>
    </w:p>
    <w:p>
      <w:pPr>
        <w:spacing w:after="0" w:line="254" w:lineRule="exact"/>
        <w:rPr>
          <w:sz w:val="20"/>
          <w:szCs w:val="20"/>
          <w:color w:val="auto"/>
        </w:rPr>
      </w:pPr>
    </w:p>
    <w:p>
      <w:pPr>
        <w:spacing w:after="0"/>
        <w:tabs>
          <w:tab w:leader="none" w:pos="5020" w:val="left"/>
          <w:tab w:leader="none" w:pos="7880" w:val="left"/>
        </w:tabs>
        <w:rPr>
          <w:sz w:val="20"/>
          <w:szCs w:val="20"/>
          <w:color w:val="auto"/>
        </w:rPr>
      </w:pPr>
      <w:r>
        <w:rPr>
          <w:rFonts w:ascii="Times New Roman" w:cs="Times New Roman" w:eastAsia="Times New Roman" w:hAnsi="Times New Roman"/>
          <w:sz w:val="14"/>
          <w:szCs w:val="14"/>
          <w:color w:val="auto"/>
        </w:rPr>
        <w:t>Date: October 23,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Olivier Rabiller</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6" w:lineRule="exact"/>
        <w:rPr>
          <w:sz w:val="20"/>
          <w:szCs w:val="20"/>
          <w:color w:val="auto"/>
        </w:rPr>
      </w:pPr>
    </w:p>
    <w:p>
      <w:pPr>
        <w:spacing w:after="0"/>
        <w:tabs>
          <w:tab w:leader="none" w:pos="5020" w:val="left"/>
          <w:tab w:leader="none" w:pos="7960" w:val="left"/>
        </w:tabs>
        <w:rPr>
          <w:sz w:val="20"/>
          <w:szCs w:val="20"/>
          <w:color w:val="auto"/>
        </w:rPr>
      </w:pPr>
      <w:r>
        <w:rPr>
          <w:rFonts w:ascii="Times New Roman" w:cs="Times New Roman" w:eastAsia="Times New Roman" w:hAnsi="Times New Roman"/>
          <w:sz w:val="14"/>
          <w:szCs w:val="14"/>
          <w:color w:val="auto"/>
        </w:rPr>
        <w:t>Date: October 23,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Sean Deason</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200" w:lineRule="exact"/>
        <w:rPr>
          <w:sz w:val="20"/>
          <w:szCs w:val="20"/>
          <w:color w:val="auto"/>
        </w:rPr>
      </w:pPr>
    </w:p>
    <w:p>
      <w:pPr>
        <w:spacing w:after="0" w:line="3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360"/>
          </w:cols>
          <w:pgMar w:left="620" w:top="1241" w:right="9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23, 2025</w:t>
            </w:r>
          </w:p>
        </w:tc>
        <w:tc>
          <w:tcPr>
            <w:tcW w:w="240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October 23,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September 30,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October 23,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September 30,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October 23, 2025</w:t>
      </w:r>
      <w:r>
        <w:rPr>
          <w:sz w:val="20"/>
          <w:szCs w:val="20"/>
          <w:color w:val="auto"/>
        </w:rPr>
        <w:tab/>
      </w:r>
      <w:r>
        <w:rPr>
          <w:rFonts w:ascii="Times New Roman" w:cs="Times New Roman" w:eastAsia="Times New Roman" w:hAnsi="Times New Roman"/>
          <w:sz w:val="28"/>
          <w:szCs w:val="28"/>
          <w:color w:val="auto"/>
          <w:vertAlign w:val="superscript"/>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33337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Roman"/>
      <w:start w:val="5"/>
    </w:lvl>
    <w:lvl w:ilvl="1">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3"/>
    </w:lvl>
  </w:abstractNum>
  <w:abstractNum w:abstractNumId="10">
    <w:nsid w:val="DED7263"/>
    <w:multiLevelType w:val="hybridMultilevel"/>
    <w:lvl w:ilvl="0">
      <w:lvlJc w:val="left"/>
      <w:lvlText w:val="(%1)"/>
      <w:numFmt w:val="decimal"/>
      <w:start w:val="19"/>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67" Type="http://schemas.openxmlformats.org/officeDocument/2006/relationships/hyperlink" Target="https://www.sec.gov/Archives/edgar/data/1735707/000173570724000044/exhibit3_1-garrettmotionxt.htm" TargetMode="External"/><Relationship Id="rId68" Type="http://schemas.openxmlformats.org/officeDocument/2006/relationships/hyperlink" Target="https://www.sec.gov/Archives/edgar/data/1735707/000173570724000044/exhibit3_2-garrettmotionxf.htm" TargetMode="External"/><Relationship Id="rId69" Type="http://schemas.openxmlformats.org/officeDocument/2006/relationships/hyperlink" Target="https://www.sec.gov/Archives/edgar/data/1735707/000095014225002112/eh250664811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2025-10-23T06:12:45Z</dcterms:created>
  <dcterms:modified xsi:type="dcterms:W3CDTF">2025-10-23T06:12:45Z</dcterms:modified>
</cp:coreProperties>
</file>