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518160</wp:posOffset>
            </wp:positionH>
            <wp:positionV relativeFrom="page">
              <wp:posOffset>690880</wp:posOffset>
            </wp:positionV>
            <wp:extent cx="68859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5940" cy="6985"/>
                    </a:xfrm>
                    <a:prstGeom prst="rect">
                      <a:avLst/>
                    </a:prstGeom>
                    <a:noFill/>
                  </pic:spPr>
                </pic:pic>
              </a:graphicData>
            </a:graphic>
          </wp:anchor>
        </w:drawing>
        <w:drawing>
          <wp:anchor simplePos="0" relativeHeight="251657728" behindDoc="1" locked="0" layoutInCell="0" allowOverlap="1">
            <wp:simplePos x="0" y="0"/>
            <wp:positionH relativeFrom="page">
              <wp:posOffset>518160</wp:posOffset>
            </wp:positionH>
            <wp:positionV relativeFrom="page">
              <wp:posOffset>711200</wp:posOffset>
            </wp:positionV>
            <wp:extent cx="68859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5940" cy="6985"/>
                    </a:xfrm>
                    <a:prstGeom prst="rect">
                      <a:avLst/>
                    </a:prstGeom>
                    <a:noFill/>
                  </pic:spPr>
                </pic:pic>
              </a:graphicData>
            </a:graphic>
          </wp:anchor>
        </w:drawing>
        <w:t>UNITED STATES</w:t>
      </w:r>
    </w:p>
    <w:p>
      <w:pPr>
        <w:spacing w:after="0" w:line="4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pacing w:after="0" w:line="11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3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pacing w:after="0" w:line="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43" w:lineRule="exact"/>
        <w:rPr>
          <w:sz w:val="24"/>
          <w:szCs w:val="24"/>
          <w:color w:val="auto"/>
        </w:rPr>
      </w:pPr>
    </w:p>
    <w:p>
      <w:pPr>
        <w:ind w:left="820" w:hanging="494"/>
        <w:spacing w:after="0"/>
        <w:tabs>
          <w:tab w:leader="none" w:pos="82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2025</w:t>
      </w:r>
    </w:p>
    <w:p>
      <w:pPr>
        <w:spacing w:after="0" w:line="148"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01" w:lineRule="exact"/>
        <w:rPr>
          <w:sz w:val="24"/>
          <w:szCs w:val="24"/>
          <w:color w:val="auto"/>
        </w:rPr>
      </w:pPr>
    </w:p>
    <w:p>
      <w:pPr>
        <w:ind w:left="820" w:hanging="494"/>
        <w:spacing w:after="0"/>
        <w:tabs>
          <w:tab w:leader="none" w:pos="82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 to ______</w:t>
      </w:r>
    </w:p>
    <w:p>
      <w:pPr>
        <w:spacing w:after="0" w:line="9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 xml:space="preserve">Commission File Number: </w:t>
      </w:r>
      <w:r>
        <w:rPr>
          <w:rFonts w:ascii="Times New Roman" w:cs="Times New Roman" w:eastAsia="Times New Roman" w:hAnsi="Times New Roman"/>
          <w:sz w:val="14"/>
          <w:szCs w:val="14"/>
          <w:b w:val="1"/>
          <w:bCs w:val="1"/>
          <w:color w:val="222222"/>
        </w:rPr>
        <w:t>001-38636</w:t>
      </w:r>
    </w:p>
    <w:p>
      <w:pPr>
        <w:spacing w:after="0" w:line="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pacing w:after="0" w:line="1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4"/>
          <w:szCs w:val="34"/>
          <w:b w:val="1"/>
          <w:bCs w:val="1"/>
          <w:color w:val="auto"/>
        </w:rPr>
        <w:t>Garrett Motion Inc.</w:t>
      </w:r>
    </w:p>
    <w:p>
      <w:pPr>
        <w:spacing w:after="0" w:line="4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p>
      <w:pPr>
        <w:sectPr>
          <w:pgSz w:w="11900" w:h="16838" w:orient="portrait"/>
          <w:cols w:equalWidth="0" w:num="1">
            <w:col w:w="11360"/>
          </w:cols>
          <w:pgMar w:left="300" w:top="1188" w:right="239" w:bottom="1440" w:gutter="0" w:footer="0" w:header="0"/>
        </w:sectPr>
      </w:pPr>
    </w:p>
    <w:p>
      <w:pPr>
        <w:spacing w:after="0" w:line="185"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82-4873189</w:t>
      </w:r>
    </w:p>
    <w:p>
      <w:pPr>
        <w:spacing w:after="0" w:line="25" w:lineRule="exact"/>
        <w:rPr>
          <w:sz w:val="24"/>
          <w:szCs w:val="24"/>
          <w:color w:val="auto"/>
        </w:rPr>
      </w:pPr>
    </w:p>
    <w:p>
      <w:pPr>
        <w:sectPr>
          <w:pgSz w:w="11900" w:h="16838" w:orient="portrait"/>
          <w:cols w:equalWidth="0" w:num="2">
            <w:col w:w="7640" w:space="720"/>
            <w:col w:w="3000"/>
          </w:cols>
          <w:pgMar w:left="300" w:top="1188" w:right="239" w:bottom="1440" w:gutter="0" w:footer="0" w:header="0"/>
          <w:type w:val="continuous"/>
        </w:sectPr>
      </w:pPr>
    </w:p>
    <w:p>
      <w:pPr>
        <w:spacing w:after="0" w:line="9"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9"/>
          <w:szCs w:val="9"/>
          <w:color w:val="auto"/>
        </w:rPr>
        <w:t>(State or other jurisdiction of</w:t>
      </w:r>
    </w:p>
    <w:p>
      <w:pPr>
        <w:spacing w:after="0" w:line="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9"/>
          <w:szCs w:val="9"/>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0"/>
          <w:szCs w:val="10"/>
          <w:color w:val="auto"/>
        </w:rPr>
        <w:t>(I.R.S. Employer</w:t>
      </w:r>
    </w:p>
    <w:p>
      <w:pPr>
        <w:spacing w:after="0"/>
        <w:rPr>
          <w:sz w:val="20"/>
          <w:szCs w:val="20"/>
          <w:color w:val="auto"/>
        </w:rPr>
      </w:pPr>
      <w:r>
        <w:rPr>
          <w:rFonts w:ascii="Times New Roman" w:cs="Times New Roman" w:eastAsia="Times New Roman" w:hAnsi="Times New Roman"/>
          <w:sz w:val="9"/>
          <w:szCs w:val="9"/>
          <w:color w:val="auto"/>
        </w:rPr>
        <w:t>Identification No.)</w:t>
      </w:r>
    </w:p>
    <w:p>
      <w:pPr>
        <w:spacing w:after="0" w:line="160" w:lineRule="exact"/>
        <w:rPr>
          <w:sz w:val="24"/>
          <w:szCs w:val="24"/>
          <w:color w:val="auto"/>
        </w:rPr>
      </w:pPr>
    </w:p>
    <w:p>
      <w:pPr>
        <w:sectPr>
          <w:pgSz w:w="11900" w:h="16838" w:orient="portrait"/>
          <w:cols w:equalWidth="0" w:num="2">
            <w:col w:w="7600" w:space="720"/>
            <w:col w:w="3040"/>
          </w:cols>
          <w:pgMar w:left="300" w:top="1188" w:right="239" w:bottom="1440" w:gutter="0" w:footer="0" w:header="0"/>
          <w:type w:val="continuous"/>
        </w:sectPr>
      </w:pPr>
    </w:p>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47548 Halyard Drive, Plymouth, MI 48170</w:t>
      </w:r>
    </w:p>
    <w:p>
      <w:pPr>
        <w:spacing w:after="0" w:line="43"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and</w:t>
      </w:r>
    </w:p>
    <w:p>
      <w:pPr>
        <w:spacing w:after="0" w:line="39"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La Pièce 16, 1180 Rolle, Switzerland</w:t>
      </w:r>
    </w:p>
    <w:p>
      <w:pPr>
        <w:spacing w:after="0" w:line="43"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pacing w:after="0" w:line="200" w:lineRule="exact"/>
        <w:rPr>
          <w:sz w:val="24"/>
          <w:szCs w:val="24"/>
          <w:color w:val="auto"/>
        </w:rPr>
      </w:pPr>
    </w:p>
    <w:p>
      <w:pPr>
        <w:spacing w:after="0" w:line="25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+1 734 392 5500</w:t>
      </w:r>
    </w:p>
    <w:p>
      <w:pPr>
        <w:spacing w:after="0" w:line="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and</w:t>
      </w:r>
    </w:p>
    <w:p>
      <w:pPr>
        <w:spacing w:after="0" w:line="2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+41 21 695 30 00</w:t>
      </w:r>
    </w:p>
    <w:p>
      <w:pPr>
        <w:spacing w:after="0" w:line="6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ectPr>
          <w:pgSz w:w="11900" w:h="16838" w:orient="portrait"/>
          <w:cols w:equalWidth="0" w:num="1">
            <w:col w:w="11360"/>
          </w:cols>
          <w:pgMar w:left="300" w:top="1188" w:right="239" w:bottom="1440" w:gutter="0" w:footer="0" w:header="0"/>
          <w:type w:val="continuous"/>
        </w:sectPr>
      </w:pPr>
    </w:p>
    <w:p>
      <w:pPr>
        <w:spacing w:after="0" w:line="200" w:lineRule="exact"/>
        <w:rPr>
          <w:sz w:val="24"/>
          <w:szCs w:val="24"/>
          <w:color w:val="auto"/>
        </w:rPr>
      </w:pPr>
    </w:p>
    <w:p>
      <w:pPr>
        <w:spacing w:after="0" w:line="28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63" w:lineRule="exact"/>
        <w:rPr>
          <w:sz w:val="24"/>
          <w:szCs w:val="24"/>
          <w:color w:val="auto"/>
        </w:rPr>
      </w:pPr>
    </w:p>
    <w:tbl>
      <w:tblPr>
        <w:tblLayout w:type="fixed"/>
        <w:tblInd w:w="330" w:type="dxa"/>
        <w:tblCellMar>
          <w:top w:w="0" w:type="dxa"/>
          <w:left w:w="0" w:type="dxa"/>
          <w:bottom w:w="0" w:type="dxa"/>
          <w:right w:w="0" w:type="dxa"/>
        </w:tblCellMar>
      </w:tblPr>
      <w:tr>
        <w:trPr>
          <w:trHeight w:val="179"/>
        </w:trPr>
        <w:tc>
          <w:tcPr>
            <w:tcW w:w="44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2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4200" w:type="dxa"/>
            <w:vAlign w:val="bottom"/>
            <w:tcBorders>
              <w:top w:val="single" w:sz="8" w:color="auto"/>
            </w:tcBorders>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24"/>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187"/>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GTX</w:t>
            </w:r>
          </w:p>
        </w:tc>
        <w:tc>
          <w:tcPr>
            <w:tcW w:w="420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2" w:lineRule="exact"/>
        <w:rPr>
          <w:sz w:val="24"/>
          <w:szCs w:val="24"/>
          <w:color w:val="auto"/>
        </w:rPr>
      </w:pPr>
    </w:p>
    <w:p>
      <w:pPr>
        <w:ind w:right="240"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ind w:right="560"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ind w:right="380" w:firstLine="319"/>
        <w:spacing w:after="0" w:line="26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320" w:type="dxa"/>
        <w:tblCellMar>
          <w:top w:w="0" w:type="dxa"/>
          <w:left w:w="0" w:type="dxa"/>
          <w:bottom w:w="0" w:type="dxa"/>
          <w:right w:w="0" w:type="dxa"/>
        </w:tblCellMar>
      </w:tblPr>
      <w:tr>
        <w:trPr>
          <w:trHeight w:val="215"/>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560" w:type="dxa"/>
            <w:vAlign w:val="bottom"/>
          </w:tcPr>
          <w:p>
            <w:pPr>
              <w:ind w:left="1120"/>
              <w:spacing w:after="0" w:line="131" w:lineRule="exact"/>
              <w:rPr>
                <w:sz w:val="20"/>
                <w:szCs w:val="20"/>
                <w:color w:val="auto"/>
              </w:rPr>
            </w:pPr>
            <w:r>
              <w:rPr>
                <w:rFonts w:ascii="MS PGothic" w:cs="MS PGothic" w:eastAsia="MS PGothic" w:hAnsi="MS PGothic"/>
                <w:sz w:val="13"/>
                <w:szCs w:val="13"/>
                <w:color w:val="auto"/>
                <w:highlight w:val="black"/>
              </w:rPr>
              <w:t>☒</w:t>
            </w:r>
          </w:p>
        </w:tc>
        <w:tc>
          <w:tcPr>
            <w:tcW w:w="2720" w:type="dxa"/>
            <w:vAlign w:val="bottom"/>
          </w:tcPr>
          <w:p>
            <w:pPr>
              <w:ind w:left="1320"/>
              <w:spacing w:after="0"/>
              <w:rPr>
                <w:sz w:val="20"/>
                <w:szCs w:val="20"/>
                <w:color w:val="auto"/>
              </w:rPr>
            </w:pPr>
            <w:r>
              <w:rPr>
                <w:rFonts w:ascii="Times New Roman" w:cs="Times New Roman" w:eastAsia="Times New Roman" w:hAnsi="Times New Roman"/>
                <w:sz w:val="13"/>
                <w:szCs w:val="13"/>
                <w:color w:val="auto"/>
              </w:rPr>
              <w:t>Accelerated filer</w:t>
            </w:r>
          </w:p>
        </w:tc>
      </w:tr>
      <w:tr>
        <w:trPr>
          <w:trHeight w:val="309"/>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560" w:type="dxa"/>
            <w:vAlign w:val="bottom"/>
          </w:tcPr>
          <w:p>
            <w:pPr>
              <w:ind w:left="1120"/>
              <w:spacing w:after="0" w:line="131" w:lineRule="exact"/>
              <w:rPr>
                <w:sz w:val="20"/>
                <w:szCs w:val="20"/>
                <w:color w:val="auto"/>
              </w:rPr>
            </w:pPr>
            <w:r>
              <w:rPr>
                <w:rFonts w:ascii="MS PGothic" w:cs="MS PGothic" w:eastAsia="MS PGothic" w:hAnsi="MS PGothic"/>
                <w:sz w:val="13"/>
                <w:szCs w:val="13"/>
                <w:color w:val="auto"/>
              </w:rPr>
              <w:t>☐</w:t>
            </w:r>
          </w:p>
        </w:tc>
        <w:tc>
          <w:tcPr>
            <w:tcW w:w="2720" w:type="dxa"/>
            <w:vAlign w:val="bottom"/>
          </w:tcPr>
          <w:p>
            <w:pPr>
              <w:ind w:left="1320"/>
              <w:spacing w:after="0"/>
              <w:rPr>
                <w:sz w:val="20"/>
                <w:szCs w:val="20"/>
                <w:color w:val="auto"/>
              </w:rPr>
            </w:pPr>
            <w:r>
              <w:rPr>
                <w:rFonts w:ascii="Times New Roman" w:cs="Times New Roman" w:eastAsia="Times New Roman" w:hAnsi="Times New Roman"/>
                <w:sz w:val="13"/>
                <w:szCs w:val="13"/>
                <w:color w:val="auto"/>
                <w:w w:val="96"/>
              </w:rPr>
              <w:t>Smaller reporting company</w:t>
            </w:r>
          </w:p>
        </w:tc>
      </w:tr>
      <w:tr>
        <w:trPr>
          <w:trHeight w:val="309"/>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560" w:type="dxa"/>
            <w:vAlign w:val="bottom"/>
          </w:tcPr>
          <w:p>
            <w:pPr>
              <w:ind w:left="1120"/>
              <w:spacing w:after="0" w:line="131" w:lineRule="exact"/>
              <w:rPr>
                <w:sz w:val="20"/>
                <w:szCs w:val="20"/>
                <w:color w:val="auto"/>
              </w:rPr>
            </w:pPr>
            <w:r>
              <w:rPr>
                <w:rFonts w:ascii="MS PGothic" w:cs="MS PGothic" w:eastAsia="MS PGothic" w:hAnsi="MS PGothic"/>
                <w:sz w:val="13"/>
                <w:szCs w:val="13"/>
                <w:color w:val="auto"/>
              </w:rPr>
              <w:t>☐</w:t>
            </w:r>
          </w:p>
        </w:tc>
        <w:tc>
          <w:tcPr>
            <w:tcW w:w="2720" w:type="dxa"/>
            <w:vAlign w:val="bottom"/>
          </w:tcPr>
          <w:p>
            <w:pPr>
              <w:spacing w:after="0"/>
              <w:rPr>
                <w:sz w:val="24"/>
                <w:szCs w:val="24"/>
                <w:color w:val="auto"/>
              </w:rPr>
            </w:pPr>
          </w:p>
        </w:tc>
      </w:tr>
    </w:tbl>
    <w:p>
      <w:pPr>
        <w:spacing w:after="0" w:line="208" w:lineRule="exact"/>
        <w:rPr>
          <w:sz w:val="24"/>
          <w:szCs w:val="24"/>
          <w:color w:val="auto"/>
        </w:rPr>
      </w:pPr>
    </w:p>
    <w:p>
      <w:pPr>
        <w:ind w:right="80" w:firstLine="319"/>
        <w:spacing w:after="0" w:line="173"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3" w:lineRule="exact"/>
        <w:rPr>
          <w:sz w:val="24"/>
          <w:szCs w:val="24"/>
          <w:color w:val="auto"/>
        </w:rPr>
      </w:pPr>
    </w:p>
    <w:p>
      <w:pPr>
        <w:ind w:left="3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77" w:lineRule="exact"/>
        <w:rPr>
          <w:sz w:val="24"/>
          <w:szCs w:val="24"/>
          <w:color w:val="auto"/>
        </w:rPr>
      </w:pPr>
    </w:p>
    <w:p>
      <w:pPr>
        <w:ind w:right="220"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3"/>
          <w:szCs w:val="13"/>
          <w:color w:val="auto"/>
        </w:rPr>
        <w:t>As of July 18, 2025, the registrant had 201,575,459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656590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135255</wp:posOffset>
            </wp:positionV>
            <wp:extent cx="70142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4210" cy="698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155575</wp:posOffset>
            </wp:positionV>
            <wp:extent cx="70142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4210" cy="6985"/>
                    </a:xfrm>
                    <a:prstGeom prst="rect">
                      <a:avLst/>
                    </a:prstGeom>
                    <a:noFill/>
                  </pic:spPr>
                </pic:pic>
              </a:graphicData>
            </a:graphic>
          </wp:anchor>
        </w:drawing>
      </w:r>
    </w:p>
    <w:p>
      <w:pPr>
        <w:sectPr>
          <w:pgSz w:w="11900" w:h="16838" w:orient="portrait"/>
          <w:cols w:equalWidth="0" w:num="1">
            <w:col w:w="11360"/>
          </w:cols>
          <w:pgMar w:left="300" w:top="118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12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53"/>
        </w:trPr>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0"/>
        </w:trPr>
        <w:tc>
          <w:tcPr>
            <w:tcW w:w="15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PART I.</w:t>
            </w:r>
          </w:p>
        </w:tc>
        <w:tc>
          <w:tcPr>
            <w:tcW w:w="1780" w:type="dxa"/>
            <w:vAlign w:val="bottom"/>
            <w:tcBorders>
              <w:bottom w:val="single" w:sz="8" w:color="0000FF"/>
            </w:tcBorders>
            <w:gridSpan w:val="8"/>
          </w:tcPr>
          <w:p>
            <w:pPr>
              <w:spacing w:after="0" w:line="160" w:lineRule="exact"/>
              <w:rPr>
                <w:sz w:val="20"/>
                <w:szCs w:val="20"/>
                <w:color w:val="auto"/>
              </w:rPr>
            </w:pPr>
            <w:r>
              <w:rPr>
                <w:rFonts w:ascii="Times New Roman" w:cs="Times New Roman" w:eastAsia="Times New Roman" w:hAnsi="Times New Roman"/>
                <w:sz w:val="14"/>
                <w:szCs w:val="14"/>
                <w:color w:val="0000FF"/>
                <w:w w:val="99"/>
              </w:rPr>
              <w:t>FINANCIAL INFORMATION</w:t>
            </w:r>
          </w:p>
        </w:tc>
        <w:tc>
          <w:tcPr>
            <w:tcW w:w="7740" w:type="dxa"/>
            <w:vAlign w:val="bottom"/>
            <w:gridSpan w:val="14"/>
          </w:tcPr>
          <w:p>
            <w:pPr>
              <w:spacing w:after="0"/>
              <w:rPr>
                <w:sz w:val="13"/>
                <w:szCs w:val="13"/>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r>
      <w:tr>
        <w:trPr>
          <w:trHeight w:val="20"/>
        </w:trPr>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Consolidated Interim Statements of Operations (Unaudited)</w:t>
            </w:r>
          </w:p>
        </w:tc>
        <w:tc>
          <w:tcPr>
            <w:tcW w:w="6120" w:type="dxa"/>
            <w:vAlign w:val="bottom"/>
            <w:gridSpan w:val="9"/>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Consolidated Interim Statements of Comprehensive Income (Unaudited)</w:t>
            </w: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12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Consolidated Interim Balance Sheets (Unaudited)</w:t>
            </w:r>
          </w:p>
        </w:tc>
        <w:tc>
          <w:tcPr>
            <w:tcW w:w="5400" w:type="dxa"/>
            <w:vAlign w:val="bottom"/>
            <w:gridSpan w:val="3"/>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Consolidated Interim Statements of Cash Flows (Unaudited)</w:t>
            </w:r>
          </w:p>
        </w:tc>
        <w:tc>
          <w:tcPr>
            <w:tcW w:w="6060" w:type="dxa"/>
            <w:vAlign w:val="bottom"/>
            <w:gridSpan w:val="6"/>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Consolidated Interim Statements of Equity (Deficit) (Unaudited)</w:t>
            </w:r>
          </w:p>
        </w:tc>
        <w:tc>
          <w:tcPr>
            <w:tcW w:w="5840" w:type="dxa"/>
            <w:vAlign w:val="bottom"/>
            <w:gridSpan w:val="4"/>
          </w:tcPr>
          <w:p>
            <w:pPr>
              <w:spacing w:after="0"/>
              <w:rPr>
                <w:sz w:val="15"/>
                <w:szCs w:val="15"/>
                <w:color w:val="auto"/>
              </w:rPr>
            </w:pP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 xml:space="preserve">Notes to Consolidated Interim Financial Statements </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Unaudited</w:t>
            </w:r>
            <w:r>
              <w:rPr>
                <w:rFonts w:ascii="Times New Roman" w:cs="Times New Roman" w:eastAsia="Times New Roman" w:hAnsi="Times New Roman"/>
                <w:sz w:val="14"/>
                <w:szCs w:val="14"/>
                <w:color w:val="000000"/>
              </w:rPr>
              <w:t>)</w:t>
            </w:r>
          </w:p>
        </w:tc>
      </w:tr>
      <w:tr>
        <w:trPr>
          <w:trHeight w:val="20"/>
        </w:trPr>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51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420" w:type="dxa"/>
            <w:vAlign w:val="bottom"/>
            <w:gridSpan w:val="2"/>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34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6080" w:type="dxa"/>
            <w:vAlign w:val="bottom"/>
            <w:gridSpan w:val="7"/>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1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8100" w:type="dxa"/>
            <w:vAlign w:val="bottom"/>
            <w:gridSpan w:val="16"/>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OTHER INFORMATION</w:t>
            </w: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10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420" w:type="dxa"/>
            <w:vAlign w:val="bottom"/>
            <w:tcBorders>
              <w:top w:val="single" w:sz="8" w:color="0000FF"/>
            </w:tcBorders>
            <w:gridSpan w:val="3"/>
          </w:tcPr>
          <w:p>
            <w:pPr>
              <w:spacing w:after="0"/>
              <w:rPr>
                <w:sz w:val="15"/>
                <w:szCs w:val="15"/>
                <w:color w:val="auto"/>
              </w:rPr>
            </w:pPr>
          </w:p>
        </w:tc>
        <w:tc>
          <w:tcPr>
            <w:tcW w:w="8040" w:type="dxa"/>
            <w:vAlign w:val="bottom"/>
            <w:gridSpan w:val="15"/>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8800" w:type="dxa"/>
            <w:vAlign w:val="bottom"/>
            <w:gridSpan w:val="20"/>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19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1520" w:type="dxa"/>
            <w:vAlign w:val="bottom"/>
            <w:tcBorders>
              <w:top w:val="single" w:sz="8" w:color="0000FF"/>
            </w:tcBorders>
            <w:gridSpan w:val="5"/>
          </w:tcPr>
          <w:p>
            <w:pPr>
              <w:spacing w:after="0"/>
              <w:rPr>
                <w:sz w:val="15"/>
                <w:szCs w:val="15"/>
                <w:color w:val="auto"/>
              </w:rPr>
            </w:pPr>
          </w:p>
        </w:tc>
        <w:tc>
          <w:tcPr>
            <w:tcW w:w="6100" w:type="dxa"/>
            <w:vAlign w:val="bottom"/>
            <w:gridSpan w:val="8"/>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14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8120" w:type="dxa"/>
            <w:vAlign w:val="bottom"/>
            <w:gridSpan w:val="17"/>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10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8480" w:type="dxa"/>
            <w:vAlign w:val="bottom"/>
            <w:gridSpan w:val="19"/>
          </w:tcPr>
          <w:p>
            <w:pPr>
              <w:spacing w:after="0"/>
              <w:rPr>
                <w:sz w:val="15"/>
                <w:szCs w:val="15"/>
                <w:color w:val="auto"/>
              </w:rPr>
            </w:pP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952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Exhibits</w:t>
            </w:r>
          </w:p>
        </w:tc>
      </w:tr>
      <w:tr>
        <w:trPr>
          <w:trHeight w:val="182"/>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52070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620" w:top="762" w:right="239" w:bottom="1440" w:gutter="0" w:footer="0" w:header="0"/>
        </w:sectPr>
      </w:pPr>
    </w:p>
    <w:bookmarkStart w:id="2" w:name="page3"/>
    <w:bookmarkEnd w:id="2"/>
    <w:p>
      <w:pPr>
        <w:ind w:left="4560"/>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58"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CONSOLIDATED INTERIM STATEMENTS OF OPERATIONS</w:t>
      </w:r>
    </w:p>
    <w:p>
      <w:pPr>
        <w:spacing w:after="0" w:line="9"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2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60" w:type="dxa"/>
            <w:vAlign w:val="bottom"/>
          </w:tcPr>
          <w:p>
            <w:pPr>
              <w:spacing w:after="0"/>
              <w:rPr>
                <w:sz w:val="11"/>
                <w:szCs w:val="11"/>
                <w:color w:val="auto"/>
              </w:rPr>
            </w:pPr>
          </w:p>
        </w:tc>
      </w:tr>
      <w:tr>
        <w:trPr>
          <w:trHeight w:val="149"/>
        </w:trPr>
        <w:tc>
          <w:tcPr>
            <w:tcW w:w="4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60" w:type="dxa"/>
            <w:vAlign w:val="bottom"/>
            <w:gridSpan w:val="3"/>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20" w:type="dxa"/>
            <w:vAlign w:val="bottom"/>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60" w:type="dxa"/>
            <w:vAlign w:val="bottom"/>
          </w:tcPr>
          <w:p>
            <w:pPr>
              <w:spacing w:after="0"/>
              <w:rPr>
                <w:sz w:val="12"/>
                <w:szCs w:val="12"/>
                <w:color w:val="auto"/>
              </w:rPr>
            </w:pPr>
          </w:p>
        </w:tc>
      </w:tr>
      <w:tr>
        <w:trPr>
          <w:trHeight w:val="30"/>
        </w:trPr>
        <w:tc>
          <w:tcPr>
            <w:tcW w:w="4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52"/>
        </w:trPr>
        <w:tc>
          <w:tcPr>
            <w:tcW w:w="43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6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 except per share amounts)</w:t>
            </w: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(Note 3)</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w:t>
            </w:r>
          </w:p>
        </w:tc>
      </w:tr>
      <w:tr>
        <w:trPr>
          <w:trHeight w:val="197"/>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w:t>
            </w:r>
          </w:p>
        </w:tc>
      </w:tr>
      <w:tr>
        <w:trPr>
          <w:trHeight w:val="19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4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187"/>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0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7"/>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20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 of equity investment (Note 22)</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7"/>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Non-operating income, net</w:t>
            </w: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4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187"/>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Tax expense (Note 5)</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02"/>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4"/>
        </w:trPr>
        <w:tc>
          <w:tcPr>
            <w:tcW w:w="4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2"/>
        </w:trPr>
        <w:tc>
          <w:tcPr>
            <w:tcW w:w="4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Earnings per common share</w:t>
            </w: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7"/>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80" w:type="dxa"/>
            <w:vAlign w:val="bottom"/>
          </w:tcPr>
          <w:p>
            <w:pPr>
              <w:spacing w:after="0"/>
              <w:rPr>
                <w:sz w:val="17"/>
                <w:szCs w:val="17"/>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00" w:type="dxa"/>
            <w:vAlign w:val="bottom"/>
          </w:tcPr>
          <w:p>
            <w:pPr>
              <w:spacing w:after="0"/>
              <w:rPr>
                <w:sz w:val="17"/>
                <w:szCs w:val="17"/>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80" w:type="dxa"/>
            <w:vAlign w:val="bottom"/>
          </w:tcPr>
          <w:p>
            <w:pPr>
              <w:spacing w:after="0"/>
              <w:rPr>
                <w:sz w:val="17"/>
                <w:szCs w:val="17"/>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0.56</w:t>
            </w:r>
          </w:p>
        </w:tc>
      </w:tr>
      <w:tr>
        <w:trPr>
          <w:trHeight w:val="20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0.56</w:t>
            </w:r>
          </w:p>
        </w:tc>
      </w:tr>
      <w:tr>
        <w:trPr>
          <w:trHeight w:val="213"/>
        </w:trPr>
        <w:tc>
          <w:tcPr>
            <w:tcW w:w="4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7"/>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202,672,945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224,321,948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203,886,530</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230,493,039</w:t>
            </w:r>
          </w:p>
        </w:tc>
      </w:tr>
      <w:tr>
        <w:trPr>
          <w:trHeight w:val="20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205,255,033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225,898,814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206,433,975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232,455,083</w:t>
            </w:r>
          </w:p>
        </w:tc>
      </w:tr>
    </w:tbl>
    <w:p>
      <w:pPr>
        <w:spacing w:after="0" w:line="19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00" w:lineRule="exact"/>
        <w:rPr>
          <w:sz w:val="20"/>
          <w:szCs w:val="20"/>
          <w:color w:val="auto"/>
        </w:rPr>
      </w:pPr>
    </w:p>
    <w:p>
      <w:pPr>
        <w:spacing w:after="0" w:line="28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50165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40"/>
          </w:cols>
          <w:pgMar w:left="300" w:top="762" w:right="65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CONSOLIDATED INTERIM STATEMENTS OF COMPREHENSIVE INCOME</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40" w:type="dxa"/>
            <w:vAlign w:val="bottom"/>
            <w:gridSpan w:val="3"/>
          </w:tcPr>
          <w:p>
            <w:pPr>
              <w:jc w:val="right"/>
              <w:ind w:right="45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00" w:type="dxa"/>
            <w:vAlign w:val="bottom"/>
          </w:tcPr>
          <w:p>
            <w:pPr>
              <w:spacing w:after="0"/>
              <w:rPr>
                <w:sz w:val="12"/>
                <w:szCs w:val="12"/>
                <w:color w:val="auto"/>
              </w:rPr>
            </w:pPr>
          </w:p>
        </w:tc>
      </w:tr>
      <w:tr>
        <w:trPr>
          <w:trHeight w:val="159"/>
        </w:trPr>
        <w:tc>
          <w:tcPr>
            <w:tcW w:w="49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754"/>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00" w:type="dxa"/>
            <w:vAlign w:val="bottom"/>
            <w:tcBorders>
              <w:bottom w:val="single" w:sz="8" w:color="auto"/>
            </w:tcBorders>
          </w:tcPr>
          <w:p>
            <w:pPr>
              <w:spacing w:after="0"/>
              <w:rPr>
                <w:sz w:val="13"/>
                <w:szCs w:val="13"/>
                <w:color w:val="auto"/>
              </w:rPr>
            </w:pPr>
          </w:p>
        </w:tc>
      </w:tr>
      <w:tr>
        <w:trPr>
          <w:trHeight w:val="161"/>
        </w:trPr>
        <w:tc>
          <w:tcPr>
            <w:tcW w:w="4900" w:type="dxa"/>
            <w:vAlign w:val="bottom"/>
          </w:tcPr>
          <w:p>
            <w:pPr>
              <w:spacing w:after="0"/>
              <w:rPr>
                <w:sz w:val="14"/>
                <w:szCs w:val="14"/>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8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197"/>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 adjustment, net of tax</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7"/>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fair value of effective cash flow hedges, net of tax (Note 16)</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fair value of net investment hedges, net of tax (Note 16)</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7"/>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comprehensive (loss) income, net of tax</w:t>
            </w: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1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CONSOLIDATED INTERIM BALANCE SHEETS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20" w:type="dxa"/>
            <w:vAlign w:val="bottom"/>
          </w:tcPr>
          <w:p>
            <w:pPr>
              <w:spacing w:after="0"/>
              <w:rPr>
                <w:sz w:val="12"/>
                <w:szCs w:val="12"/>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9"/>
        </w:trPr>
        <w:tc>
          <w:tcPr>
            <w:tcW w:w="8020" w:type="dxa"/>
            <w:vAlign w:val="bottom"/>
          </w:tcPr>
          <w:p>
            <w:pPr>
              <w:spacing w:after="0"/>
              <w:rPr>
                <w:sz w:val="13"/>
                <w:szCs w:val="13"/>
                <w:color w:val="auto"/>
              </w:rPr>
            </w:pPr>
          </w:p>
        </w:tc>
        <w:tc>
          <w:tcPr>
            <w:tcW w:w="10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61"/>
        </w:trPr>
        <w:tc>
          <w:tcPr>
            <w:tcW w:w="80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8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97"/>
        </w:trPr>
        <w:tc>
          <w:tcPr>
            <w:tcW w:w="8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notes and other receivables – net (Note 6)</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0" w:type="dxa"/>
            <w:vAlign w:val="bottom"/>
          </w:tcPr>
          <w:p>
            <w:pPr>
              <w:spacing w:after="0"/>
              <w:rPr>
                <w:sz w:val="1"/>
                <w:szCs w:val="1"/>
                <w:color w:val="auto"/>
              </w:rPr>
            </w:pPr>
          </w:p>
        </w:tc>
      </w:tr>
      <w:tr>
        <w:trPr>
          <w:trHeight w:val="197"/>
        </w:trPr>
        <w:tc>
          <w:tcPr>
            <w:tcW w:w="8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Inventories – net (Note 8)</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10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87"/>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and long-term receivables</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 net</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(Note 9)</w:t>
            </w:r>
          </w:p>
        </w:tc>
        <w:tc>
          <w:tcPr>
            <w:tcW w:w="10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87"/>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108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2,403</w:t>
            </w:r>
          </w:p>
        </w:tc>
        <w:tc>
          <w:tcPr>
            <w:tcW w:w="80" w:type="dxa"/>
            <w:vAlign w:val="bottom"/>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08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0" w:type="dxa"/>
            <w:vAlign w:val="bottom"/>
          </w:tcPr>
          <w:p>
            <w:pPr>
              <w:spacing w:after="0"/>
              <w:rPr>
                <w:sz w:val="1"/>
                <w:szCs w:val="1"/>
                <w:color w:val="auto"/>
              </w:rPr>
            </w:pPr>
          </w:p>
        </w:tc>
      </w:tr>
      <w:tr>
        <w:trPr>
          <w:trHeight w:val="197"/>
        </w:trPr>
        <w:tc>
          <w:tcPr>
            <w:tcW w:w="8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maturities of long-term debt (Note 14)</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liabilities (Note 11)</w:t>
            </w:r>
          </w:p>
        </w:tc>
        <w:tc>
          <w:tcPr>
            <w:tcW w:w="10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87"/>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(Note 14)</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 (Note 12)</w:t>
            </w:r>
          </w:p>
        </w:tc>
        <w:tc>
          <w:tcPr>
            <w:tcW w:w="10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108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3,215</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2,949</w:t>
            </w:r>
          </w:p>
        </w:tc>
        <w:tc>
          <w:tcPr>
            <w:tcW w:w="0" w:type="dxa"/>
            <w:vAlign w:val="bottom"/>
          </w:tcPr>
          <w:p>
            <w:pPr>
              <w:spacing w:after="0"/>
              <w:rPr>
                <w:sz w:val="1"/>
                <w:szCs w:val="1"/>
                <w:color w:val="auto"/>
              </w:rPr>
            </w:pPr>
          </w:p>
        </w:tc>
      </w:tr>
      <w:tr>
        <w:trPr>
          <w:trHeight w:val="19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color w:val="auto"/>
              </w:rPr>
              <w:t>(Note 19)</w:t>
            </w: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par value $0.001; 1,000,000,000 and 1,000,000,000 shares authorized, 242,405,426 and 240,987,329 issued and</w:t>
            </w:r>
          </w:p>
        </w:tc>
        <w:tc>
          <w:tcPr>
            <w:tcW w:w="108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201,727,919 and 206,387,938 outstanding as of June 30, 2025 and December 31, 2024, respectively</w:t>
            </w:r>
          </w:p>
        </w:tc>
        <w:tc>
          <w:tcPr>
            <w:tcW w:w="10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deficit</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 income (Note 17)</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at cost; 40,677,507 and 34,599,391 shares as of June 30, 2025 and December 31, 2024, respectively (Note 15)</w:t>
            </w:r>
          </w:p>
        </w:tc>
        <w:tc>
          <w:tcPr>
            <w:tcW w:w="10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deficit</w:t>
            </w:r>
          </w:p>
        </w:tc>
        <w:tc>
          <w:tcPr>
            <w:tcW w:w="10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deficit</w:t>
            </w:r>
          </w:p>
        </w:tc>
        <w:tc>
          <w:tcPr>
            <w:tcW w:w="1080" w:type="dxa"/>
            <w:vAlign w:val="bottom"/>
            <w:tcBorders>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5" w:name="page6"/>
    <w:bookmarkEnd w:id="5"/>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CONSOLIDATED INTERIM STATEMENTS OF CASH FLOWS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240" w:type="dxa"/>
            <w:vAlign w:val="bottom"/>
            <w:tcBorders>
              <w:bottom w:val="single" w:sz="8" w:color="auto"/>
            </w:tcBorders>
          </w:tcPr>
          <w:p>
            <w:pPr>
              <w:spacing w:after="0"/>
              <w:rPr>
                <w:sz w:val="13"/>
                <w:szCs w:val="13"/>
                <w:color w:val="auto"/>
              </w:rPr>
            </w:pPr>
          </w:p>
        </w:tc>
      </w:tr>
      <w:tr>
        <w:trPr>
          <w:trHeight w:val="161"/>
        </w:trPr>
        <w:tc>
          <w:tcPr>
            <w:tcW w:w="82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bottom w:val="single" w:sz="8" w:color="auto"/>
            </w:tcBorders>
          </w:tcPr>
          <w:p>
            <w:pPr>
              <w:spacing w:after="0"/>
              <w:rPr>
                <w:sz w:val="14"/>
                <w:szCs w:val="14"/>
                <w:color w:val="auto"/>
              </w:rPr>
            </w:pPr>
          </w:p>
        </w:tc>
      </w:tr>
      <w:tr>
        <w:trPr>
          <w:trHeight w:val="161"/>
        </w:trPr>
        <w:tc>
          <w:tcPr>
            <w:tcW w:w="8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00" w:type="dxa"/>
            <w:vAlign w:val="bottom"/>
            <w:gridSpan w:val="3"/>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40" w:type="dxa"/>
            <w:vAlign w:val="bottom"/>
          </w:tcPr>
          <w:p>
            <w:pPr>
              <w:spacing w:after="0"/>
              <w:rPr>
                <w:sz w:val="13"/>
                <w:szCs w:val="13"/>
                <w:color w:val="auto"/>
              </w:rPr>
            </w:pPr>
          </w:p>
        </w:tc>
      </w:tr>
      <w:tr>
        <w:trPr>
          <w:trHeight w:val="192"/>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7"/>
                <w:szCs w:val="17"/>
                <w:color w:val="auto"/>
              </w:rPr>
            </w:pPr>
          </w:p>
        </w:tc>
        <w:tc>
          <w:tcPr>
            <w:tcW w:w="1000" w:type="dxa"/>
            <w:vAlign w:val="bottom"/>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7"/>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income taxes</w:t>
            </w:r>
          </w:p>
        </w:tc>
        <w:tc>
          <w:tcPr>
            <w:tcW w:w="8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Depreciation</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deferred issuance costs</w:t>
            </w:r>
          </w:p>
        </w:tc>
        <w:tc>
          <w:tcPr>
            <w:tcW w:w="8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Gain on sale of equity investment</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Foreign exchange (gain) loss</w:t>
            </w:r>
          </w:p>
        </w:tc>
        <w:tc>
          <w:tcPr>
            <w:tcW w:w="8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Pension expense</w:t>
            </w:r>
          </w:p>
        </w:tc>
        <w:tc>
          <w:tcPr>
            <w:tcW w:w="8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Unrealized loss on derivatives</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97"/>
        </w:trPr>
        <w:tc>
          <w:tcPr>
            <w:tcW w:w="8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8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7"/>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97"/>
        </w:trPr>
        <w:tc>
          <w:tcPr>
            <w:tcW w:w="8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notes and other receivables</w:t>
            </w:r>
          </w:p>
        </w:tc>
        <w:tc>
          <w:tcPr>
            <w:tcW w:w="8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Inventories</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8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assets</w:t>
            </w:r>
          </w:p>
        </w:tc>
        <w:tc>
          <w:tcPr>
            <w:tcW w:w="8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8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Accrued liabilities</w:t>
            </w:r>
          </w:p>
        </w:tc>
        <w:tc>
          <w:tcPr>
            <w:tcW w:w="8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liabilities</w:t>
            </w:r>
          </w:p>
        </w:tc>
        <w:tc>
          <w:tcPr>
            <w:tcW w:w="8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8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7"/>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Expenditures for property, plant and equipment</w:t>
            </w:r>
          </w:p>
        </w:tc>
        <w:tc>
          <w:tcPr>
            <w:tcW w:w="8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57"/>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cross-currency swap contracts</w:t>
            </w:r>
          </w:p>
        </w:tc>
        <w:tc>
          <w:tcPr>
            <w:tcW w:w="8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sale of equity investment</w:t>
            </w:r>
          </w:p>
        </w:tc>
        <w:tc>
          <w:tcPr>
            <w:tcW w:w="8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9"/>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for) provided by investing activities</w:t>
            </w:r>
          </w:p>
        </w:tc>
        <w:tc>
          <w:tcPr>
            <w:tcW w:w="86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r>
      <w:tr>
        <w:trPr>
          <w:trHeight w:val="165"/>
        </w:trPr>
        <w:tc>
          <w:tcPr>
            <w:tcW w:w="8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issuance of long-term debt, net of debt financing costs</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Payments of long-term debt</w:t>
            </w:r>
          </w:p>
        </w:tc>
        <w:tc>
          <w:tcPr>
            <w:tcW w:w="8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Excise tax on Common Stock repurchase</w:t>
            </w:r>
          </w:p>
        </w:tc>
        <w:tc>
          <w:tcPr>
            <w:tcW w:w="8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 payments</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9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Payments for debt and revolving facility financing costs</w:t>
            </w:r>
          </w:p>
        </w:tc>
        <w:tc>
          <w:tcPr>
            <w:tcW w:w="8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8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r>
      <w:tr>
        <w:trPr>
          <w:trHeight w:val="193"/>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cash used for financing activities</w:t>
            </w:r>
          </w:p>
        </w:tc>
        <w:tc>
          <w:tcPr>
            <w:tcW w:w="8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foreign exchange rate changes on cash, cash equivalents and restricted cash</w:t>
            </w:r>
          </w:p>
        </w:tc>
        <w:tc>
          <w:tcPr>
            <w:tcW w:w="8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r>
      <w:tr>
        <w:trPr>
          <w:trHeight w:val="18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8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the period</w:t>
            </w:r>
          </w:p>
        </w:tc>
        <w:tc>
          <w:tcPr>
            <w:tcW w:w="8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7"/>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end of the period</w:t>
            </w:r>
          </w:p>
        </w:tc>
        <w:tc>
          <w:tcPr>
            <w:tcW w:w="8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Pr>
          <w:p>
            <w:pPr>
              <w:spacing w:after="0"/>
              <w:rPr>
                <w:sz w:val="16"/>
                <w:szCs w:val="16"/>
                <w:color w:val="auto"/>
              </w:rPr>
            </w:pPr>
          </w:p>
        </w:tc>
        <w:tc>
          <w:tcPr>
            <w:tcW w:w="10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tcPr>
          <w:p>
            <w:pPr>
              <w:spacing w:after="0"/>
              <w:rPr>
                <w:sz w:val="16"/>
                <w:szCs w:val="16"/>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15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cash flow disclosure:</w:t>
            </w: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197"/>
        </w:trPr>
        <w:tc>
          <w:tcPr>
            <w:tcW w:w="8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taxes paid (net of refunds)</w:t>
            </w:r>
          </w:p>
        </w:tc>
        <w:tc>
          <w:tcPr>
            <w:tcW w:w="860" w:type="dxa"/>
            <w:vAlign w:val="bottom"/>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7"/>
                <w:szCs w:val="17"/>
                <w:color w:val="auto"/>
              </w:rPr>
            </w:pPr>
          </w:p>
        </w:tc>
        <w:tc>
          <w:tcPr>
            <w:tcW w:w="1000" w:type="dxa"/>
            <w:vAlign w:val="bottom"/>
          </w:tcPr>
          <w:p>
            <w:pPr>
              <w:jc w:val="right"/>
              <w:ind w:right="85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7"/>
                <w:szCs w:val="17"/>
                <w:color w:val="auto"/>
              </w:rPr>
            </w:pPr>
          </w:p>
        </w:tc>
      </w:tr>
      <w:tr>
        <w:trPr>
          <w:trHeight w:val="208"/>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 paid</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bl>
    <w:p>
      <w:pPr>
        <w:spacing w:after="0" w:line="2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The Notes to the Consolidated Interim Financial Statements are an integral part of this statement</w:t>
      </w:r>
    </w:p>
    <w:p>
      <w:pPr>
        <w:spacing w:after="0" w:line="2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178435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620" w:top="762" w:right="239" w:bottom="1440" w:gutter="0" w:footer="0" w:header="0"/>
        </w:sectPr>
      </w:pPr>
    </w:p>
    <w:bookmarkStart w:id="6" w:name="page7"/>
    <w:bookmarkEnd w:id="6"/>
    <w:p>
      <w:pPr>
        <w:jc w:val="center"/>
        <w:ind w:right="-85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4"/>
          <w:szCs w:val="14"/>
          <w:b w:val="1"/>
          <w:bCs w:val="1"/>
          <w:color w:val="auto"/>
        </w:rPr>
        <w:t>CONSOLIDATED INTERIM STATEMENTS OF EQUITY (DEFICIT)</w:t>
      </w:r>
    </w:p>
    <w:p>
      <w:pPr>
        <w:spacing w:after="0" w:line="9"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040" w:type="dxa"/>
            <w:vAlign w:val="bottom"/>
          </w:tcPr>
          <w:p>
            <w:pPr>
              <w:spacing w:after="0"/>
              <w:rPr>
                <w:sz w:val="11"/>
                <w:szCs w:val="11"/>
                <w:color w:val="auto"/>
              </w:rPr>
            </w:pPr>
          </w:p>
        </w:tc>
        <w:tc>
          <w:tcPr>
            <w:tcW w:w="1600" w:type="dxa"/>
            <w:vAlign w:val="bottom"/>
            <w:gridSpan w:val="4"/>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vMerge w:val="restart"/>
          </w:tcPr>
          <w:p>
            <w:pPr>
              <w:spacing w:after="0"/>
              <w:rPr>
                <w:sz w:val="11"/>
                <w:szCs w:val="11"/>
                <w:color w:val="auto"/>
              </w:rPr>
            </w:pPr>
          </w:p>
        </w:tc>
        <w:tc>
          <w:tcPr>
            <w:tcW w:w="1600" w:type="dxa"/>
            <w:vAlign w:val="bottom"/>
            <w:gridSpan w:val="4"/>
            <w:vMerge w:val="restart"/>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6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40" w:type="dxa"/>
            <w:vAlign w:val="bottom"/>
          </w:tcPr>
          <w:p>
            <w:pPr>
              <w:spacing w:after="0"/>
              <w:rPr>
                <w:sz w:val="10"/>
                <w:szCs w:val="10"/>
                <w:color w:val="auto"/>
              </w:rPr>
            </w:pPr>
          </w:p>
        </w:tc>
        <w:tc>
          <w:tcPr>
            <w:tcW w:w="160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0" w:type="dxa"/>
            <w:vAlign w:val="bottom"/>
            <w:tcBorders>
              <w:bottom w:val="single" w:sz="8" w:color="auto"/>
            </w:tcBorders>
            <w:gridSpan w:val="4"/>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1"/>
                <w:szCs w:val="11"/>
                <w:b w:val="1"/>
                <w:bCs w:val="1"/>
                <w:color w:val="auto"/>
              </w:rPr>
              <w:t>Paid-in</w:t>
            </w:r>
          </w:p>
        </w:tc>
        <w:tc>
          <w:tcPr>
            <w:tcW w:w="160" w:type="dxa"/>
            <w:vAlign w:val="bottom"/>
          </w:tcPr>
          <w:p>
            <w:pPr>
              <w:spacing w:after="0"/>
              <w:rPr>
                <w:sz w:val="10"/>
                <w:szCs w:val="10"/>
                <w:color w:val="auto"/>
              </w:rPr>
            </w:pPr>
          </w:p>
        </w:tc>
        <w:tc>
          <w:tcPr>
            <w:tcW w:w="820" w:type="dxa"/>
            <w:vAlign w:val="bottom"/>
            <w:gridSpan w:val="2"/>
          </w:tcPr>
          <w:p>
            <w:pPr>
              <w:jc w:val="center"/>
              <w:ind w:right="260"/>
              <w:spacing w:after="0" w:line="9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380" w:type="dxa"/>
            <w:vAlign w:val="bottom"/>
            <w:gridSpan w:val="3"/>
          </w:tcPr>
          <w:p>
            <w:pPr>
              <w:jc w:val="center"/>
              <w:ind w:right="60"/>
              <w:spacing w:after="0" w:line="95" w:lineRule="exact"/>
              <w:rPr>
                <w:sz w:val="20"/>
                <w:szCs w:val="20"/>
                <w:color w:val="auto"/>
              </w:rPr>
            </w:pPr>
            <w:r>
              <w:rPr>
                <w:rFonts w:ascii="Times New Roman" w:cs="Times New Roman" w:eastAsia="Times New Roman" w:hAnsi="Times New Roman"/>
                <w:sz w:val="11"/>
                <w:szCs w:val="11"/>
                <w:b w:val="1"/>
                <w:bCs w:val="1"/>
                <w:color w:val="auto"/>
              </w:rPr>
              <w:t>Comprehensive Income /</w:t>
            </w:r>
          </w:p>
        </w:tc>
        <w:tc>
          <w:tcPr>
            <w:tcW w:w="220" w:type="dxa"/>
            <w:vAlign w:val="bottom"/>
          </w:tcPr>
          <w:p>
            <w:pPr>
              <w:spacing w:after="0"/>
              <w:rPr>
                <w:sz w:val="10"/>
                <w:szCs w:val="10"/>
                <w:color w:val="auto"/>
              </w:rPr>
            </w:pPr>
          </w:p>
        </w:tc>
        <w:tc>
          <w:tcPr>
            <w:tcW w:w="780" w:type="dxa"/>
            <w:vAlign w:val="bottom"/>
          </w:tcPr>
          <w:p>
            <w:pPr>
              <w:jc w:val="center"/>
              <w:ind w:right="177"/>
              <w:spacing w:after="0" w:line="95"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7"/>
        </w:trPr>
        <w:tc>
          <w:tcPr>
            <w:tcW w:w="3040" w:type="dxa"/>
            <w:vAlign w:val="bottom"/>
          </w:tcPr>
          <w:p>
            <w:pPr>
              <w:spacing w:after="0"/>
              <w:rPr>
                <w:sz w:val="13"/>
                <w:szCs w:val="13"/>
                <w:color w:val="auto"/>
              </w:rPr>
            </w:pPr>
          </w:p>
        </w:tc>
        <w:tc>
          <w:tcPr>
            <w:tcW w:w="8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7"/>
                <w:szCs w:val="7"/>
                <w:b w:val="1"/>
                <w:bCs w:val="1"/>
                <w:color w:val="auto"/>
              </w:rPr>
              <w:t>(1)</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(Loss)</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FF0FC"/>
            </w:tcBorders>
            <w:gridSpan w:val="2"/>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1,213</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(1,653)</w:t>
            </w: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040" w:type="dxa"/>
            <w:vAlign w:val="bottom"/>
            <w:vMerge w:val="continue"/>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 repurchases</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49"/>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issued under stock plan, net of shares withheld for</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employee taxes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6"/>
        </w:trPr>
        <w:tc>
          <w:tcPr>
            <w:tcW w:w="30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04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March 31, 2025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(1,591)</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040" w:type="dxa"/>
            <w:vAlign w:val="bottom"/>
            <w:vMerge w:val="continue"/>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87</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 repurchases</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49"/>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issued under stock plan, net of shares withheld for</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employee taxes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9"/>
        </w:trPr>
        <w:tc>
          <w:tcPr>
            <w:tcW w:w="30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June 30, 2025</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1,226</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(1,517)</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2"/>
        </w:trPr>
        <w:tc>
          <w:tcPr>
            <w:tcW w:w="3040" w:type="dxa"/>
            <w:vAlign w:val="bottom"/>
          </w:tcPr>
          <w:p>
            <w:pPr>
              <w:spacing w:after="0"/>
              <w:rPr>
                <w:sz w:val="24"/>
                <w:szCs w:val="24"/>
                <w:color w:val="auto"/>
              </w:rPr>
            </w:pPr>
          </w:p>
        </w:tc>
        <w:tc>
          <w:tcPr>
            <w:tcW w:w="1600" w:type="dxa"/>
            <w:vAlign w:val="bottom"/>
            <w:gridSpan w:val="4"/>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vMerge w:val="restart"/>
          </w:tcPr>
          <w:p>
            <w:pPr>
              <w:spacing w:after="0"/>
              <w:rPr>
                <w:sz w:val="24"/>
                <w:szCs w:val="24"/>
                <w:color w:val="auto"/>
              </w:rPr>
            </w:pPr>
          </w:p>
        </w:tc>
        <w:tc>
          <w:tcPr>
            <w:tcW w:w="1600" w:type="dxa"/>
            <w:vAlign w:val="bottom"/>
            <w:gridSpan w:val="4"/>
            <w:vMerge w:val="restart"/>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40" w:type="dxa"/>
            <w:vAlign w:val="bottom"/>
          </w:tcPr>
          <w:p>
            <w:pPr>
              <w:spacing w:after="0"/>
              <w:rPr>
                <w:sz w:val="10"/>
                <w:szCs w:val="10"/>
                <w:color w:val="auto"/>
              </w:rPr>
            </w:pPr>
          </w:p>
        </w:tc>
        <w:tc>
          <w:tcPr>
            <w:tcW w:w="160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0" w:type="dxa"/>
            <w:vAlign w:val="bottom"/>
            <w:tcBorders>
              <w:bottom w:val="single" w:sz="8" w:color="auto"/>
            </w:tcBorders>
            <w:gridSpan w:val="4"/>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1"/>
                <w:szCs w:val="11"/>
                <w:b w:val="1"/>
                <w:bCs w:val="1"/>
                <w:color w:val="auto"/>
              </w:rPr>
              <w:t>Paid-in</w:t>
            </w:r>
          </w:p>
        </w:tc>
        <w:tc>
          <w:tcPr>
            <w:tcW w:w="160" w:type="dxa"/>
            <w:vAlign w:val="bottom"/>
          </w:tcPr>
          <w:p>
            <w:pPr>
              <w:spacing w:after="0"/>
              <w:rPr>
                <w:sz w:val="10"/>
                <w:szCs w:val="10"/>
                <w:color w:val="auto"/>
              </w:rPr>
            </w:pPr>
          </w:p>
        </w:tc>
        <w:tc>
          <w:tcPr>
            <w:tcW w:w="820" w:type="dxa"/>
            <w:vAlign w:val="bottom"/>
            <w:gridSpan w:val="2"/>
          </w:tcPr>
          <w:p>
            <w:pPr>
              <w:jc w:val="center"/>
              <w:ind w:right="260"/>
              <w:spacing w:after="0" w:line="9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80" w:type="dxa"/>
            <w:vAlign w:val="bottom"/>
          </w:tcPr>
          <w:p>
            <w:pPr>
              <w:spacing w:after="0"/>
              <w:rPr>
                <w:sz w:val="10"/>
                <w:szCs w:val="10"/>
                <w:color w:val="auto"/>
              </w:rPr>
            </w:pPr>
          </w:p>
        </w:tc>
        <w:tc>
          <w:tcPr>
            <w:tcW w:w="1300" w:type="dxa"/>
            <w:vAlign w:val="bottom"/>
            <w:gridSpan w:val="2"/>
          </w:tcPr>
          <w:p>
            <w:pPr>
              <w:jc w:val="center"/>
              <w:ind w:right="160"/>
              <w:spacing w:after="0" w:line="95" w:lineRule="exact"/>
              <w:rPr>
                <w:sz w:val="20"/>
                <w:szCs w:val="20"/>
                <w:color w:val="auto"/>
              </w:rPr>
            </w:pPr>
            <w:r>
              <w:rPr>
                <w:rFonts w:ascii="Times New Roman" w:cs="Times New Roman" w:eastAsia="Times New Roman" w:hAnsi="Times New Roman"/>
                <w:sz w:val="11"/>
                <w:szCs w:val="11"/>
                <w:b w:val="1"/>
                <w:bCs w:val="1"/>
                <w:color w:val="auto"/>
              </w:rPr>
              <w:t>Comprehensive (Loss) /</w:t>
            </w:r>
          </w:p>
        </w:tc>
        <w:tc>
          <w:tcPr>
            <w:tcW w:w="220" w:type="dxa"/>
            <w:vAlign w:val="bottom"/>
          </w:tcPr>
          <w:p>
            <w:pPr>
              <w:spacing w:after="0"/>
              <w:rPr>
                <w:sz w:val="10"/>
                <w:szCs w:val="10"/>
                <w:color w:val="auto"/>
              </w:rPr>
            </w:pPr>
          </w:p>
        </w:tc>
        <w:tc>
          <w:tcPr>
            <w:tcW w:w="780" w:type="dxa"/>
            <w:vAlign w:val="bottom"/>
          </w:tcPr>
          <w:p>
            <w:pPr>
              <w:jc w:val="center"/>
              <w:ind w:right="177"/>
              <w:spacing w:after="0" w:line="95"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7"/>
        </w:trPr>
        <w:tc>
          <w:tcPr>
            <w:tcW w:w="3040" w:type="dxa"/>
            <w:vAlign w:val="bottom"/>
          </w:tcPr>
          <w:p>
            <w:pPr>
              <w:spacing w:after="0"/>
              <w:rPr>
                <w:sz w:val="13"/>
                <w:szCs w:val="13"/>
                <w:color w:val="auto"/>
              </w:rPr>
            </w:pPr>
          </w:p>
        </w:tc>
        <w:tc>
          <w:tcPr>
            <w:tcW w:w="8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7"/>
                <w:szCs w:val="7"/>
                <w:b w:val="1"/>
                <w:bCs w:val="1"/>
                <w:color w:val="auto"/>
              </w:rPr>
              <w:t>(1)</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66"/>
        </w:trPr>
        <w:tc>
          <w:tcPr>
            <w:tcW w:w="3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FF0FC"/>
            </w:tcBorders>
            <w:gridSpan w:val="2"/>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FF0FC"/>
            </w:tcBorders>
            <w:gridSpan w:val="2"/>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(1,922)</w:t>
            </w: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040" w:type="dxa"/>
            <w:vAlign w:val="bottom"/>
            <w:vMerge w:val="continue"/>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 repurchases</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Excise tax on share repurchases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under stock plan, net of shares withheld for</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employee taxes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7"/>
        </w:trPr>
        <w:tc>
          <w:tcPr>
            <w:tcW w:w="30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March 31, 2024</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(1,856)</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3"/>
                <w:szCs w:val="13"/>
                <w:color w:val="auto"/>
              </w:rPr>
            </w:pPr>
          </w:p>
        </w:tc>
        <w:tc>
          <w:tcPr>
            <w:tcW w:w="2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04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ind w:left="440"/>
              <w:spacing w:after="0" w:line="14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ind w:left="440"/>
              <w:spacing w:after="0" w:line="14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64</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 repurchases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Excise tax on share repurchases</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9"/>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issued under stock plan, net of shares withheld for</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employee taxes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26"/>
        </w:trPr>
        <w:tc>
          <w:tcPr>
            <w:tcW w:w="30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04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June 30, 2024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(1,792)</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1) Common shares issued less treasury shares equals common shares outstanding</w:t>
      </w:r>
    </w:p>
    <w:p>
      <w:pPr>
        <w:spacing w:after="0" w:line="15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231F20"/>
        </w:rPr>
        <w:t>The Notes to the Consolidated Interim Financial Statements are an integral part of this statement.</w:t>
      </w:r>
    </w:p>
    <w:p>
      <w:pPr>
        <w:spacing w:after="0" w:line="29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40"/>
          </w:cols>
          <w:pgMar w:left="300" w:top="762" w:right="859" w:bottom="1440" w:gutter="0" w:footer="0" w:header="0"/>
        </w:sectPr>
      </w:pPr>
    </w:p>
    <w:bookmarkStart w:id="7" w:name="page8"/>
    <w:bookmarkEnd w:id="7"/>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NOTES TO CONSOLIDATED INTERIM FINANCIAL STATEMENTS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Background and Basis of Presentation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Background</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Garrett Motion Inc. (the “Company” or “Garrett”) is a cutting-edge technology leader delivering differentiated solutions for emission reduction and energy efficiency. We design, manufacture, and sell highly engineered turbocharging, air and fluid compression, and high-speed electric motor technologies to original equipment manufacturers (“OEMs”) and distributors within the mobility and industrial space. We have significant expertise in delivering products at scale for internal combustion engines using gasoline, diesel, natural gas, and hydrogen, as well as for zero-emission technologies using hydrogen fuel cell systems, both for mobility and industrial use. As our customers continue to progress on electrification, we are applying our technological pillars to develop highly engineered E-Powertrain and E-Cooling compressor products to support their ambition. These products are key enablers for fuel economy, energy efficiency, thermal management, and compliance with emissions standards and overall greenhouse gas and other emission reduction targets.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The accompanying unaudited Consolidated Interim Financial Statements have been prepared in accordance with the rules and regulations of the Securities and Exchange Commission ("SEC") applicable to interim financial statements. While these statements reflect all normal recurring adjustments that are, in the opinion of management, necessary for fair presentation of the results of the interim period, they do not include all of the information and footnotes required by United States generally accepted accounting principles (“GAAP”) for complete financial statements. The unaudited Consolidated Interim Financial Statements should therefore be read in conjunction with the Consolidated Financial Statements and accompanying notes for the year ended December 31, 2024 included in our Annual Report on Form 10-K, as filed with the SEC on February 20, 2025 (our “2024 Form 10-K”). The results of operations for the three and six months ended June 30, 2025 and cash flows for the six months ended June 30, 2025 should not necessarily be taken as indicative of the entire year. All amounts presented are in millions, except per share amounts.</w:t>
      </w:r>
    </w:p>
    <w:p>
      <w:pPr>
        <w:spacing w:after="0" w:line="108"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auto"/>
        </w:rPr>
        <w:t xml:space="preserve">We evaluate segment reporting in accordance with ASC 280,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We concluded that Garrett operates in a single operating segment and a single reportable segment based on the operating results available and evaluated regularly by the chief operating decision maker (“CODM”), which is our Chief Executive Officer, to make decisions about resource allocation and performance assessment. The CODM makes operational performance assessments and resource allocation decisions on a consolidated basis, inclusive of all of the Company’s products across channels and geographies.</w:t>
      </w:r>
    </w:p>
    <w:p>
      <w:pPr>
        <w:spacing w:after="0" w:line="11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preparation of the financial statements in conformity with GAAP requires management to make estimates that affect the reported amounts of assets and liabilities and disclosure of contingent assets and liabilities at the date of the financial statements and the reported amounts of revenues and expenses during the reporting period. Management bases these estimates on assumptions that it believes to be reasonable under the circumstances. Actual results could differ from the original estimates, requiring adjustments to these balances in future periods.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accounting policies of the Company are set forth in Note 3 to the Consolidated Financial Statements for the year ended December 31, 2024 included in our 2024 Form 10-K.</w:t>
      </w: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60" w:lineRule="exact"/>
        <w:rPr>
          <w:sz w:val="20"/>
          <w:szCs w:val="20"/>
          <w:color w:val="auto"/>
        </w:rPr>
      </w:pPr>
    </w:p>
    <w:p>
      <w:pPr>
        <w:jc w:val="both"/>
        <w:ind w:firstLine="307"/>
        <w:spacing w:after="0" w:line="273" w:lineRule="auto"/>
        <w:rPr>
          <w:sz w:val="20"/>
          <w:szCs w:val="20"/>
          <w:color w:val="auto"/>
        </w:rPr>
      </w:pPr>
      <w:r>
        <w:rPr>
          <w:rFonts w:ascii="Times New Roman" w:cs="Times New Roman" w:eastAsia="Times New Roman" w:hAnsi="Times New Roman"/>
          <w:sz w:val="14"/>
          <w:szCs w:val="14"/>
          <w:color w:val="231F20"/>
        </w:rPr>
        <w:t xml:space="preserve">In December 2023, the FASB issued ASU 2023-09, </w:t>
      </w:r>
      <w:r>
        <w:rPr>
          <w:rFonts w:ascii="Times New Roman" w:cs="Times New Roman" w:eastAsia="Times New Roman" w:hAnsi="Times New Roman"/>
          <w:sz w:val="14"/>
          <w:szCs w:val="14"/>
          <w:i w:val="1"/>
          <w:iCs w:val="1"/>
          <w:color w:val="231F20"/>
        </w:rPr>
        <w:t>Income Taxes (Topic 740): Improvements to Income Tax Disclosures</w:t>
      </w:r>
      <w:r>
        <w:rPr>
          <w:rFonts w:ascii="Times New Roman" w:cs="Times New Roman" w:eastAsia="Times New Roman" w:hAnsi="Times New Roman"/>
          <w:sz w:val="14"/>
          <w:szCs w:val="14"/>
          <w:color w:val="231F20"/>
        </w:rPr>
        <w:t>. The amendments in this update increase the transparency around income tax information through improvements to disclosures primarily related to the rate reconciliation and income taxes paid information. The Company adopted the new guidance prospectively as of January 1, 2025.</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Standards Issued But Not Yet Adopted</w:t>
      </w:r>
    </w:p>
    <w:p>
      <w:pPr>
        <w:spacing w:after="0" w:line="150" w:lineRule="exact"/>
        <w:rPr>
          <w:sz w:val="20"/>
          <w:szCs w:val="20"/>
          <w:color w:val="auto"/>
        </w:rPr>
      </w:pPr>
    </w:p>
    <w:p>
      <w:pPr>
        <w:jc w:val="both"/>
        <w:ind w:firstLine="307"/>
        <w:spacing w:after="0" w:line="263" w:lineRule="auto"/>
        <w:rPr>
          <w:sz w:val="20"/>
          <w:szCs w:val="20"/>
          <w:color w:val="auto"/>
        </w:rPr>
      </w:pPr>
      <w:r>
        <w:rPr>
          <w:rFonts w:ascii="Times New Roman" w:cs="Times New Roman" w:eastAsia="Times New Roman" w:hAnsi="Times New Roman"/>
          <w:sz w:val="14"/>
          <w:szCs w:val="14"/>
          <w:color w:val="231F20"/>
        </w:rPr>
        <w:t xml:space="preserve">In March 2024, the SEC adopted a final rule under SEC Release No. 33-11275, </w:t>
      </w:r>
      <w:r>
        <w:rPr>
          <w:rFonts w:ascii="Times New Roman" w:cs="Times New Roman" w:eastAsia="Times New Roman" w:hAnsi="Times New Roman"/>
          <w:sz w:val="14"/>
          <w:szCs w:val="14"/>
          <w:i w:val="1"/>
          <w:iCs w:val="1"/>
          <w:color w:val="231F20"/>
        </w:rPr>
        <w:t>The Enhancement and Standardization of Climate-Related Disclosures for Investors</w:t>
      </w:r>
      <w:r>
        <w:rPr>
          <w:rFonts w:ascii="Times New Roman" w:cs="Times New Roman" w:eastAsia="Times New Roman" w:hAnsi="Times New Roman"/>
          <w:sz w:val="14"/>
          <w:szCs w:val="14"/>
          <w:color w:val="231F20"/>
        </w:rPr>
        <w:t>, to enhance and standardize climate-related disclosures. The rule will require companies to disclose material Scope 1 and Scope 2 greenhouse gas emissions; climate-related risks, governance, and oversight; and the financial effects of severe weather events and other natural conditions. These disclosures are required to be phased in starting with annual reporting periods beginning in 2025; however, this rule has been stayed pending the outcome of legal challenges, and on March 27, 2025, the SEC withdrew its legal defense of the rule. The Company is currently evaluating the guidance to determine the impact of adoption on its disclosures in the event that the stay is lifted.</w:t>
      </w:r>
    </w:p>
    <w:p>
      <w:pPr>
        <w:spacing w:after="0" w:line="119" w:lineRule="exact"/>
        <w:rPr>
          <w:sz w:val="20"/>
          <w:szCs w:val="20"/>
          <w:color w:val="auto"/>
        </w:rPr>
      </w:pPr>
    </w:p>
    <w:p>
      <w:pPr>
        <w:jc w:val="both"/>
        <w:ind w:firstLine="307"/>
        <w:spacing w:after="0" w:line="273" w:lineRule="auto"/>
        <w:rPr>
          <w:sz w:val="20"/>
          <w:szCs w:val="20"/>
          <w:color w:val="auto"/>
        </w:rPr>
      </w:pPr>
      <w:r>
        <w:rPr>
          <w:rFonts w:ascii="Times New Roman" w:cs="Times New Roman" w:eastAsia="Times New Roman" w:hAnsi="Times New Roman"/>
          <w:sz w:val="14"/>
          <w:szCs w:val="14"/>
          <w:color w:val="231F20"/>
        </w:rPr>
        <w:t xml:space="preserve">In November 2024, the FASB issued ASU 2024-03, </w:t>
      </w:r>
      <w:r>
        <w:rPr>
          <w:rFonts w:ascii="Times New Roman" w:cs="Times New Roman" w:eastAsia="Times New Roman" w:hAnsi="Times New Roman"/>
          <w:sz w:val="14"/>
          <w:szCs w:val="14"/>
          <w:i w:val="1"/>
          <w:iCs w:val="1"/>
          <w:color w:val="231F20"/>
        </w:rPr>
        <w:t>Income Statement</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i w:val="1"/>
          <w:iCs w:val="1"/>
          <w:color w:val="231F20"/>
        </w:rPr>
        <w:t>Reporting Comprehensive Income</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i w:val="1"/>
          <w:iCs w:val="1"/>
          <w:color w:val="231F20"/>
        </w:rPr>
        <w:t>Expense Disaggregation Disclosures (Subtopic 220-40): Disaggregation of Income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231F20"/>
        </w:rPr>
        <w:t xml:space="preserve">Statement Expenses. </w:t>
      </w:r>
      <w:r>
        <w:rPr>
          <w:rFonts w:ascii="Times New Roman" w:cs="Times New Roman" w:eastAsia="Times New Roman" w:hAnsi="Times New Roman"/>
          <w:sz w:val="14"/>
          <w:szCs w:val="14"/>
          <w:color w:val="231F20"/>
        </w:rPr>
        <w:t>The amendments in this update require disclosure of specified information about certain costs and expenses. The guidance is effective for fiscal years beginning after December</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231F20"/>
        </w:rPr>
        <w:t>15, 2026 on a prospective basis. Early adoption is permitted. The Company is currently evaluating the guidance to determine the impact on its disclosures.</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There are no other recently issued, but not yet adopted, accounting pronouncements that are expected to have a material impact on the Company's Consolidated Interim Financial Statements and related disclosures.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Revenue Recognition and Contracts with Customers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Disaggregated Revenue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Net sales by region (determined based on country of shipment) and channel is included in Note 21, </w:t>
      </w:r>
      <w:r>
        <w:rPr>
          <w:rFonts w:ascii="Times New Roman" w:cs="Times New Roman" w:eastAsia="Times New Roman" w:hAnsi="Times New Roman"/>
          <w:sz w:val="14"/>
          <w:szCs w:val="14"/>
          <w:i w:val="1"/>
          <w:iCs w:val="1"/>
          <w:color w:val="auto"/>
        </w:rPr>
        <w:t>Segments and Concentrations</w:t>
      </w:r>
      <w:r>
        <w:rPr>
          <w:rFonts w:ascii="Times New Roman" w:cs="Times New Roman" w:eastAsia="Times New Roman" w:hAnsi="Times New Roman"/>
          <w:sz w:val="14"/>
          <w:szCs w:val="14"/>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our contract assets and liabilities balances: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00" w:type="dxa"/>
            <w:vAlign w:val="bottom"/>
          </w:tcPr>
          <w:p>
            <w:pPr>
              <w:spacing w:after="0"/>
              <w:rPr>
                <w:sz w:val="13"/>
                <w:szCs w:val="13"/>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61"/>
        </w:trPr>
        <w:tc>
          <w:tcPr>
            <w:tcW w:w="8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Contract assets—January 1</w:t>
            </w:r>
          </w:p>
        </w:tc>
        <w:tc>
          <w:tcPr>
            <w:tcW w:w="102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7"/>
        </w:trPr>
        <w:tc>
          <w:tcPr>
            <w:tcW w:w="80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Contract assets—June 30</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18"/>
        </w:trPr>
        <w:tc>
          <w:tcPr>
            <w:tcW w:w="8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 in contract assets—Increase/(Decrease)</w:t>
            </w:r>
          </w:p>
        </w:tc>
        <w:tc>
          <w:tcPr>
            <w:tcW w:w="1020" w:type="dxa"/>
            <w:vAlign w:val="bottom"/>
            <w:tcBorders>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Contract liabilities—January 1</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000" w:type="dxa"/>
            <w:vAlign w:val="bottom"/>
            <w:vMerge w:val="continue"/>
          </w:tcPr>
          <w:p>
            <w:pPr>
              <w:spacing w:after="0"/>
              <w:rPr>
                <w:sz w:val="14"/>
                <w:szCs w:val="14"/>
                <w:color w:val="auto"/>
              </w:rPr>
            </w:pPr>
          </w:p>
        </w:tc>
        <w:tc>
          <w:tcPr>
            <w:tcW w:w="102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7"/>
              </w:rPr>
              <w:t>(8)</w:t>
            </w:r>
          </w:p>
        </w:tc>
        <w:tc>
          <w:tcPr>
            <w:tcW w:w="100" w:type="dxa"/>
            <w:vAlign w:val="bottom"/>
          </w:tcPr>
          <w:p>
            <w:pPr>
              <w:spacing w:after="0"/>
              <w:rPr>
                <w:sz w:val="14"/>
                <w:szCs w:val="14"/>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8"/>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Contract liabilities—June 30</w:t>
            </w:r>
          </w:p>
        </w:tc>
        <w:tc>
          <w:tcPr>
            <w:tcW w:w="10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4"/>
                <w:szCs w:val="14"/>
                <w:color w:val="auto"/>
                <w:w w:val="94"/>
              </w:rPr>
              <w:t>(15)</w:t>
            </w:r>
          </w:p>
        </w:tc>
        <w:tc>
          <w:tcPr>
            <w:tcW w:w="1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contract liabilities—Decrease/(Increase)</w:t>
            </w:r>
          </w:p>
        </w:tc>
        <w:tc>
          <w:tcPr>
            <w:tcW w:w="102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w w:val="97"/>
              </w:rPr>
              <w:t>(7)</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Research, Development and Engineering</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Garrett conducts research, development, and engineering (“RD&amp;E”) activities, which consist primarily of the development of new products and product applications. RD&amp;E costs are charged to expense as incurred unless the Company has a contractual guarantee for reimbursement from the customer. Customer reimbursements are netted against gross RD&amp;E expenditures as they are considered a recovery of cost. Such costs are included in Cost of goods sold as follows:</w:t>
      </w:r>
    </w:p>
    <w:p>
      <w:pPr>
        <w:spacing w:after="0" w:line="2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28"/>
        </w:trPr>
        <w:tc>
          <w:tcPr>
            <w:tcW w:w="4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80" w:type="dxa"/>
            <w:vAlign w:val="bottom"/>
            <w:gridSpan w:val="3"/>
          </w:tcPr>
          <w:p>
            <w:pPr>
              <w:jc w:val="center"/>
              <w:ind w:right="37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40" w:type="dxa"/>
            <w:vAlign w:val="bottom"/>
          </w:tcPr>
          <w:p>
            <w:pPr>
              <w:spacing w:after="0"/>
              <w:rPr>
                <w:sz w:val="11"/>
                <w:szCs w:val="11"/>
                <w:color w:val="auto"/>
              </w:rPr>
            </w:pPr>
          </w:p>
        </w:tc>
      </w:tr>
      <w:tr>
        <w:trPr>
          <w:trHeight w:val="159"/>
        </w:trPr>
        <w:tc>
          <w:tcPr>
            <w:tcW w:w="47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center"/>
              <w:ind w:right="374"/>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40" w:type="dxa"/>
            <w:vAlign w:val="bottom"/>
            <w:tcBorders>
              <w:bottom w:val="single" w:sz="8" w:color="auto"/>
            </w:tcBorders>
          </w:tcPr>
          <w:p>
            <w:pPr>
              <w:spacing w:after="0"/>
              <w:rPr>
                <w:sz w:val="13"/>
                <w:szCs w:val="13"/>
                <w:color w:val="auto"/>
              </w:rPr>
            </w:pPr>
          </w:p>
        </w:tc>
      </w:tr>
      <w:tr>
        <w:trPr>
          <w:trHeight w:val="161"/>
        </w:trPr>
        <w:tc>
          <w:tcPr>
            <w:tcW w:w="4700" w:type="dxa"/>
            <w:vAlign w:val="bottom"/>
          </w:tcPr>
          <w:p>
            <w:pPr>
              <w:spacing w:after="0"/>
              <w:rPr>
                <w:sz w:val="14"/>
                <w:szCs w:val="14"/>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8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2"/>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Research and development costs</w:t>
            </w:r>
          </w:p>
        </w:tc>
        <w:tc>
          <w:tcPr>
            <w:tcW w:w="100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4"/>
                <w:szCs w:val="14"/>
                <w:color w:val="auto"/>
              </w:rPr>
              <w:t>89</w:t>
            </w:r>
          </w:p>
        </w:tc>
      </w:tr>
      <w:tr>
        <w:trPr>
          <w:trHeight w:val="202"/>
        </w:trPr>
        <w:tc>
          <w:tcPr>
            <w:tcW w:w="4700" w:type="dxa"/>
            <w:vAlign w:val="bottom"/>
            <w:tcBorders>
              <w:bottom w:val="single" w:sz="8" w:color="CFF0FC"/>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Engineering-related expenses, net of customer (reimbursements) </w:t>
            </w:r>
            <w:r>
              <w:rPr>
                <w:rFonts w:ascii="Times New Roman" w:cs="Times New Roman" w:eastAsia="Times New Roman" w:hAnsi="Times New Roman"/>
                <w:sz w:val="18"/>
                <w:szCs w:val="18"/>
                <w:color w:val="auto"/>
                <w:vertAlign w:val="superscript"/>
              </w:rPr>
              <w:t>(1)</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w w:val="97"/>
              </w:rPr>
              <w:t>(2)</w:t>
            </w:r>
          </w:p>
        </w:tc>
        <w:tc>
          <w:tcPr>
            <w:tcW w:w="10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w w:val="97"/>
              </w:rPr>
              <w:t>(5)</w:t>
            </w:r>
          </w:p>
        </w:tc>
        <w:tc>
          <w:tcPr>
            <w:tcW w:w="8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FF0FC"/>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w w:val="97"/>
              </w:rPr>
              <w:t>(4)</w:t>
            </w:r>
          </w:p>
        </w:tc>
      </w:tr>
      <w:tr>
        <w:trPr>
          <w:trHeight w:val="212"/>
        </w:trPr>
        <w:tc>
          <w:tcPr>
            <w:tcW w:w="47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4"/>
                <w:szCs w:val="14"/>
                <w:color w:val="auto"/>
              </w:rPr>
              <w:t>85</w:t>
            </w: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80" w:hanging="255"/>
        <w:spacing w:after="0" w:line="289" w:lineRule="auto"/>
        <w:tabs>
          <w:tab w:leader="none" w:pos="643"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Engineering-related expenses include customer reimbursements of $13 million and $16 million for the three months ended June 30, 2025 and 2024, respectively, and $25 million and $24 million for the six months ended June 30, 2025 and 2024, respectively.</w:t>
      </w:r>
    </w:p>
    <w:p>
      <w:pPr>
        <w:spacing w:after="0" w:line="10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 xml:space="preserve">Certain engineering expenses related to long-term supply arrangements are capitalized when defined criteria, such as the existence of a contractual guarantee for reimbursement, are met. As of </w:t>
      </w:r>
      <w:r>
        <w:rPr>
          <w:rFonts w:ascii="Times New Roman" w:cs="Times New Roman" w:eastAsia="Times New Roman" w:hAnsi="Times New Roman"/>
          <w:sz w:val="14"/>
          <w:szCs w:val="14"/>
          <w:color w:val="000000"/>
        </w:rPr>
        <w:t xml:space="preserve">June 30, 2025 </w:t>
      </w:r>
      <w:r>
        <w:rPr>
          <w:rFonts w:ascii="Times New Roman" w:cs="Times New Roman" w:eastAsia="Times New Roman" w:hAnsi="Times New Roman"/>
          <w:sz w:val="14"/>
          <w:szCs w:val="14"/>
          <w:color w:val="231F20"/>
        </w:rPr>
        <w:t>and</w:t>
      </w:r>
      <w:r>
        <w:rPr>
          <w:rFonts w:ascii="Times New Roman" w:cs="Times New Roman" w:eastAsia="Times New Roman" w:hAnsi="Times New Roman"/>
          <w:sz w:val="14"/>
          <w:szCs w:val="14"/>
          <w:color w:val="000000"/>
        </w:rPr>
        <w:t xml:space="preserve"> December 31, 2024</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$40 million </w:t>
      </w:r>
      <w:r>
        <w:rPr>
          <w:rFonts w:ascii="Times New Roman" w:cs="Times New Roman" w:eastAsia="Times New Roman" w:hAnsi="Times New Roman"/>
          <w:sz w:val="14"/>
          <w:szCs w:val="14"/>
          <w:color w:val="231F20"/>
        </w:rPr>
        <w:t>and</w:t>
      </w:r>
      <w:r>
        <w:rPr>
          <w:rFonts w:ascii="Times New Roman" w:cs="Times New Roman" w:eastAsia="Times New Roman" w:hAnsi="Times New Roman"/>
          <w:sz w:val="14"/>
          <w:szCs w:val="14"/>
          <w:color w:val="000000"/>
        </w:rPr>
        <w:t xml:space="preserve"> $29 million</w:t>
      </w:r>
      <w:r>
        <w:rPr>
          <w:rFonts w:ascii="Times New Roman" w:cs="Times New Roman" w:eastAsia="Times New Roman" w:hAnsi="Times New Roman"/>
          <w:sz w:val="14"/>
          <w:szCs w:val="14"/>
          <w:color w:val="231F20"/>
        </w:rPr>
        <w:t>, respectively, of such contractually reimbursable costs were capitalized. These amounts are recorded within Other current assets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in the Consolidated Interim Balance Sheet.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Income Taxes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gridSpan w:val="2"/>
          </w:tcPr>
          <w:p>
            <w:pPr>
              <w:jc w:val="right"/>
              <w:ind w:right="53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00" w:type="dxa"/>
            <w:vAlign w:val="bottom"/>
            <w:gridSpan w:val="2"/>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80" w:type="dxa"/>
            <w:vAlign w:val="bottom"/>
          </w:tcPr>
          <w:p>
            <w:pPr>
              <w:spacing w:after="0"/>
              <w:rPr>
                <w:sz w:val="11"/>
                <w:szCs w:val="11"/>
                <w:color w:val="auto"/>
              </w:rPr>
            </w:pPr>
          </w:p>
        </w:tc>
      </w:tr>
      <w:tr>
        <w:trPr>
          <w:trHeight w:val="159"/>
        </w:trPr>
        <w:tc>
          <w:tcPr>
            <w:tcW w:w="44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1080" w:type="dxa"/>
            <w:vAlign w:val="bottom"/>
            <w:tcBorders>
              <w:bottom w:val="single" w:sz="8" w:color="auto"/>
            </w:tcBorders>
          </w:tcPr>
          <w:p>
            <w:pPr>
              <w:spacing w:after="0"/>
              <w:rPr>
                <w:sz w:val="13"/>
                <w:szCs w:val="13"/>
                <w:color w:val="auto"/>
              </w:rPr>
            </w:pPr>
          </w:p>
        </w:tc>
      </w:tr>
      <w:tr>
        <w:trPr>
          <w:trHeight w:val="161"/>
        </w:trPr>
        <w:tc>
          <w:tcPr>
            <w:tcW w:w="4460" w:type="dxa"/>
            <w:vAlign w:val="bottom"/>
          </w:tcPr>
          <w:p>
            <w:pPr>
              <w:spacing w:after="0"/>
              <w:rPr>
                <w:sz w:val="14"/>
                <w:szCs w:val="14"/>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4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12"/>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06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32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38</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060" w:type="dxa"/>
            <w:vAlign w:val="bottom"/>
          </w:tcPr>
          <w:p>
            <w:pPr>
              <w:spacing w:after="0"/>
              <w:rPr>
                <w:sz w:val="16"/>
                <w:szCs w:val="16"/>
                <w:color w:val="auto"/>
              </w:rPr>
            </w:pPr>
          </w:p>
        </w:tc>
        <w:tc>
          <w:tcPr>
            <w:tcW w:w="1740" w:type="dxa"/>
            <w:vAlign w:val="bottom"/>
            <w:gridSpan w:val="2"/>
          </w:tcPr>
          <w:p>
            <w:pPr>
              <w:jc w:val="right"/>
              <w:ind w:right="1099"/>
              <w:spacing w:after="0"/>
              <w:rPr>
                <w:sz w:val="20"/>
                <w:szCs w:val="20"/>
                <w:color w:val="auto"/>
              </w:rPr>
            </w:pPr>
            <w:r>
              <w:rPr>
                <w:rFonts w:ascii="Times New Roman" w:cs="Times New Roman" w:eastAsia="Times New Roman" w:hAnsi="Times New Roman"/>
                <w:sz w:val="14"/>
                <w:szCs w:val="14"/>
                <w:color w:val="auto"/>
              </w:rPr>
              <w:t>14.7 %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26.4 %</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gridSpan w:val="2"/>
          </w:tcPr>
          <w:p>
            <w:pPr>
              <w:jc w:val="right"/>
              <w:ind w:right="596"/>
              <w:spacing w:after="0"/>
              <w:rPr>
                <w:sz w:val="20"/>
                <w:szCs w:val="20"/>
                <w:color w:val="auto"/>
              </w:rPr>
            </w:pPr>
            <w:r>
              <w:rPr>
                <w:rFonts w:ascii="Times New Roman" w:cs="Times New Roman" w:eastAsia="Times New Roman" w:hAnsi="Times New Roman"/>
                <w:sz w:val="14"/>
                <w:szCs w:val="14"/>
                <w:color w:val="auto"/>
              </w:rPr>
              <w:t>20.3 %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22.6 %</w:t>
            </w:r>
          </w:p>
        </w:tc>
      </w:tr>
    </w:tbl>
    <w:p>
      <w:pPr>
        <w:spacing w:after="0" w:line="263"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231F20"/>
        </w:rPr>
        <w:t xml:space="preserve">The effective tax rates for the three months ended </w:t>
      </w:r>
      <w:r>
        <w:rPr>
          <w:rFonts w:ascii="Times New Roman" w:cs="Times New Roman" w:eastAsia="Times New Roman" w:hAnsi="Times New Roman"/>
          <w:sz w:val="14"/>
          <w:szCs w:val="14"/>
          <w:color w:val="000000"/>
        </w:rPr>
        <w:t>June 30, 2025</w:t>
      </w:r>
      <w:r>
        <w:rPr>
          <w:rFonts w:ascii="Times New Roman" w:cs="Times New Roman" w:eastAsia="Times New Roman" w:hAnsi="Times New Roman"/>
          <w:sz w:val="14"/>
          <w:szCs w:val="14"/>
          <w:color w:val="231F20"/>
        </w:rPr>
        <w:t xml:space="preserve"> and 2024 were 14.7% and 26.4%, respectively. The effective tax rates for the six months ended </w:t>
      </w:r>
      <w:r>
        <w:rPr>
          <w:rFonts w:ascii="Times New Roman" w:cs="Times New Roman" w:eastAsia="Times New Roman" w:hAnsi="Times New Roman"/>
          <w:sz w:val="14"/>
          <w:szCs w:val="14"/>
          <w:color w:val="000000"/>
        </w:rPr>
        <w:t>June 30, 2025</w:t>
      </w:r>
      <w:r>
        <w:rPr>
          <w:rFonts w:ascii="Times New Roman" w:cs="Times New Roman" w:eastAsia="Times New Roman" w:hAnsi="Times New Roman"/>
          <w:sz w:val="14"/>
          <w:szCs w:val="14"/>
          <w:color w:val="231F20"/>
        </w:rPr>
        <w:t xml:space="preserve"> and 2024 were 20.3% and 22.6%, respectively.</w:t>
      </w:r>
    </w:p>
    <w:p>
      <w:pPr>
        <w:spacing w:after="0" w:line="145"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231F20"/>
        </w:rPr>
        <w:t xml:space="preserve">The change in the effective tax rate for the three months ended </w:t>
      </w:r>
      <w:r>
        <w:rPr>
          <w:rFonts w:ascii="Times New Roman" w:cs="Times New Roman" w:eastAsia="Times New Roman" w:hAnsi="Times New Roman"/>
          <w:sz w:val="14"/>
          <w:szCs w:val="14"/>
          <w:color w:val="000000"/>
        </w:rPr>
        <w:t>June 30, 2025</w:t>
      </w:r>
      <w:r>
        <w:rPr>
          <w:rFonts w:ascii="Times New Roman" w:cs="Times New Roman" w:eastAsia="Times New Roman" w:hAnsi="Times New Roman"/>
          <w:sz w:val="14"/>
          <w:szCs w:val="14"/>
          <w:color w:val="231F20"/>
        </w:rPr>
        <w:t xml:space="preserve"> compared to the prior period is primarily related to a one-time sale of an equity interest in an unconsolidated joint venture in the prior year and a one-time benefit attributable to the revaluation of deferred tax assets in China, partially offset by an increase in U.S. taxes on international operations.</w:t>
      </w:r>
    </w:p>
    <w:p>
      <w:pPr>
        <w:spacing w:after="0" w:line="145"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14"/>
          <w:szCs w:val="14"/>
          <w:color w:val="231F20"/>
        </w:rPr>
        <w:t xml:space="preserve">The change in the effective tax rate for the six months ended </w:t>
      </w:r>
      <w:r>
        <w:rPr>
          <w:rFonts w:ascii="Times New Roman" w:cs="Times New Roman" w:eastAsia="Times New Roman" w:hAnsi="Times New Roman"/>
          <w:sz w:val="14"/>
          <w:szCs w:val="14"/>
          <w:color w:val="000000"/>
        </w:rPr>
        <w:t>June 30, 2025</w:t>
      </w:r>
      <w:r>
        <w:rPr>
          <w:rFonts w:ascii="Times New Roman" w:cs="Times New Roman" w:eastAsia="Times New Roman" w:hAnsi="Times New Roman"/>
          <w:sz w:val="14"/>
          <w:szCs w:val="14"/>
          <w:color w:val="231F20"/>
        </w:rPr>
        <w:t xml:space="preserve"> compared to the prior period is primarily related to a one-time sale of an equity interest in an unconsolidated joint venture in the prior year and a one-time benefit attributable to the revaluation of deferred tax assets in China, partially offset by an increase in U.S. taxes on international operations and additional tax reserve positions in the current year.</w:t>
      </w:r>
    </w:p>
    <w:p>
      <w:pPr>
        <w:spacing w:after="0" w:line="158"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231F20"/>
        </w:rPr>
        <w:t xml:space="preserve">The effective tax rate for the three months ended </w:t>
      </w:r>
      <w:r>
        <w:rPr>
          <w:rFonts w:ascii="Times New Roman" w:cs="Times New Roman" w:eastAsia="Times New Roman" w:hAnsi="Times New Roman"/>
          <w:sz w:val="14"/>
          <w:szCs w:val="14"/>
          <w:color w:val="000000"/>
        </w:rPr>
        <w:t>June 30, 2025</w:t>
      </w:r>
      <w:r>
        <w:rPr>
          <w:rFonts w:ascii="Times New Roman" w:cs="Times New Roman" w:eastAsia="Times New Roman" w:hAnsi="Times New Roman"/>
          <w:sz w:val="14"/>
          <w:szCs w:val="14"/>
          <w:color w:val="231F20"/>
        </w:rPr>
        <w:t xml:space="preserve"> was lower than the U.S. federal statutory rate of 21% as a result of a one-time benefit attributable to the revaluation of deferred tax assets in China, partially offset by U.S. taxes on international operations.</w:t>
      </w:r>
    </w:p>
    <w:p>
      <w:pPr>
        <w:spacing w:after="0" w:line="145"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231F20"/>
        </w:rPr>
        <w:t xml:space="preserve">The effective tax rate for the six months ended </w:t>
      </w:r>
      <w:r>
        <w:rPr>
          <w:rFonts w:ascii="Times New Roman" w:cs="Times New Roman" w:eastAsia="Times New Roman" w:hAnsi="Times New Roman"/>
          <w:sz w:val="14"/>
          <w:szCs w:val="14"/>
          <w:color w:val="000000"/>
        </w:rPr>
        <w:t>June 30, 2025</w:t>
      </w:r>
      <w:r>
        <w:rPr>
          <w:rFonts w:ascii="Times New Roman" w:cs="Times New Roman" w:eastAsia="Times New Roman" w:hAnsi="Times New Roman"/>
          <w:sz w:val="14"/>
          <w:szCs w:val="14"/>
          <w:color w:val="231F20"/>
        </w:rPr>
        <w:t xml:space="preserve"> was lower than the U.S. federal statutory rate of 21% as a result of a one-time benefit attributable to the revaluation of deferred tax assets in China, partially offset by U.S. taxes on international operations and additional tax reserve positions.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Accounts, Notes and Other Receivables—Net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0" w:type="dxa"/>
            <w:vAlign w:val="bottom"/>
          </w:tcPr>
          <w:p>
            <w:pPr>
              <w:spacing w:after="0"/>
              <w:rPr>
                <w:sz w:val="12"/>
                <w:szCs w:val="12"/>
                <w:color w:val="auto"/>
              </w:rPr>
            </w:pPr>
          </w:p>
        </w:tc>
        <w:tc>
          <w:tcPr>
            <w:tcW w:w="1080" w:type="dxa"/>
            <w:vAlign w:val="bottom"/>
          </w:tcPr>
          <w:p>
            <w:pPr>
              <w:jc w:val="center"/>
              <w:ind w:left="45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Pr>
          <w:p>
            <w:pPr>
              <w:jc w:val="center"/>
              <w:ind w:right="379"/>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9"/>
        </w:trPr>
        <w:tc>
          <w:tcPr>
            <w:tcW w:w="8000" w:type="dxa"/>
            <w:vAlign w:val="bottom"/>
          </w:tcPr>
          <w:p>
            <w:pPr>
              <w:spacing w:after="0"/>
              <w:rPr>
                <w:sz w:val="13"/>
                <w:szCs w:val="13"/>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8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Trade receivables</w:t>
            </w:r>
          </w:p>
        </w:tc>
        <w:tc>
          <w:tcPr>
            <w:tcW w:w="108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606</w:t>
            </w:r>
          </w:p>
        </w:tc>
        <w:tc>
          <w:tcPr>
            <w:tcW w:w="50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r>
    </w:tbl>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Notes receivable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7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93"/>
        </w:trPr>
        <w:tc>
          <w:tcPr>
            <w:tcW w:w="8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Less—Allowance for expected credit losses</w:t>
            </w:r>
          </w:p>
        </w:tc>
        <w:tc>
          <w:tcPr>
            <w:tcW w:w="7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3"/>
        </w:trPr>
        <w:tc>
          <w:tcPr>
            <w:tcW w:w="87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tcPr>
          <w:p>
            <w:pPr>
              <w:spacing w:after="0"/>
              <w:rPr>
                <w:sz w:val="16"/>
                <w:szCs w:val="16"/>
                <w:color w:val="auto"/>
              </w:rPr>
            </w:pPr>
          </w:p>
        </w:tc>
        <w:tc>
          <w:tcPr>
            <w:tcW w:w="70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r>
      <w:tr>
        <w:trPr>
          <w:trHeight w:val="20"/>
        </w:trPr>
        <w:tc>
          <w:tcPr>
            <w:tcW w:w="80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336" w:lineRule="auto"/>
        <w:rPr>
          <w:sz w:val="20"/>
          <w:szCs w:val="20"/>
          <w:color w:val="auto"/>
        </w:rPr>
      </w:pPr>
      <w:r>
        <w:rPr>
          <w:rFonts w:ascii="Times New Roman" w:cs="Times New Roman" w:eastAsia="Times New Roman" w:hAnsi="Times New Roman"/>
          <w:sz w:val="14"/>
          <w:szCs w:val="14"/>
          <w:color w:val="auto"/>
        </w:rPr>
        <w:t xml:space="preserve">Trade receivables include $51 million and $40 million of unbilled customer contract asset balances as of </w:t>
      </w:r>
      <w:r>
        <w:rPr>
          <w:rFonts w:ascii="Times New Roman" w:cs="Times New Roman" w:eastAsia="Times New Roman" w:hAnsi="Times New Roman"/>
          <w:sz w:val="14"/>
          <w:szCs w:val="14"/>
          <w:color w:val="231F20"/>
        </w:rPr>
        <w:t>June 30, 2025</w:t>
      </w:r>
      <w:r>
        <w:rPr>
          <w:rFonts w:ascii="Times New Roman" w:cs="Times New Roman" w:eastAsia="Times New Roman" w:hAnsi="Times New Roman"/>
          <w:sz w:val="14"/>
          <w:szCs w:val="14"/>
          <w:color w:val="auto"/>
        </w:rPr>
        <w:t xml:space="preserve"> and December 31, 2024, respectively. These amounts are billed in accordance with the terms of customer contracts to which they relate. See Note 3</w:t>
      </w:r>
      <w:r>
        <w:rPr>
          <w:rFonts w:ascii="Times New Roman" w:cs="Times New Roman" w:eastAsia="Times New Roman" w:hAnsi="Times New Roman"/>
          <w:sz w:val="14"/>
          <w:szCs w:val="14"/>
          <w:i w:val="1"/>
          <w:iCs w:val="1"/>
          <w:color w:val="auto"/>
        </w:rPr>
        <w:t>, Revenue Recognition and Contracts with Customers</w:t>
      </w:r>
      <w:r>
        <w:rPr>
          <w:rFonts w:ascii="Times New Roman" w:cs="Times New Roman" w:eastAsia="Times New Roman" w:hAnsi="Times New Roman"/>
          <w:sz w:val="14"/>
          <w:szCs w:val="14"/>
          <w:color w:val="auto"/>
        </w:rPr>
        <w:t>.</w:t>
      </w:r>
    </w:p>
    <w:p>
      <w:pPr>
        <w:spacing w:after="0" w:line="71"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 xml:space="preserve">Notes receivable is related to guaranteed bank notes without recourse that the Company receives in settlement of accounts receivables, primarily in the Asia Pacific region. See Note 7, </w:t>
      </w:r>
      <w:r>
        <w:rPr>
          <w:rFonts w:ascii="Times New Roman" w:cs="Times New Roman" w:eastAsia="Times New Roman" w:hAnsi="Times New Roman"/>
          <w:sz w:val="14"/>
          <w:szCs w:val="14"/>
          <w:i w:val="1"/>
          <w:iCs w:val="1"/>
          <w:color w:val="auto"/>
        </w:rPr>
        <w:t>Factoring and Notes Receivable</w:t>
      </w:r>
      <w:r>
        <w:rPr>
          <w:rFonts w:ascii="Times New Roman" w:cs="Times New Roman" w:eastAsia="Times New Roman" w:hAnsi="Times New Roman"/>
          <w:sz w:val="14"/>
          <w:szCs w:val="14"/>
          <w:color w:val="auto"/>
        </w:rPr>
        <w:t>.</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Other receivables includes VAT receivables of $41 million and $50 million as of </w:t>
      </w:r>
      <w:r>
        <w:rPr>
          <w:rFonts w:ascii="Times New Roman" w:cs="Times New Roman" w:eastAsia="Times New Roman" w:hAnsi="Times New Roman"/>
          <w:sz w:val="14"/>
          <w:szCs w:val="14"/>
          <w:color w:val="231F20"/>
        </w:rPr>
        <w:t>June 30, 2025</w:t>
      </w:r>
      <w:r>
        <w:rPr>
          <w:rFonts w:ascii="Times New Roman" w:cs="Times New Roman" w:eastAsia="Times New Roman" w:hAnsi="Times New Roman"/>
          <w:sz w:val="14"/>
          <w:szCs w:val="14"/>
          <w:color w:val="auto"/>
        </w:rPr>
        <w:t xml:space="preserve"> and December 31, 2024, respectively.</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Factoring and Notes Receivable</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enters into arrangements with financial institutions to sell eligible trade receivables. The receivables are sold without recourse and the Company accounts for these arrangements as true sales. The Company also receives guaranteed bank notes without recourse, in settlement of accounts receivables, primarily in the Asia Pacific region. The Company can hold the bank notes until maturity, exchange them with suppliers to settle liabilities, or sell them to third-party financial institutions in exchange for cash. Bank notes sold to third-party financial institutions without recourse are likewise accounted for as true sales.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20" w:type="dxa"/>
            <w:vAlign w:val="bottom"/>
          </w:tcPr>
          <w:p>
            <w:pPr>
              <w:spacing w:after="0"/>
              <w:rPr>
                <w:sz w:val="13"/>
                <w:szCs w:val="13"/>
                <w:color w:val="auto"/>
              </w:rPr>
            </w:pPr>
          </w:p>
        </w:tc>
        <w:tc>
          <w:tcPr>
            <w:tcW w:w="264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900" w:type="dxa"/>
            <w:vAlign w:val="bottom"/>
            <w:tcBorders>
              <w:bottom w:val="single" w:sz="8" w:color="auto"/>
            </w:tcBorders>
          </w:tcPr>
          <w:p>
            <w:pPr>
              <w:spacing w:after="0"/>
              <w:rPr>
                <w:sz w:val="13"/>
                <w:szCs w:val="13"/>
                <w:color w:val="auto"/>
              </w:rPr>
            </w:pPr>
          </w:p>
        </w:tc>
      </w:tr>
      <w:tr>
        <w:trPr>
          <w:trHeight w:val="161"/>
        </w:trPr>
        <w:tc>
          <w:tcPr>
            <w:tcW w:w="4820" w:type="dxa"/>
            <w:vAlign w:val="bottom"/>
          </w:tcPr>
          <w:p>
            <w:pPr>
              <w:spacing w:after="0"/>
              <w:rPr>
                <w:sz w:val="14"/>
                <w:szCs w:val="14"/>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61"/>
        </w:trPr>
        <w:tc>
          <w:tcPr>
            <w:tcW w:w="4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40" w:type="dxa"/>
            <w:vAlign w:val="bottom"/>
            <w:gridSpan w:val="3"/>
          </w:tcPr>
          <w:p>
            <w:pPr>
              <w:jc w:val="right"/>
              <w:ind w:right="39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12"/>
        </w:trPr>
        <w:tc>
          <w:tcPr>
            <w:tcW w:w="4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Eligible receivables sold without recourse</w:t>
            </w:r>
          </w:p>
        </w:tc>
        <w:tc>
          <w:tcPr>
            <w:tcW w:w="106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190</w:t>
            </w:r>
          </w:p>
        </w:tc>
        <w:tc>
          <w:tcPr>
            <w:tcW w:w="110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342</w:t>
            </w:r>
          </w:p>
        </w:tc>
        <w:tc>
          <w:tcPr>
            <w:tcW w:w="740" w:type="dxa"/>
            <w:vAlign w:val="bottom"/>
            <w:shd w:val="clear" w:color="auto" w:fill="CFF0FC"/>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402</w:t>
            </w:r>
          </w:p>
        </w:tc>
      </w:tr>
      <w:tr>
        <w:trPr>
          <w:trHeight w:val="191"/>
        </w:trPr>
        <w:tc>
          <w:tcPr>
            <w:tcW w:w="4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Guaranteed bank notes sold without recourse</w:t>
            </w:r>
          </w:p>
        </w:tc>
        <w:tc>
          <w:tcPr>
            <w:tcW w:w="1060" w:type="dxa"/>
            <w:vAlign w:val="bottom"/>
          </w:tcPr>
          <w:p>
            <w:pPr>
              <w:spacing w:after="0"/>
              <w:rPr>
                <w:sz w:val="16"/>
                <w:szCs w:val="16"/>
                <w:color w:val="auto"/>
              </w:rPr>
            </w:pPr>
          </w:p>
        </w:tc>
        <w:tc>
          <w:tcPr>
            <w:tcW w:w="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80</w:t>
            </w:r>
          </w:p>
        </w:tc>
        <w:tc>
          <w:tcPr>
            <w:tcW w:w="1100" w:type="dxa"/>
            <w:vAlign w:val="bottom"/>
          </w:tcPr>
          <w:p>
            <w:pPr>
              <w:spacing w:after="0"/>
              <w:rPr>
                <w:sz w:val="16"/>
                <w:szCs w:val="16"/>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96</w:t>
            </w:r>
          </w:p>
        </w:tc>
        <w:tc>
          <w:tcPr>
            <w:tcW w:w="740" w:type="dxa"/>
            <w:vAlign w:val="bottom"/>
          </w:tcPr>
          <w:p>
            <w:pPr>
              <w:spacing w:after="0"/>
              <w:rPr>
                <w:sz w:val="16"/>
                <w:szCs w:val="16"/>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52</w:t>
            </w:r>
          </w:p>
        </w:tc>
      </w:tr>
    </w:tbl>
    <w:p>
      <w:pPr>
        <w:spacing w:after="0" w:line="210"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 xml:space="preserve">The expenses related to the sale of trade receivables and guaranteed bank notes are recognized within Other expense, net in the Consolidated Interim Statements of Operations, and were $1 million for the three months ended </w:t>
      </w:r>
      <w:r>
        <w:rPr>
          <w:rFonts w:ascii="Times New Roman" w:cs="Times New Roman" w:eastAsia="Times New Roman" w:hAnsi="Times New Roman"/>
          <w:sz w:val="14"/>
          <w:szCs w:val="14"/>
          <w:color w:val="231F20"/>
        </w:rPr>
        <w:t>June 30, 2025</w:t>
      </w:r>
      <w:r>
        <w:rPr>
          <w:rFonts w:ascii="Times New Roman" w:cs="Times New Roman" w:eastAsia="Times New Roman" w:hAnsi="Times New Roman"/>
          <w:sz w:val="14"/>
          <w:szCs w:val="14"/>
          <w:color w:val="auto"/>
        </w:rPr>
        <w:t xml:space="preserve"> and 2024, respectively, and $2 million for the six months ended </w:t>
      </w:r>
      <w:r>
        <w:rPr>
          <w:rFonts w:ascii="Times New Roman" w:cs="Times New Roman" w:eastAsia="Times New Roman" w:hAnsi="Times New Roman"/>
          <w:sz w:val="14"/>
          <w:szCs w:val="14"/>
          <w:color w:val="231F20"/>
        </w:rPr>
        <w:t>June 30, 2025 and</w:t>
      </w:r>
      <w:r>
        <w:rPr>
          <w:rFonts w:ascii="Times New Roman" w:cs="Times New Roman" w:eastAsia="Times New Roman" w:hAnsi="Times New Roman"/>
          <w:sz w:val="14"/>
          <w:szCs w:val="14"/>
          <w:color w:val="auto"/>
        </w:rPr>
        <w:t xml:space="preserve"> 2024</w:t>
      </w:r>
      <w:r>
        <w:rPr>
          <w:rFonts w:ascii="Times New Roman" w:cs="Times New Roman" w:eastAsia="Times New Roman" w:hAnsi="Times New Roman"/>
          <w:sz w:val="14"/>
          <w:szCs w:val="14"/>
          <w:color w:val="231F20"/>
        </w:rPr>
        <w:t>, respectively.</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9"/>
        </w:trPr>
        <w:tc>
          <w:tcPr>
            <w:tcW w:w="8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60" w:type="dxa"/>
            <w:vAlign w:val="bottom"/>
            <w:gridSpan w:val="6"/>
          </w:tcPr>
          <w:p>
            <w:pPr>
              <w:ind w:left="8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0" w:type="dxa"/>
            <w:vAlign w:val="bottom"/>
          </w:tcPr>
          <w:p>
            <w:pPr>
              <w:spacing w:after="0"/>
              <w:rPr>
                <w:sz w:val="1"/>
                <w:szCs w:val="1"/>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Receivables sold but not yet collected by the bank from the customer</w:t>
            </w: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c>
          <w:tcPr>
            <w:tcW w:w="30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bank notes sold but not yet collected by the bank from the customer</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43</w:t>
            </w:r>
          </w:p>
        </w:tc>
        <w:tc>
          <w:tcPr>
            <w:tcW w:w="30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4"/>
        </w:trPr>
        <w:tc>
          <w:tcPr>
            <w:tcW w:w="8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As of June 30, 2025 and December 31, 2024, the Company had no guaranteed bank notes pledged as collateral.</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8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8. Inventories—Net</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51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8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4"/>
          </w:tcPr>
          <w:p>
            <w:pPr>
              <w:ind w:left="6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360" w:type="dxa"/>
            <w:vAlign w:val="bottom"/>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Finished products</w:t>
            </w:r>
          </w:p>
        </w:tc>
        <w:tc>
          <w:tcPr>
            <w:tcW w:w="36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Less—Reserves</w:t>
            </w:r>
          </w:p>
        </w:tc>
        <w:tc>
          <w:tcPr>
            <w:tcW w:w="36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w w:val="94"/>
              </w:rPr>
              <w:t>(44)</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000" w:type="dxa"/>
            <w:vAlign w:val="bottom"/>
            <w:vMerge w:val="restart"/>
          </w:tcPr>
          <w:p>
            <w:pPr>
              <w:ind w:left="5720"/>
              <w:spacing w:after="0"/>
              <w:rPr>
                <w:sz w:val="20"/>
                <w:szCs w:val="20"/>
                <w:color w:val="auto"/>
              </w:rPr>
            </w:pPr>
            <w:r>
              <w:rPr>
                <w:rFonts w:ascii="Times New Roman" w:cs="Times New Roman" w:eastAsia="Times New Roman" w:hAnsi="Times New Roman"/>
                <w:sz w:val="14"/>
                <w:szCs w:val="14"/>
                <w:color w:val="auto"/>
              </w:rPr>
              <w:t>10</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2"/>
        </w:trPr>
        <w:tc>
          <w:tcPr>
            <w:tcW w:w="80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00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106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6"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Note 9. Other Assets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000" w:type="dxa"/>
            <w:vAlign w:val="bottom"/>
          </w:tcPr>
          <w:p>
            <w:pPr>
              <w:spacing w:after="0"/>
              <w:rPr>
                <w:sz w:val="11"/>
                <w:szCs w:val="1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9"/>
        </w:trPr>
        <w:tc>
          <w:tcPr>
            <w:tcW w:w="8000" w:type="dxa"/>
            <w:vAlign w:val="bottom"/>
          </w:tcPr>
          <w:p>
            <w:pPr>
              <w:spacing w:after="0"/>
              <w:rPr>
                <w:sz w:val="13"/>
                <w:szCs w:val="13"/>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8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Advanced discounts to customers, non-current</w:t>
            </w:r>
          </w:p>
        </w:tc>
        <w:tc>
          <w:tcPr>
            <w:tcW w:w="108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right-of-use assets (Note 13)</w:t>
            </w:r>
          </w:p>
        </w:tc>
        <w:tc>
          <w:tcPr>
            <w:tcW w:w="10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0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receivable</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and other employee related</w:t>
            </w:r>
          </w:p>
        </w:tc>
        <w:tc>
          <w:tcPr>
            <w:tcW w:w="10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0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 designated as net investment hedges (Note 16)</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9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 (Note 16)</w:t>
            </w:r>
          </w:p>
        </w:tc>
        <w:tc>
          <w:tcPr>
            <w:tcW w:w="10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3"/>
        </w:trPr>
        <w:tc>
          <w:tcPr>
            <w:tcW w:w="8000" w:type="dxa"/>
            <w:vAlign w:val="bottom"/>
          </w:tcPr>
          <w:p>
            <w:pPr>
              <w:spacing w:after="0"/>
              <w:rPr>
                <w:sz w:val="16"/>
                <w:szCs w:val="16"/>
                <w:color w:val="auto"/>
              </w:rPr>
            </w:pPr>
          </w:p>
        </w:tc>
        <w:tc>
          <w:tcPr>
            <w:tcW w:w="108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r>
      <w:tr>
        <w:trPr>
          <w:trHeight w:val="20"/>
        </w:trPr>
        <w:tc>
          <w:tcPr>
            <w:tcW w:w="8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Supplier Financing</w:t>
      </w:r>
    </w:p>
    <w:p>
      <w:pPr>
        <w:spacing w:after="0" w:line="160"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4"/>
          <w:szCs w:val="14"/>
          <w:color w:val="auto"/>
        </w:rPr>
        <w:t>The Company has supplier financing arrangements with two third-party financial institutions under which certain suppliers may factor their receivables from Garrett. The Company also enters into arrangements with banking institutions to issue bankers acceptance drafts in settlement of accounts payables, primarily in the Asia Pacific region. The bankers acceptance drafts, or guaranteed bank notes, have a contractual maturity of six months or less, and may be held by suppliers until maturity, transferred to their suppliers, or discounted with financial institutions in exchange for cash. The supplier financing obligations and guaranteed bank notes outstanding are recorded within Accounts payable in our Consolidated Interim Balance Sheet.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8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48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57"/>
        </w:trPr>
        <w:tc>
          <w:tcPr>
            <w:tcW w:w="48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Supplier financing obligations outstanding with financial institutions</w:t>
            </w:r>
          </w:p>
        </w:tc>
        <w:tc>
          <w:tcPr>
            <w:tcW w:w="3180" w:type="dxa"/>
            <w:vAlign w:val="bottom"/>
            <w:shd w:val="clear" w:color="auto" w:fill="CFF0FC"/>
          </w:tcPr>
          <w:p>
            <w:pPr>
              <w:spacing w:after="0"/>
              <w:rPr>
                <w:sz w:val="18"/>
                <w:szCs w:val="18"/>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5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bank notes outstanding</w:t>
            </w:r>
          </w:p>
        </w:tc>
        <w:tc>
          <w:tcPr>
            <w:tcW w:w="3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394"/>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11. Accrued Liabilities</w:t>
            </w:r>
          </w:p>
        </w:tc>
        <w:tc>
          <w:tcPr>
            <w:tcW w:w="3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8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center"/>
              <w:ind w:right="253"/>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48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57"/>
        </w:trPr>
        <w:tc>
          <w:tcPr>
            <w:tcW w:w="48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Customer pricing reserve</w:t>
            </w:r>
          </w:p>
        </w:tc>
        <w:tc>
          <w:tcPr>
            <w:tcW w:w="3520" w:type="dxa"/>
            <w:vAlign w:val="bottom"/>
            <w:gridSpan w:val="2"/>
            <w:shd w:val="clear" w:color="auto" w:fill="CFF0FC"/>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5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7"/>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benefit and other employee related</w:t>
            </w:r>
          </w:p>
        </w:tc>
        <w:tc>
          <w:tcPr>
            <w:tcW w:w="3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08"/>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Repositioning</w:t>
            </w:r>
          </w:p>
        </w:tc>
        <w:tc>
          <w:tcPr>
            <w:tcW w:w="3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7"/>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 warranties and performance guarantees - short-term (Note 19)</w:t>
            </w:r>
          </w:p>
        </w:tc>
        <w:tc>
          <w:tcPr>
            <w:tcW w:w="3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8"/>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and other taxes</w:t>
            </w:r>
          </w:p>
        </w:tc>
        <w:tc>
          <w:tcPr>
            <w:tcW w:w="3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line="213" w:lineRule="exact"/>
              <w:rPr>
                <w:sz w:val="20"/>
                <w:szCs w:val="20"/>
                <w:color w:val="auto"/>
              </w:rPr>
            </w:pPr>
            <w:r>
              <w:rPr>
                <w:rFonts w:ascii="Times New Roman" w:cs="Times New Roman" w:eastAsia="Times New Roman" w:hAnsi="Times New Roman"/>
                <w:sz w:val="14"/>
                <w:szCs w:val="14"/>
                <w:color w:val="auto"/>
              </w:rPr>
              <w:t xml:space="preserve">Customer advances and deferred income </w:t>
            </w:r>
            <w:r>
              <w:rPr>
                <w:rFonts w:ascii="Times New Roman" w:cs="Times New Roman" w:eastAsia="Times New Roman" w:hAnsi="Times New Roman"/>
                <w:sz w:val="22"/>
                <w:szCs w:val="22"/>
                <w:color w:val="auto"/>
                <w:vertAlign w:val="superscript"/>
              </w:rPr>
              <w:t>(1)</w:t>
            </w:r>
          </w:p>
        </w:tc>
        <w:tc>
          <w:tcPr>
            <w:tcW w:w="3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3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7"/>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liability (Note 13)</w:t>
            </w:r>
          </w:p>
        </w:tc>
        <w:tc>
          <w:tcPr>
            <w:tcW w:w="3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8"/>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freight</w:t>
            </w:r>
          </w:p>
        </w:tc>
        <w:tc>
          <w:tcPr>
            <w:tcW w:w="3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7"/>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3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8"/>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 (Note 16)</w:t>
            </w:r>
          </w:p>
        </w:tc>
        <w:tc>
          <w:tcPr>
            <w:tcW w:w="3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7"/>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Environmental reserve</w:t>
            </w:r>
          </w:p>
        </w:tc>
        <w:tc>
          <w:tcPr>
            <w:tcW w:w="3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(primarily operating expenses)</w:t>
            </w:r>
          </w:p>
        </w:tc>
        <w:tc>
          <w:tcPr>
            <w:tcW w:w="3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3180" w:type="dxa"/>
            <w:vAlign w:val="bottom"/>
            <w:vMerge w:val="restart"/>
          </w:tcPr>
          <w:p>
            <w:pPr>
              <w:jc w:val="right"/>
              <w:ind w:right="2129"/>
              <w:spacing w:after="0"/>
              <w:rPr>
                <w:sz w:val="20"/>
                <w:szCs w:val="20"/>
                <w:color w:val="auto"/>
              </w:rPr>
            </w:pPr>
            <w:r>
              <w:rPr>
                <w:rFonts w:ascii="Times New Roman" w:cs="Times New Roman" w:eastAsia="Times New Roman" w:hAnsi="Times New Roman"/>
                <w:sz w:val="14"/>
                <w:szCs w:val="14"/>
                <w:color w:val="auto"/>
              </w:rPr>
              <w:t>11</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2"/>
        </w:trPr>
        <w:tc>
          <w:tcPr>
            <w:tcW w:w="488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880" w:type="dxa"/>
            <w:vAlign w:val="bottom"/>
            <w:tcBorders>
              <w:bottom w:val="single" w:sz="8" w:color="9A9A9A"/>
            </w:tcBorders>
          </w:tcPr>
          <w:p>
            <w:pPr>
              <w:spacing w:after="0"/>
              <w:rPr>
                <w:sz w:val="23"/>
                <w:szCs w:val="23"/>
                <w:color w:val="auto"/>
              </w:rPr>
            </w:pPr>
          </w:p>
        </w:tc>
        <w:tc>
          <w:tcPr>
            <w:tcW w:w="318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12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92" w:right="319" w:bottom="1440" w:gutter="0" w:footer="0" w:header="0"/>
        </w:sectPr>
      </w:pPr>
    </w:p>
    <w:bookmarkStart w:id="12" w:name="page13"/>
    <w:bookmarkEnd w:id="12"/>
    <w:p>
      <w:pPr>
        <w:ind w:left="580" w:hanging="255"/>
        <w:spacing w:after="0" w:line="307" w:lineRule="auto"/>
        <w:tabs>
          <w:tab w:leader="none" w:pos="57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Customer advances and deferred income include $15 million and $8 million of contract liabilities as of June 30, 2025 and December 31, 2024, respectively. See Note 3, </w:t>
      </w:r>
      <w:r>
        <w:rPr>
          <w:rFonts w:ascii="Times New Roman" w:cs="Times New Roman" w:eastAsia="Times New Roman" w:hAnsi="Times New Roman"/>
          <w:sz w:val="14"/>
          <w:szCs w:val="14"/>
          <w:i w:val="1"/>
          <w:iCs w:val="1"/>
          <w:color w:val="auto"/>
        </w:rPr>
        <w:t>Revenue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Recognition and Contracts with Customers</w:t>
      </w:r>
      <w:r>
        <w:rPr>
          <w:rFonts w:ascii="Times New Roman" w:cs="Times New Roman" w:eastAsia="Times New Roman" w:hAnsi="Times New Roman"/>
          <w:sz w:val="14"/>
          <w:szCs w:val="14"/>
          <w:color w:val="auto"/>
        </w:rPr>
        <w:t>.</w:t>
      </w:r>
    </w:p>
    <w:p>
      <w:pPr>
        <w:spacing w:after="0" w:line="8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The Company accrues repositioning costs related to projects to optimize its product costs and right-size our organizational structure. Expenses related to the repositioning accruals are included in Cost of goods sold and Selling, general and administrative expenses in our Consolidated Interim Statements of Operations.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summarize the activity in our repositioning accrual: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80" w:type="dxa"/>
            <w:vAlign w:val="bottom"/>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Severance Costs</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Other Costs</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120" w:type="dxa"/>
            <w:vAlign w:val="bottom"/>
            <w:shd w:val="clear" w:color="auto" w:fill="CFF0FC"/>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Charges</w:t>
            </w:r>
          </w:p>
        </w:tc>
        <w:tc>
          <w:tcPr>
            <w:tcW w:w="1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Usage—cash</w:t>
            </w:r>
          </w:p>
        </w:tc>
        <w:tc>
          <w:tcPr>
            <w:tcW w:w="11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gridSpan w:val="3"/>
            <w:shd w:val="clear" w:color="auto" w:fill="CFF0FC"/>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1120" w:type="dxa"/>
            <w:vAlign w:val="bottom"/>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6"/>
                <w:szCs w:val="16"/>
                <w:color w:val="auto"/>
              </w:rPr>
            </w:pPr>
          </w:p>
        </w:tc>
        <w:tc>
          <w:tcPr>
            <w:tcW w:w="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688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Severance Costs</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Other Costs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12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Charges</w:t>
            </w:r>
          </w:p>
        </w:tc>
        <w:tc>
          <w:tcPr>
            <w:tcW w:w="1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Usage—cash</w:t>
            </w:r>
          </w:p>
        </w:tc>
        <w:tc>
          <w:tcPr>
            <w:tcW w:w="11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gridSpan w:val="3"/>
            <w:shd w:val="clear" w:color="auto" w:fill="CFF0FC"/>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120" w:type="dxa"/>
            <w:vAlign w:val="bottom"/>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5"/>
                <w:szCs w:val="15"/>
                <w:color w:val="auto"/>
              </w:rPr>
            </w:pPr>
          </w:p>
        </w:tc>
        <w:tc>
          <w:tcPr>
            <w:tcW w:w="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12. Other Liabilities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5"/>
        </w:trPr>
        <w:tc>
          <w:tcPr>
            <w:tcW w:w="68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6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ind w:right="495"/>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6"/>
          </w:tcPr>
          <w:p>
            <w:pPr>
              <w:jc w:val="center"/>
              <w:ind w:left="555"/>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 (Note 16)</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and other employee related</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lease liability (Note 13)</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discounts from suppliers</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 warranties and performance guarantees – long-term (Note 19)</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Environmental remediation – long term</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accounts payable</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8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Leases</w:t>
      </w:r>
    </w:p>
    <w:p>
      <w:pPr>
        <w:spacing w:after="0" w:line="16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have operating leases that primarily consist of real estate, machinery, and equipment. As of June 30, 2025, the Company does not have any material finance leases. Our leases have remaining lease terms of up to 13 years, some of which include options to extend the leases for up to two years, and some of which include options to terminate the leases within the year.</w:t>
      </w: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2" w:right="31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4"/>
          <w:szCs w:val="14"/>
          <w:color w:val="auto"/>
        </w:rPr>
        <w:t>The components of lease expense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00" w:type="dxa"/>
            <w:vAlign w:val="bottom"/>
            <w:gridSpan w:val="3"/>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40" w:type="dxa"/>
            <w:vAlign w:val="bottom"/>
          </w:tcPr>
          <w:p>
            <w:pPr>
              <w:spacing w:after="0"/>
              <w:rPr>
                <w:sz w:val="11"/>
                <w:szCs w:val="11"/>
                <w:color w:val="auto"/>
              </w:rPr>
            </w:pPr>
          </w:p>
        </w:tc>
      </w:tr>
      <w:tr>
        <w:trPr>
          <w:trHeight w:val="159"/>
        </w:trPr>
        <w:tc>
          <w:tcPr>
            <w:tcW w:w="46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814"/>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32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40" w:type="dxa"/>
            <w:vAlign w:val="bottom"/>
            <w:tcBorders>
              <w:bottom w:val="single" w:sz="8" w:color="auto"/>
            </w:tcBorders>
          </w:tcPr>
          <w:p>
            <w:pPr>
              <w:spacing w:after="0"/>
              <w:rPr>
                <w:sz w:val="13"/>
                <w:szCs w:val="13"/>
                <w:color w:val="auto"/>
              </w:rPr>
            </w:pPr>
          </w:p>
        </w:tc>
      </w:tr>
      <w:tr>
        <w:trPr>
          <w:trHeight w:val="161"/>
        </w:trPr>
        <w:tc>
          <w:tcPr>
            <w:tcW w:w="4640" w:type="dxa"/>
            <w:vAlign w:val="bottom"/>
          </w:tcPr>
          <w:p>
            <w:pPr>
              <w:spacing w:after="0"/>
              <w:rPr>
                <w:sz w:val="14"/>
                <w:szCs w:val="14"/>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00" w:type="dxa"/>
            <w:vAlign w:val="bottom"/>
            <w:gridSpan w:val="3"/>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2"/>
        </w:trPr>
        <w:tc>
          <w:tcPr>
            <w:tcW w:w="4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Operating lease cost</w:t>
            </w:r>
          </w:p>
        </w:tc>
        <w:tc>
          <w:tcPr>
            <w:tcW w:w="102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7</w:t>
            </w:r>
          </w:p>
        </w:tc>
      </w:tr>
      <w:tr>
        <w:trPr>
          <w:trHeight w:val="197"/>
        </w:trPr>
        <w:tc>
          <w:tcPr>
            <w:tcW w:w="4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Short-term lease cost</w:t>
            </w:r>
          </w:p>
        </w:tc>
        <w:tc>
          <w:tcPr>
            <w:tcW w:w="1020" w:type="dxa"/>
            <w:vAlign w:val="bottom"/>
          </w:tcPr>
          <w:p>
            <w:pPr>
              <w:spacing w:after="0"/>
              <w:rPr>
                <w:sz w:val="17"/>
                <w:szCs w:val="17"/>
                <w:color w:val="auto"/>
              </w:rPr>
            </w:pP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7"/>
                <w:szCs w:val="17"/>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464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lease cost</w:t>
            </w:r>
          </w:p>
        </w:tc>
        <w:tc>
          <w:tcPr>
            <w:tcW w:w="1020" w:type="dxa"/>
            <w:vAlign w:val="bottom"/>
            <w:tcBorders>
              <w:top w:val="single" w:sz="8" w:color="auto"/>
              <w:bottom w:val="single" w:sz="8" w:color="auto"/>
            </w:tcBorders>
            <w:shd w:val="clear" w:color="auto" w:fill="CFF0FC"/>
          </w:tcPr>
          <w:p>
            <w:pPr>
              <w:jc w:val="right"/>
              <w:ind w:right="85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Supplemental cash flow information related to operating leases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20" w:type="dxa"/>
            <w:vAlign w:val="bottom"/>
            <w:gridSpan w:val="2"/>
          </w:tcPr>
          <w:p>
            <w:pPr>
              <w:jc w:val="center"/>
              <w:ind w:right="35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40" w:type="dxa"/>
            <w:vAlign w:val="bottom"/>
            <w:gridSpan w:val="6"/>
          </w:tcPr>
          <w:p>
            <w:pPr>
              <w:ind w:left="16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0" w:type="dxa"/>
            <w:vAlign w:val="bottom"/>
          </w:tcPr>
          <w:p>
            <w:pPr>
              <w:spacing w:after="0"/>
              <w:rPr>
                <w:sz w:val="1"/>
                <w:szCs w:val="1"/>
                <w:color w:val="auto"/>
              </w:rPr>
            </w:pPr>
          </w:p>
        </w:tc>
      </w:tr>
      <w:tr>
        <w:trPr>
          <w:trHeight w:val="159"/>
        </w:trPr>
        <w:tc>
          <w:tcPr>
            <w:tcW w:w="46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center"/>
              <w:ind w:right="35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60" w:type="dxa"/>
            <w:vAlign w:val="bottom"/>
            <w:gridSpan w:val="5"/>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980" w:type="dxa"/>
            <w:vAlign w:val="bottom"/>
          </w:tcPr>
          <w:p>
            <w:pPr>
              <w:jc w:val="right"/>
              <w:ind w:right="83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100" w:type="dxa"/>
            <w:vAlign w:val="bottom"/>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1100" w:type="dxa"/>
            <w:vAlign w:val="bottom"/>
            <w:gridSpan w:val="3"/>
          </w:tcPr>
          <w:p>
            <w:pPr>
              <w:jc w:val="right"/>
              <w:ind w:right="88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leases</w:t>
            </w: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56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Supplemental balance sheet information related to operating leases is as follows:</w:t>
            </w: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jc w:val="center"/>
              <w:ind w:left="483"/>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4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Borders>
              <w:bottom w:val="single" w:sz="8" w:color="auto"/>
            </w:tcBorders>
            <w:gridSpan w:val="2"/>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40" w:type="dxa"/>
            <w:vAlign w:val="bottom"/>
            <w:gridSpan w:val="6"/>
          </w:tcPr>
          <w:p>
            <w:pPr>
              <w:ind w:left="10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90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ind w:left="1012"/>
              <w:spacing w:after="0"/>
              <w:rPr>
                <w:sz w:val="20"/>
                <w:szCs w:val="20"/>
                <w:color w:val="auto"/>
              </w:rPr>
            </w:pPr>
            <w:r>
              <w:rPr>
                <w:rFonts w:ascii="Times New Roman" w:cs="Times New Roman" w:eastAsia="Times New Roman" w:hAnsi="Times New Roman"/>
                <w:sz w:val="14"/>
                <w:szCs w:val="14"/>
                <w:color w:val="auto"/>
                <w:w w:val="99"/>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left="1012"/>
              <w:spacing w:after="0"/>
              <w:rPr>
                <w:sz w:val="20"/>
                <w:szCs w:val="20"/>
                <w:color w:val="auto"/>
              </w:rPr>
            </w:pPr>
            <w:r>
              <w:rPr>
                <w:rFonts w:ascii="Times New Roman" w:cs="Times New Roman" w:eastAsia="Times New Roman" w:hAnsi="Times New Roman"/>
                <w:sz w:val="14"/>
                <w:szCs w:val="14"/>
                <w:color w:val="auto"/>
                <w:w w:val="99"/>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ind w:left="1012"/>
              <w:spacing w:after="0"/>
              <w:rPr>
                <w:sz w:val="20"/>
                <w:szCs w:val="20"/>
                <w:color w:val="auto"/>
              </w:rPr>
            </w:pPr>
            <w:r>
              <w:rPr>
                <w:rFonts w:ascii="Times New Roman" w:cs="Times New Roman" w:eastAsia="Times New Roman" w:hAnsi="Times New Roman"/>
                <w:sz w:val="14"/>
                <w:szCs w:val="14"/>
                <w:color w:val="auto"/>
                <w:w w:val="99"/>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4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53"/>
        </w:trPr>
        <w:tc>
          <w:tcPr>
            <w:tcW w:w="4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6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98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7"/>
        </w:trPr>
        <w:tc>
          <w:tcPr>
            <w:tcW w:w="4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Maturities of operating lease liabilities as of June 30, 2025 were as follows:</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680" w:type="dxa"/>
            <w:vAlign w:val="bottom"/>
            <w:tcBorders>
              <w:bottom w:val="single" w:sz="8" w:color="CFF0FC"/>
            </w:tcBorders>
          </w:tcPr>
          <w:p>
            <w:pPr>
              <w:spacing w:after="0"/>
              <w:rPr>
                <w:sz w:val="15"/>
                <w:szCs w:val="15"/>
                <w:color w:val="auto"/>
              </w:rPr>
            </w:pPr>
          </w:p>
        </w:tc>
        <w:tc>
          <w:tcPr>
            <w:tcW w:w="98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spacing w:after="0"/>
              <w:rPr>
                <w:sz w:val="15"/>
                <w:szCs w:val="15"/>
                <w:color w:val="auto"/>
              </w:rPr>
            </w:pPr>
          </w:p>
        </w:tc>
        <w:tc>
          <w:tcPr>
            <w:tcW w:w="1100" w:type="dxa"/>
            <w:vAlign w:val="bottom"/>
            <w:tcBorders>
              <w:bottom w:val="single" w:sz="8" w:color="CFF0FC"/>
            </w:tcBorders>
          </w:tcPr>
          <w:p>
            <w:pPr>
              <w:spacing w:after="0"/>
              <w:rPr>
                <w:sz w:val="15"/>
                <w:szCs w:val="15"/>
                <w:color w:val="auto"/>
              </w:rPr>
            </w:pPr>
          </w:p>
        </w:tc>
        <w:tc>
          <w:tcPr>
            <w:tcW w:w="4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20" w:type="dxa"/>
            <w:vAlign w:val="bottom"/>
            <w:tcBorders>
              <w:bottom w:val="single" w:sz="8" w:color="CFF0FC"/>
            </w:tcBorders>
          </w:tcPr>
          <w:p>
            <w:pPr>
              <w:spacing w:after="0"/>
              <w:rPr>
                <w:sz w:val="15"/>
                <w:szCs w:val="15"/>
                <w:color w:val="auto"/>
              </w:rPr>
            </w:pPr>
          </w:p>
        </w:tc>
        <w:tc>
          <w:tcPr>
            <w:tcW w:w="4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0" w:type="dxa"/>
            <w:vAlign w:val="bottom"/>
          </w:tcPr>
          <w:p>
            <w:pPr>
              <w:spacing w:after="0"/>
              <w:rPr>
                <w:sz w:val="1"/>
                <w:szCs w:val="1"/>
                <w:color w:val="auto"/>
              </w:rPr>
            </w:pPr>
          </w:p>
        </w:tc>
      </w:tr>
      <w:tr>
        <w:trPr>
          <w:trHeight w:val="202"/>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6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98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c>
          <w:tcPr>
            <w:tcW w:w="4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20" w:type="dxa"/>
            <w:vAlign w:val="bottom"/>
            <w:tcBorders>
              <w:bottom w:val="single" w:sz="8" w:color="CFF0FC"/>
            </w:tcBorders>
          </w:tcPr>
          <w:p>
            <w:pPr>
              <w:spacing w:after="0"/>
              <w:rPr>
                <w:sz w:val="17"/>
                <w:szCs w:val="17"/>
                <w:color w:val="auto"/>
              </w:rPr>
            </w:pPr>
          </w:p>
        </w:tc>
        <w:tc>
          <w:tcPr>
            <w:tcW w:w="4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 lease payments</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98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c>
          <w:tcPr>
            <w:tcW w:w="4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20" w:type="dxa"/>
            <w:vAlign w:val="bottom"/>
            <w:tcBorders>
              <w:bottom w:val="single" w:sz="8" w:color="CFF0FC"/>
            </w:tcBorders>
          </w:tcPr>
          <w:p>
            <w:pPr>
              <w:spacing w:after="0"/>
              <w:rPr>
                <w:sz w:val="17"/>
                <w:szCs w:val="17"/>
                <w:color w:val="auto"/>
              </w:rPr>
            </w:pPr>
          </w:p>
        </w:tc>
        <w:tc>
          <w:tcPr>
            <w:tcW w:w="4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left="1012"/>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CFF0FC"/>
            </w:tcBorders>
            <w:vMerge w:val="restart"/>
          </w:tcPr>
          <w:p>
            <w:pPr>
              <w:jc w:val="right"/>
              <w:ind w:right="355"/>
              <w:spacing w:after="0"/>
              <w:rPr>
                <w:sz w:val="20"/>
                <w:szCs w:val="20"/>
                <w:color w:val="auto"/>
              </w:rPr>
            </w:pPr>
            <w:r>
              <w:rPr>
                <w:rFonts w:ascii="Times New Roman" w:cs="Times New Roman" w:eastAsia="Times New Roman" w:hAnsi="Times New Roman"/>
                <w:sz w:val="14"/>
                <w:szCs w:val="14"/>
                <w:color w:val="auto"/>
              </w:rPr>
              <w:t>13</w:t>
            </w:r>
          </w:p>
        </w:tc>
        <w:tc>
          <w:tcPr>
            <w:tcW w:w="1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4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680" w:type="dxa"/>
            <w:vAlign w:val="bottom"/>
            <w:tcBorders>
              <w:bottom w:val="single" w:sz="8" w:color="9A9A9A"/>
            </w:tcBorders>
          </w:tcPr>
          <w:p>
            <w:pPr>
              <w:spacing w:after="0"/>
              <w:rPr>
                <w:sz w:val="23"/>
                <w:szCs w:val="23"/>
                <w:color w:val="auto"/>
              </w:rPr>
            </w:pPr>
          </w:p>
        </w:tc>
        <w:tc>
          <w:tcPr>
            <w:tcW w:w="980" w:type="dxa"/>
            <w:vAlign w:val="bottom"/>
            <w:tcBorders>
              <w:bottom w:val="single" w:sz="8" w:color="9A9A9A"/>
            </w:tcBorders>
          </w:tcPr>
          <w:p>
            <w:pPr>
              <w:spacing w:after="0"/>
              <w:rPr>
                <w:sz w:val="23"/>
                <w:szCs w:val="23"/>
                <w:color w:val="auto"/>
              </w:rPr>
            </w:pPr>
          </w:p>
        </w:tc>
        <w:tc>
          <w:tcPr>
            <w:tcW w:w="62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102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13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Note 14. Long-Term Debt and Credit Agreements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Notes</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On May 21, 2024, Garrett Motion Holdings Inc. and Garrett LX I S.à.r.l. (the "Issuers"), wholly owned subsidiaries of the Company, completed an offering of $800 million in aggregate principal amount of 7.75% Senior Unsecured Notes due 2032 (the "2032 Senior Notes"). The 2032 Senior Notes mature on May 31, 2032. The Company incurred $12 million of debt issuance costs, which have been capitalized and will be amortized on a straight-line basis.</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2032 Senior Notes are guaranteed by the Company and each of the Company's wholly owned subsidiaries that guarantee obligations under the Credit Agreement (as defined below), subject to certain exceptions. The proceeds from the sale of the 2032 Senior Notes, together with cash on hand, were used to repay approximately $800 million of term loan indebtedness and to pay related fees and expenses. The 2032 Senior Notes bear interest at a rate of 7.75% per annum. Interest on the 2032 Senior Notes is payable semi-annually in arrears on May 31 and November 30 of each year, commencing on November 30, 2024.</w:t>
      </w:r>
    </w:p>
    <w:p>
      <w:pPr>
        <w:spacing w:after="0" w:line="109"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2032 Senior Notes indenture contains certain covenants that limit the ability of the Company and its restricted subsidiaries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2032 Senior Notes indenture. Additionally, the indenture contains certain change of control provisions that, under certain conditions, would require the Company to make an offer to repurchase all of the outstanding 2032 Senior Notes at a price equal to 101% of the aggregate principal amount, plus accrued and unpaid interest. The indenture also contains customary events of default.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Facilities</w:t>
      </w:r>
    </w:p>
    <w:p>
      <w:pPr>
        <w:spacing w:after="0" w:line="15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On January 30, 2025, the Company entered into that certain Restatement Agreement (the "Restatement Agreement"), which amends and restates that certain Credit Agreement, dated as of April 30, 2021 (as amended from time to time, the "Existing Credit Agreement" and as amended and restated by the Restatement Agreement, the "Credit Agreement"), by and among the Company, Garrett Motion Holdings Inc., Garrett Motion Sàrl and Garrett LX I S.à.r.l., as borrowers (the "Borrowers"), the lenders and issuing banks part thereto from time to time, and JPMorgan Chase Bank, N.A., as administrative agent. Under the Restatement Agreement, the Company refinanced in full its $692 million U.S. Dollar term loan facility (the "2021 Dollar Term Facility") under the Existing Credit Agreement with a new $692 million term loan (the "2025 Dollar Term Facility") in an aggregate principal amount of $692 million. The 2025 Dollar Term Facility will mature on January 30, 2032, and bear interest at a rate equal to, at the Company's option, the Adjusted Term SOFR Rate (as defined in the Restatement Agreement) plus 2.25% per annum in the case of Term Benchmark Loans (as defined in the Restatement Agreement) and the Alternate Base Rate (as defined in the Restatement Agreement) plus 1.25% per annum in the case of ABR Loans (as defined in the Restatement Agreement).</w:t>
      </w:r>
    </w:p>
    <w:p>
      <w:pPr>
        <w:spacing w:after="0" w:line="11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Also on January 30, 2025, pursuant to the Restatement Agreement, the Company replaced its existing $600 million revolving commitments under the Existing Credit Agreement with new revolving commitments under the Credit Agreement in an aggregate principal amount of $630 million (the "New Revolving Facility" and, together with the New Term Loans, the "Credit Facilities"). The maturity date of the New Revolving Facility is January 30, 2030. The New Revolving Facility, when drawn, will bear interest at a rate equal to the applicable benchmark plus an applicable margin that varies based on the Company's leverage ratio. The applicable margin for revolving borrowings ranges from 2.25% to 1.75% per annum in the case of Term Benchmark Loans and 1.25% to 0.75% per annum in the case of ABR Loans. In addition to paying interest on outstanding borrowings under the New Revolving Facility, the Company must also pay a quarterly commitment fee based on the average daily unused portion of the New Revolving Facility during such quarter, which is determined by its leverage ratio and ranges from 0.25% to 0.50% per annum.</w:t>
      </w:r>
    </w:p>
    <w:p>
      <w:pPr>
        <w:spacing w:after="0" w:line="121"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The Credit Agreement contains certain affirmative and negative covenants customary for financings of this type. The Credit Agreement also contains certain customary events of default. The New Revolving Facility is subject to a financial covenant requiring the maintenance of a consolidated total leverage ratio of not greater than 4.7 to 1.00 as of the end of each fiscal quarter if, on the last day of any such fiscal quarter, the aggregate amount of loans and letters of credit (excluding backstopped or cash collateralized letters of credit and other letters of credit with an aggregate face amount not exceeding $30 million) outstanding under the New Revolving Facility exceeds 35% of the aggregate commitments in effect thereunder on such date. The Credit Facilities are secured on a first-priority basis by: (1) a perfected security interest in the equity interests of each direct material subsidiary of each guarantor under the Credit Facilities and (ii) perfected security interests in, and mortgages on, substantially all tangible and intangible personal property and material real property of each</w:t>
      </w:r>
    </w:p>
    <w:p>
      <w:pPr>
        <w:spacing w:after="0" w:line="24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auto"/>
        </w:rPr>
        <w:t>of the guarantors under the Credit Facilities, subject, in each case, to certain exceptions and limitations, including the agreed guaranty and security principles.</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June 30, 2025, the Company was in compliance with all covenants under the 2032 Senior Notes indenture and Credit Agreement.</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principal outstanding and carrying amounts of our long-term debt as of June 30, 2025 and December 31, 2024 are as follows:</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3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Due</w:t>
            </w:r>
          </w:p>
        </w:tc>
        <w:tc>
          <w:tcPr>
            <w:tcW w:w="80" w:type="dxa"/>
            <w:vAlign w:val="bottom"/>
            <w:vMerge w:val="restart"/>
          </w:tcPr>
          <w:p>
            <w:pPr>
              <w:spacing w:after="0"/>
              <w:rPr>
                <w:sz w:val="11"/>
                <w:szCs w:val="11"/>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80" w:type="dxa"/>
            <w:vAlign w:val="bottom"/>
            <w:vMerge w:val="restart"/>
          </w:tcPr>
          <w:p>
            <w:pPr>
              <w:spacing w:after="0"/>
              <w:rPr>
                <w:sz w:val="11"/>
                <w:szCs w:val="11"/>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300" w:type="dxa"/>
            <w:vAlign w:val="bottom"/>
            <w:tcBorders>
              <w:bottom w:val="single" w:sz="8" w:color="CCEEFF"/>
            </w:tcBorders>
          </w:tcPr>
          <w:p>
            <w:pPr>
              <w:spacing w:after="0"/>
              <w:rPr>
                <w:sz w:val="13"/>
                <w:szCs w:val="13"/>
                <w:color w:val="auto"/>
              </w:rPr>
            </w:pPr>
          </w:p>
        </w:tc>
        <w:tc>
          <w:tcPr>
            <w:tcW w:w="374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4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0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97"/>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2021</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Dollar Term Facility</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4/30/2028</w:t>
            </w:r>
          </w:p>
        </w:tc>
        <w:tc>
          <w:tcPr>
            <w:tcW w:w="8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SOFR plus 275 bps</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197"/>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2025</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 Term Facility</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1/30/2032</w:t>
            </w:r>
          </w:p>
        </w:tc>
        <w:tc>
          <w:tcPr>
            <w:tcW w:w="80" w:type="dxa"/>
            <w:vAlign w:val="bottom"/>
          </w:tcPr>
          <w:p>
            <w:pPr>
              <w:spacing w:after="0"/>
              <w:rPr>
                <w:sz w:val="17"/>
                <w:szCs w:val="17"/>
                <w:color w:val="auto"/>
              </w:rPr>
            </w:pP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SOFR plus 225 bps</w:t>
            </w:r>
          </w:p>
        </w:tc>
        <w:tc>
          <w:tcPr>
            <w:tcW w:w="10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2032</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5/31/2032</w:t>
            </w: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7.75%</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97"/>
        </w:trPr>
        <w:tc>
          <w:tcPr>
            <w:tcW w:w="4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14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principal outstanding</w:t>
            </w: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0" w:type="dxa"/>
            <w:vAlign w:val="bottom"/>
          </w:tcPr>
          <w:p>
            <w:pPr>
              <w:spacing w:after="0"/>
              <w:rPr>
                <w:sz w:val="1"/>
                <w:szCs w:val="1"/>
                <w:color w:val="auto"/>
              </w:rPr>
            </w:pPr>
          </w:p>
        </w:tc>
      </w:tr>
      <w:tr>
        <w:trPr>
          <w:trHeight w:val="19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unamortized deferred financing costs</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2"/>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9"/>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long-term debt</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319"/>
        <w:spacing w:after="0" w:line="289" w:lineRule="auto"/>
        <w:rPr>
          <w:sz w:val="20"/>
          <w:szCs w:val="20"/>
          <w:color w:val="auto"/>
        </w:rPr>
      </w:pPr>
      <w:r>
        <w:rPr>
          <w:rFonts w:ascii="Times New Roman" w:cs="Times New Roman" w:eastAsia="Times New Roman" w:hAnsi="Times New Roman"/>
          <w:sz w:val="14"/>
          <w:szCs w:val="14"/>
          <w:color w:val="auto"/>
        </w:rPr>
        <w:t>Separate from the Revolving Facility, the Company has a bilateral letter of credit facility with outstanding letters of credit in the amount of $8 million at June 30, 2025 and December 31, 2024, respectively. The letters of credit typically support customs arrangements and other obligations at our local affiliates.</w:t>
      </w:r>
    </w:p>
    <w:p>
      <w:pPr>
        <w:sectPr>
          <w:pgSz w:w="11900" w:h="16838" w:orient="portrait"/>
          <w:cols w:equalWidth="0" w:num="1">
            <w:col w:w="11360"/>
          </w:cols>
          <w:pgMar w:left="300" w:top="902" w:right="239" w:bottom="1440" w:gutter="0" w:footer="0" w:header="0"/>
        </w:sectPr>
      </w:pP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Minimum scheduled principal repayments of long-term debt as of June 30, 2025 are as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400685</wp:posOffset>
            </wp:positionV>
            <wp:extent cx="6518910" cy="135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18910" cy="135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2025</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15240</wp:posOffset>
            </wp:positionV>
            <wp:extent cx="6518910"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18910" cy="128270"/>
                    </a:xfrm>
                    <a:prstGeom prst="rect">
                      <a:avLst/>
                    </a:prstGeom>
                    <a:noFill/>
                  </pic:spPr>
                </pic:pic>
              </a:graphicData>
            </a:graphic>
          </wp:anchor>
        </w:drawing>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2027</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15240</wp:posOffset>
            </wp:positionV>
            <wp:extent cx="6518910"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8910" cy="128270"/>
                    </a:xfrm>
                    <a:prstGeom prst="rect">
                      <a:avLst/>
                    </a:prstGeom>
                    <a:noFill/>
                  </pic:spPr>
                </pic:pic>
              </a:graphicData>
            </a:graphic>
          </wp:anchor>
        </w:drawing>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2029</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15240</wp:posOffset>
            </wp:positionV>
            <wp:extent cx="6518910" cy="148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18910" cy="148590"/>
                    </a:xfrm>
                    <a:prstGeom prst="rect">
                      <a:avLst/>
                    </a:prstGeom>
                    <a:noFill/>
                  </pic:spPr>
                </pic:pic>
              </a:graphicData>
            </a:graphic>
          </wp:anchor>
        </w:drawing>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Total debt payments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Equity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340" w:type="dxa"/>
            <w:vAlign w:val="bottom"/>
          </w:tcPr>
          <w:p>
            <w:pPr>
              <w:spacing w:after="0"/>
              <w:rPr>
                <w:sz w:val="11"/>
                <w:szCs w:val="11"/>
                <w:color w:val="auto"/>
              </w:rPr>
            </w:pPr>
          </w:p>
        </w:tc>
        <w:tc>
          <w:tcPr>
            <w:tcW w:w="1820" w:type="dxa"/>
            <w:vAlign w:val="bottom"/>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rPr>
              <w:t>June 30,</w:t>
            </w:r>
          </w:p>
        </w:tc>
      </w:tr>
      <w:tr>
        <w:trPr>
          <w:trHeight w:val="153"/>
        </w:trPr>
        <w:tc>
          <w:tcPr>
            <w:tcW w:w="3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56"/>
        </w:trPr>
        <w:tc>
          <w:tcPr>
            <w:tcW w:w="3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1"/>
                <w:szCs w:val="11"/>
                <w:b w:val="1"/>
                <w:bCs w:val="1"/>
                <w:color w:val="auto"/>
              </w:rPr>
              <w:t>(Dollars in millions)</w:t>
            </w:r>
          </w:p>
        </w:tc>
      </w:tr>
      <w:tr>
        <w:trPr>
          <w:trHeight w:val="191"/>
        </w:trPr>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2"/>
        </w:trPr>
        <w:tc>
          <w:tcPr>
            <w:tcW w:w="3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2"/>
        </w:trPr>
        <w:tc>
          <w:tcPr>
            <w:tcW w:w="3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2"/>
        </w:trPr>
        <w:tc>
          <w:tcPr>
            <w:tcW w:w="3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2"/>
        </w:trPr>
        <w:tc>
          <w:tcPr>
            <w:tcW w:w="3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8"/>
        </w:trPr>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1,458</w:t>
            </w:r>
          </w:p>
        </w:tc>
      </w:tr>
      <w:tr>
        <w:trPr>
          <w:trHeight w:val="193"/>
        </w:trPr>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017" w:lineRule="exact"/>
        <w:rPr>
          <w:sz w:val="20"/>
          <w:szCs w:val="20"/>
          <w:color w:val="auto"/>
        </w:rPr>
      </w:pPr>
    </w:p>
    <w:p>
      <w:pPr>
        <w:sectPr>
          <w:pgSz w:w="11900" w:h="16838" w:orient="portrait"/>
          <w:cols w:equalWidth="0" w:num="2">
            <w:col w:w="7700" w:space="720"/>
            <w:col w:w="2940"/>
          </w:cols>
          <w:pgMar w:left="300" w:top="902" w:right="239" w:bottom="1440" w:gutter="0" w:footer="0" w:header="0"/>
          <w:type w:val="continuous"/>
        </w:sectPr>
      </w:pPr>
    </w:p>
    <w:p>
      <w:pPr>
        <w:jc w:val="both"/>
        <w:ind w:right="80" w:firstLine="307"/>
        <w:spacing w:after="0" w:line="289" w:lineRule="auto"/>
        <w:rPr>
          <w:sz w:val="20"/>
          <w:szCs w:val="20"/>
          <w:color w:val="auto"/>
        </w:rPr>
      </w:pPr>
      <w:r>
        <w:rPr>
          <w:rFonts w:ascii="Times New Roman" w:cs="Times New Roman" w:eastAsia="Times New Roman" w:hAnsi="Times New Roman"/>
          <w:sz w:val="14"/>
          <w:szCs w:val="14"/>
          <w:color w:val="auto"/>
        </w:rPr>
        <w:t>On December 5, 2024, the Board of Directors declared a cash dividend of $0.06 per share of Common Stock, payable on January 31, 2025, to shareholders of record as of January 15, 2025. The total amount of dividends paid on January 31, 2025 amounted to $12 million.</w:t>
      </w:r>
    </w:p>
    <w:p>
      <w:pPr>
        <w:spacing w:after="0" w:line="92" w:lineRule="exact"/>
        <w:rPr>
          <w:sz w:val="20"/>
          <w:szCs w:val="20"/>
          <w:color w:val="auto"/>
        </w:rPr>
      </w:pPr>
    </w:p>
    <w:p>
      <w:pPr>
        <w:jc w:val="both"/>
        <w:ind w:right="80" w:firstLine="307"/>
        <w:spacing w:after="0" w:line="289" w:lineRule="auto"/>
        <w:rPr>
          <w:sz w:val="20"/>
          <w:szCs w:val="20"/>
          <w:color w:val="auto"/>
        </w:rPr>
      </w:pPr>
      <w:r>
        <w:rPr>
          <w:rFonts w:ascii="Times New Roman" w:cs="Times New Roman" w:eastAsia="Times New Roman" w:hAnsi="Times New Roman"/>
          <w:sz w:val="14"/>
          <w:szCs w:val="14"/>
          <w:color w:val="auto"/>
        </w:rPr>
        <w:t>On May 1, 2025, the Board of Directors declared a cash dividend of $0.06 per share of Common Stock, payable on June 16, 2025, to shareholders of record as of June 2, 2025. The total amount of dividends paid on June 16, 2025 amounted to $13 million.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Treasury Stock</w:t>
      </w:r>
    </w:p>
    <w:p>
      <w:pPr>
        <w:spacing w:after="0" w:line="162" w:lineRule="exact"/>
        <w:rPr>
          <w:sz w:val="20"/>
          <w:szCs w:val="20"/>
          <w:color w:val="auto"/>
        </w:rPr>
      </w:pPr>
    </w:p>
    <w:p>
      <w:pPr>
        <w:jc w:val="both"/>
        <w:ind w:right="80" w:firstLine="307"/>
        <w:spacing w:after="0" w:line="271" w:lineRule="auto"/>
        <w:rPr>
          <w:sz w:val="20"/>
          <w:szCs w:val="20"/>
          <w:color w:val="auto"/>
        </w:rPr>
      </w:pPr>
      <w:r>
        <w:rPr>
          <w:rFonts w:ascii="Times New Roman" w:cs="Times New Roman" w:eastAsia="Times New Roman" w:hAnsi="Times New Roman"/>
          <w:sz w:val="14"/>
          <w:szCs w:val="14"/>
          <w:color w:val="auto"/>
        </w:rPr>
        <w:t>Treasury stock represents shares of the Company's Common Stock that have been issued and subsequently repurchased by the Company or withheld to satisfy withholding tax obligations in connection with the vesting of equity awards, and that have not been retired or cancelled. The Company accounts for treasury stock under the cost method and includes treasury stock as a component of Equity (Deficit) on the Consolidated Interim Balance Sheet. The Company</w:t>
      </w:r>
    </w:p>
    <w:p>
      <w:pPr>
        <w:spacing w:after="0" w:line="24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902" w:right="2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color w:val="auto"/>
        </w:rPr>
        <w:t>accounts for the reissuance of treasury stock using the average cost method. The Company did not reissue or retire any shares of treasury stock during the three and six months ended June 30,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On December 4, 2024, the Board of Directors authorized a $250 million share repurchase program valid January 1, 2025 until December 31, 2025. The Company may repurchase shares from time to time under the program through various methods, including in open market transactions, block trades, privately negotiated transactions, and otherwise. The timing, as well as the number and value of shares repurchased under the program, will depend on a variety of factors. The Company is not obligated to purchase any shares under the repurchase program, and the program may be suspended, modified, or discontinued at any time without prior notice. During the six months ended June 30, 2025, the Company repurchased $52 million of Common Stock, and had $198 million remaining under the share repurchase program as of that date. The repurchased shares are held as treasury stock.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Financial Instruments and Fair Value Measures</w:t>
      </w:r>
    </w:p>
    <w:p>
      <w:pPr>
        <w:spacing w:after="0" w:line="148"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auto"/>
        </w:rPr>
        <w:t xml:space="preserve">Our credit, market, and foreign currency risk management policies are described in Note 19, </w:t>
      </w:r>
      <w:r>
        <w:rPr>
          <w:rFonts w:ascii="Times New Roman" w:cs="Times New Roman" w:eastAsia="Times New Roman" w:hAnsi="Times New Roman"/>
          <w:sz w:val="14"/>
          <w:szCs w:val="14"/>
          <w:i w:val="1"/>
          <w:iCs w:val="1"/>
          <w:color w:val="auto"/>
        </w:rPr>
        <w:t>Financial Instruments and Fair Value Measures</w:t>
      </w:r>
      <w:r>
        <w:rPr>
          <w:rFonts w:ascii="Times New Roman" w:cs="Times New Roman" w:eastAsia="Times New Roman" w:hAnsi="Times New Roman"/>
          <w:sz w:val="14"/>
          <w:szCs w:val="14"/>
          <w:color w:val="auto"/>
        </w:rPr>
        <w:t>, to the Consolidated Financial Statements for the year ended December 31, 2024 included in our 2024 Form 10-K. As of June 30, 2025 and December 31, 2024, we had contracts with aggregate gross notional amounts of $973 million and $928 million, respectively, to hedge foreign currencies, principally the U.S. Dollar, Swiss Franc, British Pound, Euro, Chinese Yuan, Japanese Yen, Mexican Peso, New Romanian Leu, Czech Koruna, Australian Dollar, and Korean Won.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FASB’s accounting guidance defines fair value as the price that would be received to sell an asset or paid to transfer a liability in an orderly transaction between market participants at the measurement date (exit price). Financial and 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June 30,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9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1"/>
                <w:szCs w:val="11"/>
                <w:b w:val="1"/>
                <w:bCs w:val="1"/>
                <w:color w:val="auto"/>
              </w:rPr>
              <w:t>Notional Amounts</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1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971"/>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940" w:type="dxa"/>
            <w:vAlign w:val="bottom"/>
          </w:tcPr>
          <w:p>
            <w:pPr>
              <w:spacing w:after="0"/>
              <w:rPr>
                <w:sz w:val="9"/>
                <w:szCs w:val="9"/>
                <w:color w:val="auto"/>
              </w:rPr>
            </w:pPr>
          </w:p>
        </w:tc>
        <w:tc>
          <w:tcPr>
            <w:tcW w:w="8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June 30,</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40" w:type="dxa"/>
            <w:vAlign w:val="bottom"/>
          </w:tcPr>
          <w:p>
            <w:pPr>
              <w:spacing w:after="0"/>
              <w:rPr>
                <w:sz w:val="9"/>
                <w:szCs w:val="9"/>
                <w:color w:val="auto"/>
              </w:rPr>
            </w:pPr>
          </w:p>
        </w:tc>
        <w:tc>
          <w:tcPr>
            <w:tcW w:w="1080" w:type="dxa"/>
            <w:vAlign w:val="bottom"/>
            <w:gridSpan w:val="2"/>
          </w:tcPr>
          <w:p>
            <w:pPr>
              <w:ind w:left="180"/>
              <w:spacing w:after="0" w:line="109" w:lineRule="exact"/>
              <w:rPr>
                <w:sz w:val="20"/>
                <w:szCs w:val="20"/>
                <w:color w:val="auto"/>
              </w:rPr>
            </w:pPr>
            <w:r>
              <w:rPr>
                <w:rFonts w:ascii="Times New Roman" w:cs="Times New Roman" w:eastAsia="Times New Roman" w:hAnsi="Times New Roman"/>
                <w:sz w:val="11"/>
                <w:szCs w:val="11"/>
                <w:b w:val="1"/>
                <w:bCs w:val="1"/>
                <w:color w:val="auto"/>
              </w:rPr>
              <w:t>June 30,</w:t>
            </w:r>
          </w:p>
        </w:tc>
        <w:tc>
          <w:tcPr>
            <w:tcW w:w="120" w:type="dxa"/>
            <w:vAlign w:val="bottom"/>
          </w:tcPr>
          <w:p>
            <w:pPr>
              <w:spacing w:after="0"/>
              <w:rPr>
                <w:sz w:val="9"/>
                <w:szCs w:val="9"/>
                <w:color w:val="auto"/>
              </w:rPr>
            </w:pPr>
          </w:p>
        </w:tc>
        <w:tc>
          <w:tcPr>
            <w:tcW w:w="1100" w:type="dxa"/>
            <w:vAlign w:val="bottom"/>
            <w:vMerge w:val="restart"/>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gridSpan w:val="2"/>
          </w:tcPr>
          <w:p>
            <w:pPr>
              <w:ind w:left="80"/>
              <w:spacing w:after="0" w:line="109" w:lineRule="exact"/>
              <w:rPr>
                <w:sz w:val="20"/>
                <w:szCs w:val="20"/>
                <w:color w:val="auto"/>
              </w:rPr>
            </w:pPr>
            <w:r>
              <w:rPr>
                <w:rFonts w:ascii="Times New Roman" w:cs="Times New Roman" w:eastAsia="Times New Roman" w:hAnsi="Times New Roman"/>
                <w:sz w:val="11"/>
                <w:szCs w:val="11"/>
                <w:b w:val="1"/>
                <w:bCs w:val="1"/>
                <w:color w:val="auto"/>
              </w:rPr>
              <w:t>June 30,</w:t>
            </w:r>
          </w:p>
        </w:tc>
        <w:tc>
          <w:tcPr>
            <w:tcW w:w="140" w:type="dxa"/>
            <w:vAlign w:val="bottom"/>
          </w:tcPr>
          <w:p>
            <w:pPr>
              <w:spacing w:after="0"/>
              <w:rPr>
                <w:sz w:val="9"/>
                <w:szCs w:val="9"/>
                <w:color w:val="auto"/>
              </w:rPr>
            </w:pPr>
          </w:p>
        </w:tc>
        <w:tc>
          <w:tcPr>
            <w:tcW w:w="1120" w:type="dxa"/>
            <w:vAlign w:val="bottom"/>
            <w:vMerge w:val="restart"/>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43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Designated instruments:</w:t>
            </w:r>
          </w:p>
        </w:tc>
        <w:tc>
          <w:tcPr>
            <w:tcW w:w="8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Designated forward currency exchange contracts</w:t>
            </w:r>
          </w:p>
        </w:tc>
        <w:tc>
          <w:tcPr>
            <w:tcW w:w="8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xml:space="preserve">(a)    </w:t>
            </w: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0"/>
                <w:szCs w:val="10"/>
                <w:color w:val="auto"/>
                <w:w w:val="89"/>
              </w:rPr>
              <w:t>(c)</w:t>
            </w:r>
          </w:p>
        </w:tc>
        <w:tc>
          <w:tcPr>
            <w:tcW w:w="0" w:type="dxa"/>
            <w:vAlign w:val="bottom"/>
          </w:tcPr>
          <w:p>
            <w:pPr>
              <w:spacing w:after="0"/>
              <w:rPr>
                <w:sz w:val="1"/>
                <w:szCs w:val="1"/>
                <w:color w:val="auto"/>
              </w:rPr>
            </w:pPr>
          </w:p>
        </w:tc>
      </w:tr>
      <w:tr>
        <w:trPr>
          <w:trHeight w:val="18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Designated cross-currency swaps</w:t>
            </w:r>
          </w:p>
        </w:tc>
        <w:tc>
          <w:tcPr>
            <w:tcW w:w="8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(b)</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9"/>
                <w:szCs w:val="9"/>
                <w:color w:val="auto"/>
              </w:rPr>
              <w:t>(d)</w:t>
            </w:r>
          </w:p>
        </w:tc>
        <w:tc>
          <w:tcPr>
            <w:tcW w:w="0" w:type="dxa"/>
            <w:vAlign w:val="bottom"/>
          </w:tcPr>
          <w:p>
            <w:pPr>
              <w:spacing w:after="0"/>
              <w:rPr>
                <w:sz w:val="1"/>
                <w:szCs w:val="1"/>
                <w:color w:val="auto"/>
              </w:rPr>
            </w:pPr>
          </w:p>
        </w:tc>
      </w:tr>
      <w:tr>
        <w:trPr>
          <w:trHeight w:val="18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Designated interest-rate swaps</w:t>
            </w: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9"/>
                <w:szCs w:val="9"/>
                <w:color w:val="auto"/>
              </w:rPr>
              <w:t>(d)</w:t>
            </w:r>
          </w:p>
        </w:tc>
        <w:tc>
          <w:tcPr>
            <w:tcW w:w="0" w:type="dxa"/>
            <w:vAlign w:val="bottom"/>
          </w:tcPr>
          <w:p>
            <w:pPr>
              <w:spacing w:after="0"/>
              <w:rPr>
                <w:sz w:val="1"/>
                <w:szCs w:val="1"/>
                <w:color w:val="auto"/>
              </w:rPr>
            </w:pPr>
          </w:p>
        </w:tc>
      </w:tr>
      <w:tr>
        <w:trPr>
          <w:trHeight w:val="172"/>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designated instruments</w:t>
            </w:r>
          </w:p>
        </w:tc>
        <w:tc>
          <w:tcPr>
            <w:tcW w:w="8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3,235</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Undesignated instruments:</w:t>
            </w: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Undesignated interest rate swaps</w:t>
            </w:r>
          </w:p>
        </w:tc>
        <w:tc>
          <w:tcPr>
            <w:tcW w:w="84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(b)</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0"/>
                <w:szCs w:val="10"/>
                <w:color w:val="auto"/>
                <w:w w:val="85"/>
              </w:rPr>
              <w:t>(d)</w:t>
            </w:r>
          </w:p>
        </w:tc>
        <w:tc>
          <w:tcPr>
            <w:tcW w:w="0" w:type="dxa"/>
            <w:vAlign w:val="bottom"/>
          </w:tcPr>
          <w:p>
            <w:pPr>
              <w:spacing w:after="0"/>
              <w:rPr>
                <w:sz w:val="1"/>
                <w:szCs w:val="1"/>
                <w:color w:val="auto"/>
              </w:rPr>
            </w:pPr>
          </w:p>
        </w:tc>
      </w:tr>
      <w:tr>
        <w:trPr>
          <w:trHeight w:val="138"/>
        </w:trPr>
        <w:tc>
          <w:tcPr>
            <w:tcW w:w="29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Undesignated forward currency exchange</w:t>
            </w: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contracts</w:t>
            </w: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0"/>
                <w:szCs w:val="10"/>
                <w:color w:val="auto"/>
                <w:w w:val="89"/>
              </w:rPr>
              <w:t>(c)</w:t>
            </w:r>
          </w:p>
        </w:tc>
        <w:tc>
          <w:tcPr>
            <w:tcW w:w="0" w:type="dxa"/>
            <w:vAlign w:val="bottom"/>
          </w:tcPr>
          <w:p>
            <w:pPr>
              <w:spacing w:after="0"/>
              <w:rPr>
                <w:sz w:val="1"/>
                <w:szCs w:val="1"/>
                <w:color w:val="auto"/>
              </w:rPr>
            </w:pPr>
          </w:p>
        </w:tc>
      </w:tr>
      <w:tr>
        <w:trPr>
          <w:trHeight w:val="172"/>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undesignated instruments</w:t>
            </w:r>
          </w:p>
        </w:tc>
        <w:tc>
          <w:tcPr>
            <w:tcW w:w="84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designated and undesignated instruments</w:t>
            </w: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Recorded within Other current assets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 Recorded within Other assets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 Recorded within Accrued liabilities</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 Recorded within Other liabilities</w:t>
      </w:r>
    </w:p>
    <w:p>
      <w:pPr>
        <w:spacing w:after="0" w:line="200" w:lineRule="exact"/>
        <w:rPr>
          <w:sz w:val="20"/>
          <w:szCs w:val="20"/>
          <w:color w:val="auto"/>
        </w:rPr>
      </w:pPr>
    </w:p>
    <w:p>
      <w:pPr>
        <w:spacing w:after="0" w:line="2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Hedges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During 2023, the Company entered into float-to-fixed interest rate swap contracts with an aggregate notional amount of $200 million and maturities in July 2024 and October 2024. The Company also entered into a float-to-fixed cross-currency swap contract comprised of an amortizing swap with an aggregate notional amount of €280 million ($300 million) and notional exchanges in June 2026, June 2027, and June 2028. The interest rate swap and cross-currency swap contracts were early settled in the second quarter of 2024, resulting in net gains of $18 million recorded to Interest expense and a $4 million loss recorded to Non-operating expense in the Consolidated Interim Statement of Operations.</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During 2025, the Company entered into float-to-fixed interest rate swap contracts with an aggregate notional amount of $675 million and maturities in January 2027, January 2028, January 2029, January 2030 and January 2031. Changes in the fair value of the interest rate swap contracts are recorded in Accumulated Other Comprehensive Income ("AOCI") and will be reclassified to Interest expense in the Consolidated Interim Statement of Operations upon maturity.</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also has outstanding forward currency exchange contracts with maturities up to 18 months and an aggregate notional amount of $520 million and $331 million as of June 30, 2025 and December 31, 2024, respectively. These forward currency exchange contracts have been designated as cash flow hedges to mitigate foreign currency exposures primarily on our inventory purchases and manufacturing costs. The gains and losses on the forward currency exchange contracts are recorded in AOCI and reclassified to Cost of goods sold in the Consolidated Interim Statement of Operations when the underlying transactions are recognized in earnings.</w:t>
      </w:r>
    </w:p>
    <w:p>
      <w:pPr>
        <w:spacing w:after="0" w:line="12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order to mitigate foreign currency risk on its 2032 Senior Notes, the Company entered into fixed-to-fixed cross-currency swap contracts with an aggregate notional amount of €507 million ($550 million) and notional exchanges occurring in May 2027, May 2028, May 2029, and May 2030. Changes in the fair value of the cross-currency swap contracts are recognized in AOCI and reclassified to Non-operating (income) expense in the Consolidated Interim Statement of Operations, based upon changes in the spot rate remeasurement of the underlying debt. The net interest settlements on the cross-currency swap contracts are recorded in Interest expense in the Consolidated Interim Statements of Operations.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All of the Company's cash flow hedges are assessed as highly effective.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Hedges</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has designated cross-currency swaps with aggregate notional amounts of €1,381 million ($1,490 million) and €858 million ($965 million) as of June 30, 2025 and December 31, 2024, respectively, as net investment hedges of its Euro-denominated operations. Changes in the fair value of the net investment hedges are recorded in AOCI until the net investment is liquidated or sold. The fair values of the net investment hedges were a net liability of $123 million and a net asset of $70 million as of June 30, 2025 and December 31, 2024, respectively. No ineffectiveness has been recorded on the net investment hedges.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Non-Designated Derivatives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of December 31, 2024, the Company had outstanding float-to-fixed interest rate swap contracts with an aggregate notional amount of €450 million ($470 million) and maturities of April 2025, April 2026, April 2027, and April 2028. Changes in the fair value of the undesignated interest rate swap contracts are recorded in Interest expense in the Consolidated Interim Statements of Operations. These interest rate swap contracts were early settled in 2025.</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also has outstanding forward currency exchange contracts with maturities generally up to 3 months and an aggregate notional amount of $453 million and $597 million as of June 30, 2025 and December 31, 2024, respectively. Changes in the fair value of the forward currency exchange contracts are recorded in Non-operating (income) expense in the Consolidated Interim Statements of Operations.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Effect of Derivatives on the Statements of Operations and Statements of Comprehensive Income (Loss)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present the pretax impact that changes in the fair values of derivatives designated as cash flow hedges and net investment hedges had on OCI, AOCI and earnings: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59"/>
        </w:trPr>
        <w:tc>
          <w:tcPr>
            <w:tcW w:w="4680" w:type="dxa"/>
            <w:vAlign w:val="bottom"/>
          </w:tcPr>
          <w:p>
            <w:pPr>
              <w:spacing w:after="0"/>
              <w:rPr>
                <w:sz w:val="13"/>
                <w:szCs w:val="13"/>
                <w:color w:val="auto"/>
              </w:rPr>
            </w:pPr>
          </w:p>
        </w:tc>
        <w:tc>
          <w:tcPr>
            <w:tcW w:w="2700" w:type="dxa"/>
            <w:vAlign w:val="bottom"/>
            <w:tcBorders>
              <w:bottom w:val="single" w:sz="8" w:color="auto"/>
            </w:tcBorders>
            <w:gridSpan w:val="2"/>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940" w:type="dxa"/>
            <w:vAlign w:val="bottom"/>
            <w:tcBorders>
              <w:bottom w:val="single" w:sz="8" w:color="auto"/>
            </w:tcBorders>
          </w:tcPr>
          <w:p>
            <w:pPr>
              <w:spacing w:after="0"/>
              <w:rPr>
                <w:sz w:val="13"/>
                <w:szCs w:val="13"/>
                <w:color w:val="auto"/>
              </w:rPr>
            </w:pPr>
          </w:p>
        </w:tc>
      </w:tr>
      <w:tr>
        <w:trPr>
          <w:trHeight w:val="154"/>
        </w:trPr>
        <w:tc>
          <w:tcPr>
            <w:tcW w:w="4680" w:type="dxa"/>
            <w:vAlign w:val="bottom"/>
          </w:tcPr>
          <w:p>
            <w:pPr>
              <w:spacing w:after="0"/>
              <w:rPr>
                <w:sz w:val="13"/>
                <w:szCs w:val="13"/>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1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4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80" w:type="dxa"/>
            <w:vAlign w:val="bottom"/>
            <w:gridSpan w:val="3"/>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0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45"/>
        </w:trPr>
        <w:tc>
          <w:tcPr>
            <w:tcW w:w="468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Gain (loss) reclassified from AOCI to</w:t>
            </w:r>
          </w:p>
        </w:tc>
        <w:tc>
          <w:tcPr>
            <w:tcW w:w="1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85"/>
        </w:trPr>
        <w:tc>
          <w:tcPr>
            <w:tcW w:w="4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w:t>
            </w:r>
          </w:p>
        </w:tc>
        <w:tc>
          <w:tcPr>
            <w:tcW w:w="1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1"/>
        </w:trPr>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Cost of goods sold</w:t>
            </w:r>
          </w:p>
        </w:tc>
        <w:tc>
          <w:tcPr>
            <w:tcW w:w="108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1"/>
        </w:trPr>
        <w:tc>
          <w:tcPr>
            <w:tcW w:w="4680" w:type="dxa"/>
            <w:vAlign w:val="bottom"/>
          </w:tcPr>
          <w:p>
            <w:pPr>
              <w:ind w:left="200"/>
              <w:spacing w:after="0" w:line="181" w:lineRule="exact"/>
              <w:rPr>
                <w:sz w:val="20"/>
                <w:szCs w:val="20"/>
                <w:color w:val="auto"/>
              </w:rPr>
            </w:pPr>
            <w:r>
              <w:rPr>
                <w:rFonts w:ascii="Times New Roman" w:cs="Times New Roman" w:eastAsia="Times New Roman" w:hAnsi="Times New Roman"/>
                <w:sz w:val="14"/>
                <w:szCs w:val="14"/>
                <w:color w:val="auto"/>
              </w:rPr>
              <w:t xml:space="preserve">Interest expense </w:t>
            </w:r>
            <w:r>
              <w:rPr>
                <w:rFonts w:ascii="Times New Roman" w:cs="Times New Roman" w:eastAsia="Times New Roman" w:hAnsi="Times New Roman"/>
                <w:sz w:val="18"/>
                <w:szCs w:val="18"/>
                <w:color w:val="auto"/>
                <w:vertAlign w:val="superscript"/>
              </w:rPr>
              <w:t>(1)</w:t>
            </w:r>
          </w:p>
        </w:tc>
        <w:tc>
          <w:tcPr>
            <w:tcW w:w="1080" w:type="dxa"/>
            <w:vAlign w:val="bottom"/>
          </w:tcPr>
          <w:p>
            <w:pPr>
              <w:spacing w:after="0"/>
              <w:rPr>
                <w:sz w:val="15"/>
                <w:szCs w:val="15"/>
                <w:color w:val="auto"/>
              </w:rPr>
            </w:pPr>
          </w:p>
        </w:tc>
        <w:tc>
          <w:tcPr>
            <w:tcW w:w="1620" w:type="dxa"/>
            <w:vAlign w:val="bottom"/>
          </w:tcPr>
          <w:p>
            <w:pPr>
              <w:jc w:val="right"/>
              <w:ind w:right="1071"/>
              <w:spacing w:after="0"/>
              <w:rPr>
                <w:sz w:val="20"/>
                <w:szCs w:val="20"/>
                <w:color w:val="auto"/>
              </w:rPr>
            </w:pPr>
            <w:r>
              <w:rPr>
                <w:rFonts w:ascii="Times New Roman" w:cs="Times New Roman" w:eastAsia="Times New Roman" w:hAnsi="Times New Roman"/>
                <w:sz w:val="14"/>
                <w:szCs w:val="14"/>
                <w:color w:val="auto"/>
              </w:rPr>
              <w:t>(4)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jc w:val="right"/>
              <w:ind w:right="691"/>
              <w:spacing w:after="0"/>
              <w:rPr>
                <w:sz w:val="20"/>
                <w:szCs w:val="20"/>
                <w:color w:val="auto"/>
              </w:rPr>
            </w:pPr>
            <w:r>
              <w:rPr>
                <w:rFonts w:ascii="Times New Roman" w:cs="Times New Roman" w:eastAsia="Times New Roman" w:hAnsi="Times New Roman"/>
                <w:sz w:val="14"/>
                <w:szCs w:val="14"/>
                <w:color w:val="auto"/>
              </w:rPr>
              <w:t>(4)</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468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4"/>
                <w:szCs w:val="14"/>
                <w:color w:val="auto"/>
              </w:rPr>
              <w:t xml:space="preserve">Non-operating income </w:t>
            </w:r>
            <w:r>
              <w:rPr>
                <w:rFonts w:ascii="Times New Roman" w:cs="Times New Roman" w:eastAsia="Times New Roman" w:hAnsi="Times New Roman"/>
                <w:sz w:val="18"/>
                <w:szCs w:val="18"/>
                <w:color w:val="auto"/>
                <w:vertAlign w:val="superscript"/>
              </w:rPr>
              <w:t>(2)</w:t>
            </w:r>
          </w:p>
        </w:tc>
        <w:tc>
          <w:tcPr>
            <w:tcW w:w="1080" w:type="dxa"/>
            <w:vAlign w:val="bottom"/>
            <w:shd w:val="clear" w:color="auto" w:fill="CCEEFF"/>
          </w:tcPr>
          <w:p>
            <w:pPr>
              <w:spacing w:after="0"/>
              <w:rPr>
                <w:sz w:val="15"/>
                <w:szCs w:val="15"/>
                <w:color w:val="auto"/>
              </w:rPr>
            </w:pPr>
          </w:p>
        </w:tc>
        <w:tc>
          <w:tcPr>
            <w:tcW w:w="1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45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64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45"/>
        </w:trPr>
        <w:tc>
          <w:tcPr>
            <w:tcW w:w="468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Gain (loss) recognized in other comprehensive</w:t>
            </w:r>
          </w:p>
        </w:tc>
        <w:tc>
          <w:tcPr>
            <w:tcW w:w="1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85"/>
        </w:trPr>
        <w:tc>
          <w:tcPr>
            <w:tcW w:w="4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w:t>
            </w:r>
          </w:p>
        </w:tc>
        <w:tc>
          <w:tcPr>
            <w:tcW w:w="1080" w:type="dxa"/>
            <w:vAlign w:val="bottom"/>
          </w:tcPr>
          <w:p>
            <w:pPr>
              <w:spacing w:after="0"/>
              <w:rPr>
                <w:sz w:val="16"/>
                <w:szCs w:val="16"/>
                <w:color w:val="auto"/>
              </w:rPr>
            </w:pPr>
          </w:p>
        </w:tc>
        <w:tc>
          <w:tcPr>
            <w:tcW w:w="1620" w:type="dxa"/>
            <w:vAlign w:val="bottom"/>
          </w:tcPr>
          <w:p>
            <w:pPr>
              <w:jc w:val="right"/>
              <w:ind w:right="1071"/>
              <w:spacing w:after="0"/>
              <w:rPr>
                <w:sz w:val="20"/>
                <w:szCs w:val="20"/>
                <w:color w:val="auto"/>
              </w:rPr>
            </w:pPr>
            <w:r>
              <w:rPr>
                <w:rFonts w:ascii="Times New Roman" w:cs="Times New Roman" w:eastAsia="Times New Roman" w:hAnsi="Times New Roman"/>
                <w:sz w:val="14"/>
                <w:szCs w:val="14"/>
                <w:color w:val="auto"/>
              </w:rPr>
              <w:t>(8)</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jc w:val="right"/>
              <w:ind w:right="691"/>
              <w:spacing w:after="0"/>
              <w:rPr>
                <w:sz w:val="20"/>
                <w:szCs w:val="20"/>
                <w:color w:val="auto"/>
              </w:rPr>
            </w:pPr>
            <w:r>
              <w:rPr>
                <w:rFonts w:ascii="Times New Roman" w:cs="Times New Roman" w:eastAsia="Times New Roman" w:hAnsi="Times New Roman"/>
                <w:sz w:val="14"/>
                <w:szCs w:val="14"/>
                <w:color w:val="auto"/>
              </w:rPr>
              <w:t>(8)</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13"/>
        </w:trPr>
        <w:tc>
          <w:tcPr>
            <w:tcW w:w="4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81"/>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hedges</w:t>
            </w:r>
          </w:p>
        </w:tc>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45"/>
        </w:trPr>
        <w:tc>
          <w:tcPr>
            <w:tcW w:w="468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Gain (loss) recognized in other comprehensive</w:t>
            </w:r>
          </w:p>
        </w:tc>
        <w:tc>
          <w:tcPr>
            <w:tcW w:w="10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85"/>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(loss)</w:t>
            </w:r>
          </w:p>
        </w:tc>
        <w:tc>
          <w:tcPr>
            <w:tcW w:w="10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071"/>
              <w:spacing w:after="0"/>
              <w:rPr>
                <w:sz w:val="20"/>
                <w:szCs w:val="20"/>
                <w:color w:val="auto"/>
              </w:rPr>
            </w:pPr>
            <w:r>
              <w:rPr>
                <w:rFonts w:ascii="Times New Roman" w:cs="Times New Roman" w:eastAsia="Times New Roman" w:hAnsi="Times New Roman"/>
                <w:sz w:val="14"/>
                <w:szCs w:val="14"/>
                <w:color w:val="auto"/>
              </w:rPr>
              <w:t>(134)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rPr>
              <w:t>(178)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bl>
    <w:p>
      <w:pPr>
        <w:spacing w:after="0" w:line="198" w:lineRule="exact"/>
        <w:rPr>
          <w:sz w:val="20"/>
          <w:szCs w:val="20"/>
          <w:color w:val="auto"/>
        </w:rPr>
      </w:pPr>
    </w:p>
    <w:p>
      <w:pPr>
        <w:ind w:left="520" w:hanging="195"/>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settlement loss of $3 million for the three and six months ended June 30, 2024, respectively.</w:t>
      </w:r>
    </w:p>
    <w:p>
      <w:pPr>
        <w:spacing w:after="0" w:line="158" w:lineRule="exact"/>
        <w:rPr>
          <w:rFonts w:ascii="Times New Roman" w:cs="Times New Roman" w:eastAsia="Times New Roman" w:hAnsi="Times New Roman"/>
          <w:sz w:val="14"/>
          <w:szCs w:val="14"/>
          <w:color w:val="auto"/>
        </w:rPr>
      </w:pPr>
    </w:p>
    <w:p>
      <w:pPr>
        <w:ind w:left="520" w:hanging="195"/>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settlement loss of $4 million for the three and six months ended June 30, 2024, respectively.</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pretax gain (loss) that changes in the fair values of derivatives not designated as hedging instruments had on earnings: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8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30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2"/>
          </w:tcPr>
          <w:p>
            <w:pPr>
              <w:jc w:val="right"/>
              <w:ind w:right="674"/>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150"/>
        </w:trPr>
        <w:tc>
          <w:tcPr>
            <w:tcW w:w="28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2025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7"/>
        </w:trPr>
        <w:tc>
          <w:tcPr>
            <w:tcW w:w="282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Contract Type</w:t>
            </w:r>
          </w:p>
        </w:tc>
        <w:tc>
          <w:tcPr>
            <w:tcW w:w="2760" w:type="dxa"/>
            <w:vAlign w:val="bottom"/>
          </w:tcPr>
          <w:p>
            <w:pPr>
              <w:ind w:left="1440"/>
              <w:spacing w:after="0"/>
              <w:rPr>
                <w:sz w:val="20"/>
                <w:szCs w:val="20"/>
                <w:color w:val="auto"/>
              </w:rPr>
            </w:pPr>
            <w:r>
              <w:rPr>
                <w:rFonts w:ascii="Times New Roman" w:cs="Times New Roman" w:eastAsia="Times New Roman" w:hAnsi="Times New Roman"/>
                <w:sz w:val="13"/>
                <w:szCs w:val="13"/>
                <w:color w:val="auto"/>
              </w:rPr>
              <w:t>Location</w:t>
            </w: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760" w:type="dxa"/>
            <w:vAlign w:val="bottom"/>
            <w:shd w:val="clear" w:color="auto" w:fill="CCEEFF"/>
          </w:tcPr>
          <w:p>
            <w:pPr>
              <w:ind w:left="660"/>
              <w:spacing w:after="0" w:line="183" w:lineRule="exact"/>
              <w:rPr>
                <w:sz w:val="20"/>
                <w:szCs w:val="20"/>
                <w:color w:val="auto"/>
              </w:rPr>
            </w:pPr>
            <w:r>
              <w:rPr>
                <w:rFonts w:ascii="Times New Roman" w:cs="Times New Roman" w:eastAsia="Times New Roman" w:hAnsi="Times New Roman"/>
                <w:sz w:val="14"/>
                <w:szCs w:val="14"/>
                <w:color w:val="auto"/>
              </w:rPr>
              <w:t xml:space="preserve">Interest expense </w:t>
            </w:r>
            <w:r>
              <w:rPr>
                <w:rFonts w:ascii="Times New Roman" w:cs="Times New Roman" w:eastAsia="Times New Roman" w:hAnsi="Times New Roman"/>
                <w:sz w:val="18"/>
                <w:szCs w:val="18"/>
                <w:color w:val="auto"/>
                <w:vertAlign w:val="superscript"/>
              </w:rPr>
              <w:t>(1)</w:t>
            </w:r>
          </w:p>
        </w:tc>
        <w:tc>
          <w:tcPr>
            <w:tcW w:w="9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4"/>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Forward currency exchange contracts</w:t>
            </w:r>
          </w:p>
        </w:tc>
        <w:tc>
          <w:tcPr>
            <w:tcW w:w="27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Non-operating income</w:t>
            </w:r>
          </w:p>
        </w:tc>
        <w:tc>
          <w:tcPr>
            <w:tcW w:w="940" w:type="dxa"/>
            <w:vAlign w:val="bottom"/>
          </w:tcPr>
          <w:p>
            <w:pPr>
              <w:spacing w:after="0"/>
              <w:rPr>
                <w:sz w:val="16"/>
                <w:szCs w:val="16"/>
                <w:color w:val="auto"/>
              </w:rPr>
            </w:pPr>
          </w:p>
        </w:tc>
        <w:tc>
          <w:tcPr>
            <w:tcW w:w="1360" w:type="dxa"/>
            <w:vAlign w:val="bottom"/>
          </w:tcPr>
          <w:p>
            <w:pPr>
              <w:jc w:val="right"/>
              <w:ind w:right="894"/>
              <w:spacing w:after="0"/>
              <w:rPr>
                <w:sz w:val="20"/>
                <w:szCs w:val="20"/>
                <w:color w:val="auto"/>
              </w:rPr>
            </w:pPr>
            <w:r>
              <w:rPr>
                <w:rFonts w:ascii="Times New Roman" w:cs="Times New Roman" w:eastAsia="Times New Roman" w:hAnsi="Times New Roman"/>
                <w:sz w:val="14"/>
                <w:szCs w:val="14"/>
                <w:color w:val="auto"/>
              </w:rPr>
              <w:t>(20)</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jc w:val="right"/>
              <w:ind w:right="356"/>
              <w:spacing w:after="0"/>
              <w:rPr>
                <w:sz w:val="20"/>
                <w:szCs w:val="20"/>
                <w:color w:val="auto"/>
              </w:rPr>
            </w:pPr>
            <w:r>
              <w:rPr>
                <w:rFonts w:ascii="Times New Roman" w:cs="Times New Roman" w:eastAsia="Times New Roman" w:hAnsi="Times New Roman"/>
                <w:sz w:val="14"/>
                <w:szCs w:val="14"/>
                <w:color w:val="auto"/>
              </w:rPr>
              <w:t>(26)</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bl>
    <w:p>
      <w:pPr>
        <w:spacing w:after="0" w:line="248" w:lineRule="exact"/>
        <w:rPr>
          <w:sz w:val="20"/>
          <w:szCs w:val="20"/>
          <w:color w:val="auto"/>
        </w:rPr>
      </w:pPr>
    </w:p>
    <w:p>
      <w:pPr>
        <w:jc w:val="both"/>
        <w:ind w:left="460" w:hanging="199"/>
        <w:spacing w:after="0" w:line="282" w:lineRule="auto"/>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settlement gain of $21 million and interest income of $8 million, partially offset by marked-to-market remeasurement losses of $24 million, for the three months ended June 30, 2024. Includes settlement gain of $21 million and interest income of $16 million, partially offset by marked-to-market remeasurement losses of $24 million, for the six months ended June 30, 2024.</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foreign currency exchange, interest rate swap and cross-currency swap contracts are valued using market observable inputs. As such, these derivative instruments are classified within Level 2. The assumptions used in measuring the fair value of the cross-currency swap are considered Level 2 inputs, which are based upon market-observable interest rate curves, cross-currency basis curves, credit default swap curves, and foreign exchange rates.</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carrying value of Cash, cash equivalents, and restricted cash, Account receivables and Notes and Other receivables contained in the Consolidated Interim Balance Sheet approximates fair value.</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sets forth the Company’s financial assets and liabilities that were not carried at fair value: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7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100" w:type="dxa"/>
            <w:vAlign w:val="bottom"/>
            <w:tcBorders>
              <w:bottom w:val="single" w:sz="8" w:color="auto"/>
            </w:tcBorders>
          </w:tcPr>
          <w:p>
            <w:pPr>
              <w:spacing w:after="0"/>
              <w:rPr>
                <w:sz w:val="14"/>
                <w:szCs w:val="14"/>
                <w:color w:val="auto"/>
              </w:rPr>
            </w:pPr>
          </w:p>
        </w:tc>
      </w:tr>
      <w:tr>
        <w:trPr>
          <w:trHeight w:val="156"/>
        </w:trPr>
        <w:tc>
          <w:tcPr>
            <w:tcW w:w="4720" w:type="dxa"/>
            <w:vAlign w:val="bottom"/>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4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61"/>
        </w:trPr>
        <w:tc>
          <w:tcPr>
            <w:tcW w:w="4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20" w:type="dxa"/>
            <w:vAlign w:val="bottom"/>
            <w:gridSpan w:val="3"/>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361"/>
        </w:trPr>
        <w:tc>
          <w:tcPr>
            <w:tcW w:w="4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Term Loan Facilities</w:t>
            </w:r>
          </w:p>
        </w:tc>
        <w:tc>
          <w:tcPr>
            <w:tcW w:w="122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676</w:t>
            </w:r>
          </w:p>
        </w:tc>
        <w:tc>
          <w:tcPr>
            <w:tcW w:w="116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680</w:t>
            </w:r>
          </w:p>
        </w:tc>
        <w:tc>
          <w:tcPr>
            <w:tcW w:w="5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r>
      <w:tr>
        <w:trPr>
          <w:trHeight w:val="202"/>
        </w:trPr>
        <w:tc>
          <w:tcPr>
            <w:tcW w:w="4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2032 Senior Notes</w:t>
            </w:r>
          </w:p>
        </w:tc>
        <w:tc>
          <w:tcPr>
            <w:tcW w:w="1220" w:type="dxa"/>
            <w:vAlign w:val="bottom"/>
          </w:tcPr>
          <w:p>
            <w:pPr>
              <w:spacing w:after="0"/>
              <w:rPr>
                <w:sz w:val="17"/>
                <w:szCs w:val="17"/>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790</w:t>
            </w:r>
          </w:p>
        </w:tc>
        <w:tc>
          <w:tcPr>
            <w:tcW w:w="1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790</w:t>
            </w: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r>
    </w:tbl>
    <w:p>
      <w:pPr>
        <w:spacing w:after="0" w:line="21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Company determined the fair value of its Term Loan Facilities and related current maturities utilizing transactions in the listed markets for similar liabilities. As such, the fair value of the Term Loan Facilities and related</w:t>
      </w: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color w:val="auto"/>
        </w:rPr>
        <w:t>current maturities is considered Level 2. The fair value of the 2032 Senior Notes was determined using quoted prices from exchange traded markets and is classified as a Level 1 measurement.</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Accumulated Other Comprehensive Income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changes in AOCI by component are set forth below: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60" w:type="dxa"/>
            <w:vAlign w:val="bottom"/>
            <w:gridSpan w:val="3"/>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5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50"/>
        </w:trPr>
        <w:tc>
          <w:tcPr>
            <w:tcW w:w="5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Translation Adjustment</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5"/>
                <w:szCs w:val="15"/>
                <w:color w:val="auto"/>
              </w:rPr>
            </w:pPr>
          </w:p>
        </w:tc>
        <w:tc>
          <w:tcPr>
            <w:tcW w:w="86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38"/>
        </w:trPr>
        <w:tc>
          <w:tcPr>
            <w:tcW w:w="558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Other comprehensive (loss) income before</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reclassifications</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38"/>
        </w:trPr>
        <w:tc>
          <w:tcPr>
            <w:tcW w:w="55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Income tax benefit (expense) associated with</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5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comprehensive income (loss) before reclassifications</w:t>
            </w:r>
          </w:p>
        </w:tc>
        <w:tc>
          <w:tcPr>
            <w:tcW w:w="8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8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2"/>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8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Pension Adjustments</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38"/>
        </w:trPr>
        <w:tc>
          <w:tcPr>
            <w:tcW w:w="55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Other comprehensive income (loss) before</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5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reclassifications</w:t>
            </w:r>
          </w:p>
        </w:tc>
        <w:tc>
          <w:tcPr>
            <w:tcW w:w="8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39"/>
        </w:trPr>
        <w:tc>
          <w:tcPr>
            <w:tcW w:w="558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Income tax benefit (expense) associated with</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comprehensive income (loss) before reclassifications</w:t>
            </w:r>
          </w:p>
        </w:tc>
        <w:tc>
          <w:tcPr>
            <w:tcW w:w="8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8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Effective Cash Flow Hedges</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38"/>
        </w:trPr>
        <w:tc>
          <w:tcPr>
            <w:tcW w:w="55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Other comprehensive (loss) income before</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reclassifications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39"/>
        </w:trPr>
        <w:tc>
          <w:tcPr>
            <w:tcW w:w="558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Income tax benefit (expense) associated with</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comprehensive income (loss) before reclassifications</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1"/>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taxes associated with reclassifications from AOCI</w:t>
            </w:r>
          </w:p>
        </w:tc>
        <w:tc>
          <w:tcPr>
            <w:tcW w:w="8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2"/>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Net Investment Hedges</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38"/>
        </w:trPr>
        <w:tc>
          <w:tcPr>
            <w:tcW w:w="55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Other comprehensive (loss) income before</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reclassifications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39"/>
        </w:trPr>
        <w:tc>
          <w:tcPr>
            <w:tcW w:w="558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Income tax benefit (expense) associated with</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comprehensive income (loss) before reclassifications</w:t>
            </w:r>
          </w:p>
        </w:tc>
        <w:tc>
          <w:tcPr>
            <w:tcW w:w="8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2"/>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5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Accumulated other comprehensive (loss) income, end of</w:t>
            </w:r>
          </w:p>
        </w:tc>
        <w:tc>
          <w:tcPr>
            <w:tcW w:w="840" w:type="dxa"/>
            <w:vAlign w:val="bottom"/>
            <w:vMerge w:val="restart"/>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0"/>
                <w:szCs w:val="10"/>
                <w:color w:val="auto"/>
              </w:rPr>
            </w:pPr>
          </w:p>
        </w:tc>
        <w:tc>
          <w:tcPr>
            <w:tcW w:w="860" w:type="dxa"/>
            <w:vAlign w:val="bottom"/>
            <w:vMerge w:val="restart"/>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0"/>
                <w:szCs w:val="10"/>
                <w:color w:val="auto"/>
              </w:rPr>
            </w:pPr>
          </w:p>
        </w:tc>
        <w:tc>
          <w:tcPr>
            <w:tcW w:w="50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0"/>
                <w:szCs w:val="10"/>
                <w:color w:val="auto"/>
              </w:rPr>
            </w:pPr>
          </w:p>
        </w:tc>
        <w:tc>
          <w:tcPr>
            <w:tcW w:w="48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75"/>
        </w:trPr>
        <w:tc>
          <w:tcPr>
            <w:tcW w:w="5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period</w:t>
            </w:r>
          </w:p>
        </w:tc>
        <w:tc>
          <w:tcPr>
            <w:tcW w:w="84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20" w:name="page21"/>
    <w:bookmarkEnd w:id="20"/>
    <w:p>
      <w:pPr>
        <w:ind w:left="260"/>
        <w:spacing w:after="0"/>
        <w:rPr>
          <w:sz w:val="20"/>
          <w:szCs w:val="20"/>
          <w:color w:val="auto"/>
        </w:rPr>
      </w:pPr>
      <w:r>
        <w:rPr>
          <w:rFonts w:ascii="Times New Roman" w:cs="Times New Roman" w:eastAsia="Times New Roman" w:hAnsi="Times New Roman"/>
          <w:sz w:val="14"/>
          <w:szCs w:val="14"/>
          <w:color w:val="auto"/>
        </w:rPr>
        <w:t>Reclassifications from AOCI to income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80" w:type="dxa"/>
            <w:vAlign w:val="bottom"/>
            <w:gridSpan w:val="3"/>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880" w:type="dxa"/>
            <w:vAlign w:val="bottom"/>
          </w:tcPr>
          <w:p>
            <w:pPr>
              <w:spacing w:after="0"/>
              <w:rPr>
                <w:sz w:val="11"/>
                <w:szCs w:val="11"/>
                <w:color w:val="auto"/>
              </w:rPr>
            </w:pPr>
          </w:p>
        </w:tc>
      </w:tr>
      <w:tr>
        <w:trPr>
          <w:trHeight w:val="155"/>
        </w:trPr>
        <w:tc>
          <w:tcPr>
            <w:tcW w:w="55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80" w:type="dxa"/>
            <w:vAlign w:val="bottom"/>
            <w:tcBorders>
              <w:bottom w:val="single" w:sz="8" w:color="auto"/>
            </w:tcBorders>
          </w:tcPr>
          <w:p>
            <w:pPr>
              <w:spacing w:after="0"/>
              <w:rPr>
                <w:sz w:val="13"/>
                <w:szCs w:val="13"/>
                <w:color w:val="auto"/>
              </w:rPr>
            </w:pPr>
          </w:p>
        </w:tc>
      </w:tr>
      <w:tr>
        <w:trPr>
          <w:trHeight w:val="149"/>
        </w:trPr>
        <w:tc>
          <w:tcPr>
            <w:tcW w:w="556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5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60" w:type="dxa"/>
            <w:vAlign w:val="bottom"/>
            <w:gridSpan w:val="3"/>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Translation Adjustment</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2"/>
        </w:trPr>
        <w:tc>
          <w:tcPr>
            <w:tcW w:w="556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Reclassification adjustments recognized in income </w:t>
            </w:r>
            <w:r>
              <w:rPr>
                <w:rFonts w:ascii="Times New Roman" w:cs="Times New Roman" w:eastAsia="Times New Roman" w:hAnsi="Times New Roman"/>
                <w:sz w:val="18"/>
                <w:szCs w:val="18"/>
                <w:color w:val="auto"/>
                <w:vertAlign w:val="superscript"/>
              </w:rPr>
              <w:t>(1)</w:t>
            </w:r>
          </w:p>
        </w:tc>
        <w:tc>
          <w:tcPr>
            <w:tcW w:w="8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3"/>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8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2"/>
        </w:trPr>
        <w:tc>
          <w:tcPr>
            <w:tcW w:w="5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8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Effective Cash Flow Hedges</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38"/>
        </w:trPr>
        <w:tc>
          <w:tcPr>
            <w:tcW w:w="55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Reclassification forward currency exchange contracts to</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91"/>
        </w:trPr>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goods sold</w:t>
            </w: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71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880" w:type="dxa"/>
            <w:vAlign w:val="bottom"/>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cross-currency swaps to Interest expense</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38"/>
        </w:trPr>
        <w:tc>
          <w:tcPr>
            <w:tcW w:w="55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Reclassification cross-currency swaps to Non-operating</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91"/>
        </w:trPr>
        <w:tc>
          <w:tcPr>
            <w:tcW w:w="5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 expense</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effect on reclassification to income</w:t>
            </w:r>
          </w:p>
        </w:tc>
        <w:tc>
          <w:tcPr>
            <w:tcW w:w="8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3"/>
        </w:trPr>
        <w:tc>
          <w:tcPr>
            <w:tcW w:w="5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Amounts reclassified from AOCI, net</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13"/>
        </w:trPr>
        <w:tc>
          <w:tcPr>
            <w:tcW w:w="55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r>
      <w:tr>
        <w:trPr>
          <w:trHeight w:val="172"/>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reclassifications for the period</w:t>
            </w:r>
          </w:p>
        </w:tc>
        <w:tc>
          <w:tcPr>
            <w:tcW w:w="8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0"/>
        </w:trPr>
        <w:tc>
          <w:tcPr>
            <w:tcW w:w="5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i w:val="1"/>
          <w:iCs w:val="1"/>
          <w:color w:val="auto"/>
        </w:rPr>
        <w:t>(1) Cumulative translation losses reclassified to Net income related to the sale of an equity interest in an unconsolidated joint venture. See Note 22 for discussion.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Earnings Per Share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Basic earnings per share ("EPS") is computed using the weighted-average number of common shares outstanding during the period.</w:t>
      </w:r>
    </w:p>
    <w:p>
      <w:pPr>
        <w:spacing w:after="0" w:line="15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Diluted earnings per share is calculated based on the weighted-average number of common shares outstanding for the period plus the dilutive effect of common stock equivalents using the treasury stock method.</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details of the EPS calculations for the three and six months ended June 30, 2025 and 2024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6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40" w:type="dxa"/>
            <w:vAlign w:val="bottom"/>
          </w:tcPr>
          <w:p>
            <w:pPr>
              <w:spacing w:after="0"/>
              <w:rPr>
                <w:sz w:val="11"/>
                <w:szCs w:val="11"/>
                <w:color w:val="auto"/>
              </w:rPr>
            </w:pPr>
          </w:p>
        </w:tc>
      </w:tr>
      <w:tr>
        <w:trPr>
          <w:trHeight w:val="149"/>
        </w:trPr>
        <w:tc>
          <w:tcPr>
            <w:tcW w:w="4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gridSpan w:val="3"/>
          </w:tcPr>
          <w:p>
            <w:pPr>
              <w:jc w:val="right"/>
              <w:ind w:right="32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40" w:type="dxa"/>
            <w:vAlign w:val="bottom"/>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40" w:type="dxa"/>
            <w:vAlign w:val="bottom"/>
          </w:tcPr>
          <w:p>
            <w:pPr>
              <w:spacing w:after="0"/>
              <w:rPr>
                <w:sz w:val="12"/>
                <w:szCs w:val="12"/>
                <w:color w:val="auto"/>
              </w:rPr>
            </w:pPr>
          </w:p>
        </w:tc>
      </w:tr>
      <w:tr>
        <w:trPr>
          <w:trHeight w:val="30"/>
        </w:trPr>
        <w:tc>
          <w:tcPr>
            <w:tcW w:w="4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52"/>
        </w:trPr>
        <w:tc>
          <w:tcPr>
            <w:tcW w:w="46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1"/>
                <w:szCs w:val="11"/>
                <w:b w:val="1"/>
                <w:bCs w:val="1"/>
                <w:color w:val="auto"/>
              </w:rPr>
              <w:t>(Dollars in millions except per share)</w:t>
            </w: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per share: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7"/>
                <w:szCs w:val="17"/>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7"/>
                <w:szCs w:val="17"/>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7"/>
                <w:szCs w:val="17"/>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20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202,672,945</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224,321,948</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203,886,530</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230,493,039</w:t>
            </w:r>
          </w:p>
        </w:tc>
      </w:tr>
      <w:tr>
        <w:trPr>
          <w:trHeight w:val="199"/>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EPS – Basic</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0.56</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4"/>
        </w:trPr>
        <w:tc>
          <w:tcPr>
            <w:tcW w:w="4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9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202,672,945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224,321,948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203,886,530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230,493,039</w:t>
            </w:r>
          </w:p>
        </w:tc>
      </w:tr>
      <w:tr>
        <w:trPr>
          <w:trHeight w:val="207"/>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Dilutive effect of unvested RSUs and other contingently issuable shares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2,582,088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1,576,866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2,547,445</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1,962,044</w:t>
            </w:r>
          </w:p>
        </w:tc>
      </w:tr>
      <w:tr>
        <w:trPr>
          <w:trHeight w:val="19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 Diluted</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205,255,033</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225,898,814</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206,433,975</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232,455,083</w:t>
            </w:r>
          </w:p>
        </w:tc>
      </w:tr>
      <w:tr>
        <w:trPr>
          <w:trHeight w:val="187"/>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EPS – Diluted</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0.72</w:t>
            </w:r>
          </w:p>
        </w:tc>
        <w:tc>
          <w:tcPr>
            <w:tcW w:w="80" w:type="dxa"/>
            <w:vAlign w:val="bottom"/>
          </w:tcPr>
          <w:p>
            <w:pPr>
              <w:spacing w:after="0"/>
              <w:rPr>
                <w:sz w:val="16"/>
                <w:szCs w:val="16"/>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0.56</w:t>
            </w: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01"/>
        </w:trPr>
        <w:tc>
          <w:tcPr>
            <w:tcW w:w="4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9"/>
        </w:trPr>
        <w:tc>
          <w:tcPr>
            <w:tcW w:w="46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4"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color w:val="auto"/>
        </w:rPr>
        <w:t>Note 19. Commitments and Contingencies</w:t>
      </w:r>
    </w:p>
    <w:p>
      <w:pPr>
        <w:spacing w:after="0" w:line="160"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We are involved in various lawsuits, claims, and proceedings incident to the operation of our businesses, including those pertaining to product liability, product safety, environmental, health and safety, intellectual property, employment, commercial and contractual matters and various other matters. We regularly assess the likelihood of adverse judgments or outcomes in these matters, as well as potential ranges of possible losses based on a careful analysis of each matter. We identify below the individual proceedings where we believe a material loss is reasonably possible or probable, and we accrue for matters when we believe that losses are probable and the amount of the potential loss is reasonably estimable. It is inherently difficult to determine whether a loss is probable or reasonably possible or to estimate the size or range of any potential loss. Accordingly, while we believe that appropriate accruals have been established for losses that are probable and can be reasonably estimated, it is possible that adverse outcomes from such proceedings could exceed the amounts accrued by an amount that could be material to our financial position, results of operations or cash flows.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Brazilian Tax Matter</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September 2020, the Brazilian tax authorities issued an infraction notice against Garrett Motion Industria Automotiva Brasil Ltda, challenging the use of certain tax credits between January 2017 and February 2020. The estimated total amount of the loss contingency arising from this matter as of June 30, 2025 was $25 million, including penalties and interest. The Company believes, based on management’s assessment and the advice of external legal counsel, that it has meritorious arguments in connection with the infraction notice and any liability for the infraction notice is currently not probable. Accordingly, no accrual is required at this time.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Warranties and Guarantees</w:t>
      </w:r>
    </w:p>
    <w:p>
      <w:pPr>
        <w:spacing w:after="0" w:line="152"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we issue product warranties and product performance guarantees. We accrue for the estimated cost of product warranties and performance guarantees based on contract terms and historical experience at the time of sale to the customer. Adjustments to initial obligations for warranties and guarantees are made as changes to the obligations become reasonably estimable. Product warranties and product performance guarantees are included in Accrued liabilities and Other liabilities. The following table summarizes information concerning our recorded obligations for product warranties and product performance guarantees.</w:t>
      </w:r>
    </w:p>
    <w:tbl>
      <w:tblPr>
        <w:tblLayout w:type="fixed"/>
        <w:tblInd w:w="0" w:type="dxa"/>
        <w:tblCellMar>
          <w:top w:w="0" w:type="dxa"/>
          <w:left w:w="0" w:type="dxa"/>
          <w:bottom w:w="0" w:type="dxa"/>
          <w:right w:w="0" w:type="dxa"/>
        </w:tblCellMar>
      </w:tblPr>
      <w:tr>
        <w:trPr>
          <w:trHeight w:val="118"/>
        </w:trPr>
        <w:tc>
          <w:tcPr>
            <w:tcW w:w="6720" w:type="dxa"/>
            <w:vAlign w:val="bottom"/>
          </w:tcPr>
          <w:p>
            <w:pPr>
              <w:spacing w:after="0"/>
              <w:rPr>
                <w:sz w:val="10"/>
                <w:szCs w:val="10"/>
                <w:color w:val="auto"/>
              </w:rPr>
            </w:pPr>
          </w:p>
        </w:tc>
        <w:tc>
          <w:tcPr>
            <w:tcW w:w="1920" w:type="dxa"/>
            <w:vAlign w:val="bottom"/>
            <w:gridSpan w:val="4"/>
          </w:tcPr>
          <w:p>
            <w:pPr>
              <w:jc w:val="right"/>
              <w:ind w:right="216"/>
              <w:spacing w:after="0" w:line="118" w:lineRule="exact"/>
              <w:rPr>
                <w:sz w:val="20"/>
                <w:szCs w:val="20"/>
                <w:color w:val="auto"/>
              </w:rPr>
            </w:pPr>
            <w:r>
              <w:rPr>
                <w:rFonts w:ascii="Times New Roman" w:cs="Times New Roman" w:eastAsia="Times New Roman" w:hAnsi="Times New Roman"/>
                <w:sz w:val="11"/>
                <w:szCs w:val="11"/>
                <w:b w:val="1"/>
                <w:bCs w:val="1"/>
                <w:color w:val="auto"/>
              </w:rPr>
              <w:t>Three Months Ended</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Six Months Ended</w:t>
            </w:r>
          </w:p>
        </w:tc>
        <w:tc>
          <w:tcPr>
            <w:tcW w:w="660" w:type="dxa"/>
            <w:vAlign w:val="bottom"/>
          </w:tcPr>
          <w:p>
            <w:pPr>
              <w:spacing w:after="0"/>
              <w:rPr>
                <w:sz w:val="10"/>
                <w:szCs w:val="10"/>
                <w:color w:val="auto"/>
              </w:rPr>
            </w:pPr>
          </w:p>
        </w:tc>
      </w:tr>
      <w:tr>
        <w:trPr>
          <w:trHeight w:val="153"/>
        </w:trPr>
        <w:tc>
          <w:tcPr>
            <w:tcW w:w="67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60" w:type="dxa"/>
            <w:vAlign w:val="bottom"/>
            <w:tcBorders>
              <w:bottom w:val="single" w:sz="8" w:color="auto"/>
            </w:tcBorders>
          </w:tcPr>
          <w:p>
            <w:pPr>
              <w:spacing w:after="0"/>
              <w:rPr>
                <w:sz w:val="13"/>
                <w:szCs w:val="13"/>
                <w:color w:val="auto"/>
              </w:rPr>
            </w:pPr>
          </w:p>
        </w:tc>
      </w:tr>
      <w:tr>
        <w:trPr>
          <w:trHeight w:val="156"/>
        </w:trPr>
        <w:tc>
          <w:tcPr>
            <w:tcW w:w="6720" w:type="dxa"/>
            <w:vAlign w:val="bottom"/>
          </w:tcPr>
          <w:p>
            <w:pPr>
              <w:spacing w:after="0"/>
              <w:rPr>
                <w:sz w:val="13"/>
                <w:szCs w:val="13"/>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61"/>
        </w:trPr>
        <w:tc>
          <w:tcPr>
            <w:tcW w:w="6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4"/>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1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and product performance guarantees at beginning of period</w:t>
            </w:r>
          </w:p>
        </w:tc>
        <w:tc>
          <w:tcPr>
            <w:tcW w:w="76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7"/>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Accruals for warranties/guarantees issued during the period</w:t>
            </w:r>
          </w:p>
        </w:tc>
        <w:tc>
          <w:tcPr>
            <w:tcW w:w="7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warranty/guarantee claims</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7"/>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8"/>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and product performance guarantees at end of period</w:t>
            </w:r>
          </w:p>
        </w:tc>
        <w:tc>
          <w:tcPr>
            <w:tcW w:w="76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Commitments and Contingencies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are subject to other lawsuits, investigations, and disputes arising out of the conduct of our business, including matters relating to commercial transactions, government contracts, product liability, prior acquisitions and divestitures, employment and employee benefit plans, intellectual property, and environmental, health and safety matters. We recognize a liability for any contingency that is probable of occurring and reasonably estimable. We regularly assess the likelihood of adverse judgments or outcomes in these matters, as well as potential ranges of possible losses (taking into consideration any insurance recoveries), based on a careful analysis of each matter with the assistance of outside legal counsel and, if applicable, other experts.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Pension Benefits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sponsor several funded U.S. and non-U.S. defined benefit pension plans. Significant plans outside the U.S. are in Switzerland and Ireland. Other pension plans outside the U.S. are not material to the Company, either individually or in the aggregate.</w:t>
      </w: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22" w:name="page23"/>
    <w:bookmarkEnd w:id="22"/>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Our general funding policy for qualified defined benefit pension plans is to contribute amounts at least sufficient to satisfy regulatory funding standards. We are not required to make any contributions to our U.S. pension plan in 2025. We expect to make contributions of cash and/or marketable securities of approximately $5 million to our non-U.S. pension plans to satisfy regulatory funding standards in 2025, of which $2 million has been contributed as of June 30, 2025.</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Net periodic benefit costs for our significant defined benefit plans include the following components: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r>
      <w:tr>
        <w:trPr>
          <w:trHeight w:val="161"/>
        </w:trPr>
        <w:tc>
          <w:tcPr>
            <w:tcW w:w="2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Non-U.S. Plan</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Non-U.S. Plan</w:t>
            </w:r>
          </w:p>
        </w:tc>
        <w:tc>
          <w:tcPr>
            <w:tcW w:w="620" w:type="dxa"/>
            <w:vAlign w:val="bottom"/>
            <w:tcBorders>
              <w:bottom w:val="single" w:sz="8" w:color="auto"/>
            </w:tcBorders>
          </w:tcPr>
          <w:p>
            <w:pPr>
              <w:spacing w:after="0"/>
              <w:rPr>
                <w:sz w:val="14"/>
                <w:szCs w:val="14"/>
                <w:color w:val="auto"/>
              </w:rPr>
            </w:pPr>
          </w:p>
        </w:tc>
      </w:tr>
      <w:tr>
        <w:trPr>
          <w:trHeight w:val="161"/>
        </w:trPr>
        <w:tc>
          <w:tcPr>
            <w:tcW w:w="2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29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202"/>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2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FF0FC"/>
          </w:tcPr>
          <w:p>
            <w:pPr>
              <w:jc w:val="center"/>
              <w:ind w:left="91"/>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center"/>
              <w:ind w:left="371"/>
              <w:spacing w:after="0"/>
              <w:rPr>
                <w:sz w:val="20"/>
                <w:szCs w:val="20"/>
                <w:color w:val="auto"/>
              </w:rPr>
            </w:pPr>
            <w:r>
              <w:rPr>
                <w:rFonts w:ascii="Times New Roman" w:cs="Times New Roman" w:eastAsia="Times New Roman" w:hAnsi="Times New Roman"/>
                <w:sz w:val="14"/>
                <w:szCs w:val="14"/>
                <w:color w:val="auto"/>
                <w:w w:val="85"/>
              </w:rPr>
              <w:t>3</w:t>
            </w:r>
          </w:p>
        </w:tc>
      </w:tr>
      <w:tr>
        <w:trPr>
          <w:trHeight w:val="197"/>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jc w:val="center"/>
              <w:ind w:left="91"/>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center"/>
              <w:ind w:left="371"/>
              <w:spacing w:after="0"/>
              <w:rPr>
                <w:sz w:val="20"/>
                <w:szCs w:val="20"/>
                <w:color w:val="auto"/>
              </w:rPr>
            </w:pPr>
            <w:r>
              <w:rPr>
                <w:rFonts w:ascii="Times New Roman" w:cs="Times New Roman" w:eastAsia="Times New Roman" w:hAnsi="Times New Roman"/>
                <w:sz w:val="14"/>
                <w:szCs w:val="14"/>
                <w:color w:val="auto"/>
                <w:w w:val="85"/>
              </w:rPr>
              <w:t>3</w:t>
            </w:r>
          </w:p>
        </w:tc>
      </w:tr>
      <w:tr>
        <w:trPr>
          <w:trHeight w:val="20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jc w:val="center"/>
              <w:ind w:left="51"/>
              <w:spacing w:after="0"/>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jc w:val="center"/>
              <w:ind w:left="351"/>
              <w:spacing w:after="0"/>
              <w:rPr>
                <w:sz w:val="20"/>
                <w:szCs w:val="20"/>
                <w:color w:val="auto"/>
              </w:rPr>
            </w:pPr>
            <w:r>
              <w:rPr>
                <w:rFonts w:ascii="Times New Roman" w:cs="Times New Roman" w:eastAsia="Times New Roman" w:hAnsi="Times New Roman"/>
                <w:sz w:val="14"/>
                <w:szCs w:val="14"/>
                <w:color w:val="auto"/>
                <w:w w:val="97"/>
              </w:rPr>
              <w:t>(4)</w:t>
            </w:r>
          </w:p>
        </w:tc>
      </w:tr>
      <w:tr>
        <w:trPr>
          <w:trHeight w:val="197"/>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center"/>
              <w:ind w:left="51"/>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left="351"/>
              <w:spacing w:after="0"/>
              <w:rPr>
                <w:sz w:val="20"/>
                <w:szCs w:val="20"/>
                <w:color w:val="auto"/>
              </w:rPr>
            </w:pPr>
            <w:r>
              <w:rPr>
                <w:rFonts w:ascii="Times New Roman" w:cs="Times New Roman" w:eastAsia="Times New Roman" w:hAnsi="Times New Roman"/>
                <w:sz w:val="14"/>
                <w:szCs w:val="14"/>
                <w:color w:val="auto"/>
                <w:w w:val="97"/>
              </w:rPr>
              <w:t>(1)</w:t>
            </w:r>
          </w:p>
        </w:tc>
      </w:tr>
      <w:tr>
        <w:trPr>
          <w:trHeight w:val="21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9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FF0FC"/>
          </w:tcPr>
          <w:p>
            <w:pPr>
              <w:jc w:val="center"/>
              <w:ind w:left="91"/>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center"/>
              <w:ind w:left="371"/>
              <w:spacing w:after="0"/>
              <w:rPr>
                <w:sz w:val="20"/>
                <w:szCs w:val="20"/>
                <w:color w:val="auto"/>
              </w:rPr>
            </w:pPr>
            <w:r>
              <w:rPr>
                <w:rFonts w:ascii="Times New Roman" w:cs="Times New Roman" w:eastAsia="Times New Roman" w:hAnsi="Times New Roman"/>
                <w:sz w:val="14"/>
                <w:szCs w:val="14"/>
                <w:color w:val="auto"/>
                <w:w w:val="85"/>
              </w:rPr>
              <w:t>1</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both our U.S. and non-U.S. defined benefit pension plans, we estimate the service and interest cost components of net periodic benefit (income) cost by utilizing a full yield curve approach in the estimation of these cost components by applying the specific spot rates along the yield curve used in the determination of the pension benefit obligation to their underlying projected cash flows. This approach provides a more precise measurement of service and interest costs by improving the correlation between projected cash flows and their corresponding spot rates.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 Segments and Concentrations</w:t>
      </w:r>
    </w:p>
    <w:p>
      <w:pPr>
        <w:spacing w:after="0" w:line="203"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has identified our CODM as the Chief Executive Officer. The CODM reviews consolidated net income when assessing the Company's performance, allocating resources, and establishing management's compensation. In addition to consolidated net income, the CODM receives discrete information for net sales by product and by geographical location. Consolidated net income is used to monitor budget versus actual results.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accounting policies of our operating segment are the same as those described in the Company's summary of significant accounting policies.</w:t>
      </w:r>
    </w:p>
    <w:p>
      <w:pPr>
        <w:spacing w:after="0" w:line="14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Company derives revenues from customers through sales of air and fluid compression and high-speed electric motor technologies for OEMs and distributors within the mobility and industrial space. In addition to consolidated net income, the CODM regularly reviews sales by region and product line.</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Sales concentration </w:t>
      </w:r>
      <w:r>
        <w:rPr>
          <w:rFonts w:ascii="Times New Roman" w:cs="Times New Roman" w:eastAsia="Times New Roman" w:hAnsi="Times New Roman"/>
          <w:sz w:val="14"/>
          <w:szCs w:val="14"/>
          <w:color w:val="auto"/>
        </w:rPr>
        <w:t>- Net sales by region (determined based on country of shipment) and product line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1020" w:type="dxa"/>
            <w:vAlign w:val="bottom"/>
            <w:tcBorders>
              <w:bottom w:val="single" w:sz="8" w:color="auto"/>
            </w:tcBorders>
          </w:tcPr>
          <w:p>
            <w:pPr>
              <w:spacing w:after="0"/>
              <w:rPr>
                <w:sz w:val="13"/>
                <w:szCs w:val="13"/>
                <w:color w:val="auto"/>
              </w:rPr>
            </w:pPr>
          </w:p>
        </w:tc>
      </w:tr>
      <w:tr>
        <w:trPr>
          <w:trHeight w:val="154"/>
        </w:trPr>
        <w:tc>
          <w:tcPr>
            <w:tcW w:w="422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4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00" w:type="dxa"/>
            <w:vAlign w:val="bottom"/>
            <w:gridSpan w:val="3"/>
          </w:tcPr>
          <w:p>
            <w:pPr>
              <w:jc w:val="right"/>
              <w:ind w:right="534"/>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r>
      <w:tr>
        <w:trPr>
          <w:trHeight w:val="18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1"/>
        </w:trPr>
        <w:tc>
          <w:tcPr>
            <w:tcW w:w="4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United Kingdom</w:t>
            </w:r>
          </w:p>
        </w:tc>
        <w:tc>
          <w:tcPr>
            <w:tcW w:w="9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181"/>
        </w:trPr>
        <w:tc>
          <w:tcPr>
            <w:tcW w:w="4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 of Europe</w:t>
            </w:r>
          </w:p>
        </w:tc>
        <w:tc>
          <w:tcPr>
            <w:tcW w:w="9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r>
      <w:tr>
        <w:trPr>
          <w:trHeight w:val="18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9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1"/>
        </w:trPr>
        <w:tc>
          <w:tcPr>
            <w:tcW w:w="4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China</w:t>
            </w:r>
          </w:p>
        </w:tc>
        <w:tc>
          <w:tcPr>
            <w:tcW w:w="9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r>
      <w:tr>
        <w:trPr>
          <w:trHeight w:val="181"/>
        </w:trPr>
        <w:tc>
          <w:tcPr>
            <w:tcW w:w="4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Rest of Asia</w:t>
            </w:r>
          </w:p>
        </w:tc>
        <w:tc>
          <w:tcPr>
            <w:tcW w:w="9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181"/>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International</w:t>
            </w:r>
          </w:p>
        </w:tc>
        <w:tc>
          <w:tcPr>
            <w:tcW w:w="9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97"/>
        </w:trPr>
        <w:tc>
          <w:tcPr>
            <w:tcW w:w="4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84"/>
        </w:trPr>
        <w:tc>
          <w:tcPr>
            <w:tcW w:w="4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9"/>
        </w:trPr>
        <w:tc>
          <w:tcPr>
            <w:tcW w:w="4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59"/>
        </w:trPr>
        <w:tc>
          <w:tcPr>
            <w:tcW w:w="42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1020" w:type="dxa"/>
            <w:vAlign w:val="bottom"/>
            <w:tcBorders>
              <w:bottom w:val="single" w:sz="8" w:color="auto"/>
            </w:tcBorders>
          </w:tcPr>
          <w:p>
            <w:pPr>
              <w:spacing w:after="0"/>
              <w:rPr>
                <w:sz w:val="13"/>
                <w:szCs w:val="13"/>
                <w:color w:val="auto"/>
              </w:rPr>
            </w:pPr>
          </w:p>
        </w:tc>
      </w:tr>
      <w:tr>
        <w:trPr>
          <w:trHeight w:val="154"/>
        </w:trPr>
        <w:tc>
          <w:tcPr>
            <w:tcW w:w="422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4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00" w:type="dxa"/>
            <w:vAlign w:val="bottom"/>
            <w:gridSpan w:val="3"/>
          </w:tcPr>
          <w:p>
            <w:pPr>
              <w:jc w:val="right"/>
              <w:ind w:right="534"/>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Diesel</w:t>
            </w: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r>
      <w:tr>
        <w:trPr>
          <w:trHeight w:val="18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Gas</w:t>
            </w:r>
          </w:p>
        </w:tc>
        <w:tc>
          <w:tcPr>
            <w:tcW w:w="9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r>
      <w:tr>
        <w:trPr>
          <w:trHeight w:val="18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Vehicle</w:t>
            </w:r>
          </w:p>
        </w:tc>
        <w:tc>
          <w:tcPr>
            <w:tcW w:w="9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r>
      <w:tr>
        <w:trPr>
          <w:trHeight w:val="18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Aftermarket</w:t>
            </w:r>
          </w:p>
        </w:tc>
        <w:tc>
          <w:tcPr>
            <w:tcW w:w="9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18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2"/>
        </w:trPr>
        <w:tc>
          <w:tcPr>
            <w:tcW w:w="4220" w:type="dxa"/>
            <w:vAlign w:val="bottom"/>
          </w:tcPr>
          <w:p>
            <w:pPr>
              <w:spacing w:after="0"/>
              <w:rPr>
                <w:sz w:val="14"/>
                <w:szCs w:val="14"/>
                <w:color w:val="auto"/>
              </w:rPr>
            </w:pPr>
          </w:p>
        </w:tc>
        <w:tc>
          <w:tcPr>
            <w:tcW w:w="9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80" w:type="dxa"/>
            <w:vAlign w:val="bottom"/>
          </w:tcPr>
          <w:p>
            <w:pPr>
              <w:spacing w:after="0"/>
              <w:rPr>
                <w:sz w:val="14"/>
                <w:szCs w:val="14"/>
                <w:color w:val="auto"/>
              </w:rPr>
            </w:pPr>
          </w:p>
        </w:tc>
        <w:tc>
          <w:tcPr>
            <w:tcW w:w="112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1,791</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1,805</w:t>
            </w:r>
          </w:p>
        </w:tc>
      </w:tr>
      <w:tr>
        <w:trPr>
          <w:trHeight w:val="20"/>
        </w:trPr>
        <w:tc>
          <w:tcPr>
            <w:tcW w:w="4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table below provides segment information about the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1020" w:type="dxa"/>
            <w:vAlign w:val="bottom"/>
            <w:tcBorders>
              <w:bottom w:val="single" w:sz="8" w:color="auto"/>
            </w:tcBorders>
          </w:tcPr>
          <w:p>
            <w:pPr>
              <w:spacing w:after="0"/>
              <w:rPr>
                <w:sz w:val="13"/>
                <w:szCs w:val="13"/>
                <w:color w:val="auto"/>
              </w:rPr>
            </w:pPr>
          </w:p>
        </w:tc>
      </w:tr>
      <w:tr>
        <w:trPr>
          <w:trHeight w:val="154"/>
        </w:trPr>
        <w:tc>
          <w:tcPr>
            <w:tcW w:w="422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4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00" w:type="dxa"/>
            <w:vAlign w:val="bottom"/>
            <w:gridSpan w:val="3"/>
          </w:tcPr>
          <w:p>
            <w:pPr>
              <w:jc w:val="right"/>
              <w:ind w:right="534"/>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w:t>
            </w:r>
          </w:p>
        </w:tc>
      </w:tr>
      <w:tr>
        <w:trPr>
          <w:trHeight w:val="18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1"/>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Material costs</w:t>
            </w:r>
          </w:p>
        </w:tc>
        <w:tc>
          <w:tcPr>
            <w:tcW w:w="9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w:t>
            </w:r>
          </w:p>
        </w:tc>
      </w:tr>
      <w:tr>
        <w:trPr>
          <w:trHeight w:val="181"/>
        </w:trPr>
        <w:tc>
          <w:tcPr>
            <w:tcW w:w="422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Variable manufacturing costs </w:t>
            </w:r>
            <w:r>
              <w:rPr>
                <w:rFonts w:ascii="Times New Roman" w:cs="Times New Roman" w:eastAsia="Times New Roman" w:hAnsi="Times New Roman"/>
                <w:sz w:val="18"/>
                <w:szCs w:val="18"/>
                <w:color w:val="auto"/>
                <w:vertAlign w:val="superscript"/>
              </w:rPr>
              <w:t>(1)</w:t>
            </w:r>
          </w:p>
        </w:tc>
        <w:tc>
          <w:tcPr>
            <w:tcW w:w="9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r>
      <w:tr>
        <w:trPr>
          <w:trHeight w:val="181"/>
        </w:trPr>
        <w:tc>
          <w:tcPr>
            <w:tcW w:w="42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Fixed manufacturing costs </w:t>
            </w:r>
            <w:r>
              <w:rPr>
                <w:rFonts w:ascii="Times New Roman" w:cs="Times New Roman" w:eastAsia="Times New Roman" w:hAnsi="Times New Roman"/>
                <w:sz w:val="18"/>
                <w:szCs w:val="18"/>
                <w:color w:val="auto"/>
                <w:vertAlign w:val="superscript"/>
              </w:rPr>
              <w:t>(2)</w:t>
            </w:r>
          </w:p>
        </w:tc>
        <w:tc>
          <w:tcPr>
            <w:tcW w:w="9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38"/>
        </w:trPr>
        <w:tc>
          <w:tcPr>
            <w:tcW w:w="42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Research, development and engineering</w:t>
            </w: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91"/>
        </w:trPr>
        <w:tc>
          <w:tcPr>
            <w:tcW w:w="4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costs</w:t>
            </w:r>
          </w:p>
        </w:tc>
        <w:tc>
          <w:tcPr>
            <w:tcW w:w="9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81"/>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costs</w:t>
            </w:r>
          </w:p>
        </w:tc>
        <w:tc>
          <w:tcPr>
            <w:tcW w:w="9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81"/>
        </w:trPr>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9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81"/>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 expense</w:t>
            </w:r>
          </w:p>
        </w:tc>
        <w:tc>
          <w:tcPr>
            <w:tcW w:w="9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1"/>
        </w:trPr>
        <w:tc>
          <w:tcPr>
            <w:tcW w:w="4220" w:type="dxa"/>
            <w:vAlign w:val="bottom"/>
            <w:tcBorders>
              <w:bottom w:val="single" w:sz="8" w:color="CCEEFF"/>
            </w:tcBorders>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18"/>
                <w:szCs w:val="18"/>
                <w:color w:val="auto"/>
                <w:vertAlign w:val="superscript"/>
              </w:rPr>
              <w:t>(3)</w:t>
            </w:r>
          </w:p>
        </w:tc>
        <w:tc>
          <w:tcPr>
            <w:tcW w:w="9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7"/>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net income</w:t>
            </w: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hanging="199"/>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manufacturing costs include freight, duties, direct and indirect labor costs, repairs and maintenance, repositioning costs and variable overhead costs.</w:t>
      </w:r>
    </w:p>
    <w:p>
      <w:pPr>
        <w:spacing w:after="0" w:line="147" w:lineRule="exact"/>
        <w:rPr>
          <w:rFonts w:ascii="Times New Roman" w:cs="Times New Roman" w:eastAsia="Times New Roman" w:hAnsi="Times New Roman"/>
          <w:sz w:val="14"/>
          <w:szCs w:val="14"/>
          <w:color w:val="auto"/>
        </w:rPr>
      </w:pPr>
    </w:p>
    <w:p>
      <w:pPr>
        <w:ind w:left="460" w:hanging="199"/>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manufacturing costs include depreciation and amortization, rent, overhead labor costs, utilities and other fixed costs.</w:t>
      </w:r>
    </w:p>
    <w:p>
      <w:pPr>
        <w:spacing w:after="0" w:line="147" w:lineRule="exact"/>
        <w:rPr>
          <w:rFonts w:ascii="Times New Roman" w:cs="Times New Roman" w:eastAsia="Times New Roman" w:hAnsi="Times New Roman"/>
          <w:sz w:val="14"/>
          <w:szCs w:val="14"/>
          <w:color w:val="auto"/>
        </w:rPr>
      </w:pPr>
    </w:p>
    <w:p>
      <w:pPr>
        <w:ind w:left="520" w:hanging="259"/>
        <w:spacing w:after="0" w:line="289" w:lineRule="auto"/>
        <w:tabs>
          <w:tab w:leader="none" w:pos="473"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consist of gain on sale of equity interest in unconsolidated joint venture, non-service components of net periodic pension expense, interest income, equity income and other non-operating income items (if any).</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measure of segment assets is reported on the balance sheet as total consolidated assets. The Company had capital expenditures of $15 million and $17 million for the three months ended June 30, 2025 and 2024, respectively, and $41 million and $49 million for the six months ended June 30, 2025 and 2024, respectively.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22. Acquisitions and Divestitures</w:t>
      </w:r>
    </w:p>
    <w:p>
      <w:pPr>
        <w:spacing w:after="0" w:line="192" w:lineRule="exact"/>
        <w:rPr>
          <w:sz w:val="20"/>
          <w:szCs w:val="20"/>
          <w:color w:val="auto"/>
        </w:rPr>
      </w:pPr>
    </w:p>
    <w:p>
      <w:pPr>
        <w:jc w:val="both"/>
        <w:ind w:firstLine="307"/>
        <w:spacing w:after="0" w:line="255" w:lineRule="auto"/>
        <w:rPr>
          <w:sz w:val="20"/>
          <w:szCs w:val="20"/>
          <w:color w:val="auto"/>
        </w:rPr>
      </w:pPr>
      <w:r>
        <w:rPr>
          <w:rFonts w:ascii="Times New Roman" w:cs="Times New Roman" w:eastAsia="Times New Roman" w:hAnsi="Times New Roman"/>
          <w:sz w:val="14"/>
          <w:szCs w:val="14"/>
          <w:color w:val="auto"/>
        </w:rPr>
        <w:t>On April 3, 2024, the Company divested its equity interest in an unconsolidated joint venture for approximately $58 million, subject to customary debt and working capital adjustments. We received cash consideration on the divestiture date of $46 million, with an additional $7 million to be received in equal installments due twelve months and thirty-six months from the divestiture date. A pre-tax gain of $27 million was recognized related to this divestiture, including $5 million of cumulative translation losses reclassified from AOCI to Net income. Transaction fees of $1 million were incurred in connection with the divestiture and are included in Selling, general, and administrative expenses in our Consolidated Interim Statement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23. Subsequent Events</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24" w:name="page25"/>
    <w:bookmarkEnd w:id="24"/>
    <w:p>
      <w:pPr>
        <w:ind w:firstLine="307"/>
        <w:spacing w:after="0" w:line="273" w:lineRule="auto"/>
        <w:rPr>
          <w:sz w:val="20"/>
          <w:szCs w:val="20"/>
          <w:color w:val="auto"/>
        </w:rPr>
      </w:pPr>
      <w:r>
        <w:rPr>
          <w:rFonts w:ascii="Times New Roman" w:cs="Times New Roman" w:eastAsia="Times New Roman" w:hAnsi="Times New Roman"/>
          <w:sz w:val="14"/>
          <w:szCs w:val="14"/>
          <w:color w:val="auto"/>
        </w:rPr>
        <w:t>On July 4, 2025, the United States enacted H.R. 1, comprehensive legislation that introduced changes to federal tax law, among other things. The Company is currently evaluating the implications of the new tax law and the impact on its Consolidated Interim Financial Statements.</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On July 24, 2025, the Board of Directors declared a cash dividend of $0.06 per share of Common Stock, payable on September 16, 2025, to shareholders of record as of September 2, 2025.</w:t>
      </w:r>
    </w:p>
    <w:p>
      <w:pPr>
        <w:spacing w:after="0" w:line="200" w:lineRule="exact"/>
        <w:rPr>
          <w:sz w:val="20"/>
          <w:szCs w:val="20"/>
          <w:color w:val="auto"/>
        </w:rPr>
      </w:pPr>
    </w:p>
    <w:p>
      <w:pPr>
        <w:spacing w:after="0" w:line="2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5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which we refer to as our “MD&amp;A,” should be read in conjunction with our Consolidated Interim Financial Statements and related notes appearing elsewhere in this Quarterly Report on Form 10-Q as well as the audited annual Consolidated Financial Statements for the year ended December 31, 2024, included in our 2024 Form 10-K. Some of the information contained in this MD&amp;A or set forth elsewhere in this Quarterly Report on Form 10-Q, including information with respect to our plans and strategy for our business, includes forward-looking statements that involve various risks and uncertainties. Please refer to the "Special Note Regarding Forward-Looking Statements" below.</w:t>
      </w:r>
    </w:p>
    <w:p>
      <w:pPr>
        <w:spacing w:after="0" w:line="281" w:lineRule="exact"/>
        <w:rPr>
          <w:sz w:val="20"/>
          <w:szCs w:val="20"/>
          <w:color w:val="auto"/>
        </w:rPr>
      </w:pPr>
    </w:p>
    <w:p>
      <w:pPr>
        <w:ind w:right="800" w:firstLine="307"/>
        <w:spacing w:after="0" w:line="468" w:lineRule="auto"/>
        <w:rPr>
          <w:sz w:val="20"/>
          <w:szCs w:val="20"/>
          <w:color w:val="auto"/>
        </w:rPr>
      </w:pPr>
      <w:r>
        <w:rPr>
          <w:rFonts w:ascii="Times New Roman" w:cs="Times New Roman" w:eastAsia="Times New Roman" w:hAnsi="Times New Roman"/>
          <w:sz w:val="14"/>
          <w:szCs w:val="14"/>
          <w:color w:val="auto"/>
        </w:rPr>
        <w:t xml:space="preserve">The following MD&amp;A is intended to help you understand the results of operations and financial condition of Garrett Motion Inc. for the three and six months ended June 30, 2025. </w:t>
      </w:r>
      <w:r>
        <w:rPr>
          <w:rFonts w:ascii="Times New Roman" w:cs="Times New Roman" w:eastAsia="Times New Roman" w:hAnsi="Times New Roman"/>
          <w:sz w:val="14"/>
          <w:szCs w:val="14"/>
          <w:b w:val="1"/>
          <w:bCs w:val="1"/>
          <w:color w:val="auto"/>
        </w:rPr>
        <w:t>Executive Summary</w:t>
      </w: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During the second quarter of 2025, we continued to navigate macro-economical challenges. Increased demand in light vehicle gasoline, primarily driven by new program launches in Europe, North America and India, was offset by declines in light vehicle volumes, particularly in Europe, and decreased demand for replacement parts in North America. Our sustainable cost measures implemented in the prior year, along with our effective recoveries on enacted import tariffs and a favorable foreign exchange environment, enabled us to achieve Net income of $87 million and Adjusted EBIT of $124 million for the quarter.</w:t>
      </w:r>
    </w:p>
    <w:p>
      <w:pPr>
        <w:spacing w:after="0" w:line="162"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14"/>
          <w:szCs w:val="14"/>
          <w:color w:val="auto"/>
        </w:rPr>
        <w:t>We continue to have success across our differentiated technologies by winning business across our turbo and zero emission technologies offerings. We have secured ongoing business through the extension of light vehicle programs, and won a significant E-Turbo program in Europe. We have been awarded serial production for our Fuel cell compressor by a leading Asian OEM. Additionally, we received positive testing feedback on the application of our E-Cooling Compressor, laying the foundation for future business growth.</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For the three months ended June 30, 2025, we repurchased $22 million of Common Stock under our share repurchase program. As of June 30, 2025, we had $198 million of the authorized amount remaining under our share repurchase program.</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May 1, 2025, the Board of Directors declared a cash dividend of $0.06 per share of Common Stock, payable on June 16, 2025, to shareholders of record as of June 2, 2025. The total amount of dividends paid on June 16, 2025 amounted to $13 million.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Disaggregated Revenue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show our revenues by geographic region and product line for the three and six months ended June 30, 2025 and 2024,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By Region</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9"/>
        </w:trPr>
        <w:tc>
          <w:tcPr>
            <w:tcW w:w="25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36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4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61"/>
        </w:trPr>
        <w:tc>
          <w:tcPr>
            <w:tcW w:w="25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780" w:type="dxa"/>
            <w:vAlign w:val="bottom"/>
            <w:tcBorders>
              <w:bottom w:val="single" w:sz="8" w:color="auto"/>
            </w:tcBorders>
          </w:tcPr>
          <w:p>
            <w:pPr>
              <w:spacing w:after="0"/>
              <w:rPr>
                <w:sz w:val="14"/>
                <w:szCs w:val="14"/>
                <w:color w:val="auto"/>
              </w:rPr>
            </w:pPr>
          </w:p>
        </w:tc>
      </w:tr>
      <w:tr>
        <w:trPr>
          <w:trHeight w:val="161"/>
        </w:trPr>
        <w:tc>
          <w:tcPr>
            <w:tcW w:w="2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12"/>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960" w:type="dxa"/>
            <w:vAlign w:val="bottom"/>
            <w:gridSpan w:val="2"/>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4"/>
                <w:szCs w:val="14"/>
                <w:color w:val="auto"/>
              </w:rPr>
              <w:t>19%</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860" w:type="dxa"/>
            <w:vAlign w:val="bottom"/>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rPr>
              <w:t>19%</w:t>
            </w:r>
          </w:p>
        </w:tc>
      </w:tr>
      <w:tr>
        <w:trPr>
          <w:trHeight w:val="202"/>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30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300" w:type="dxa"/>
            <w:vAlign w:val="bottom"/>
          </w:tcPr>
          <w:p>
            <w:pPr>
              <w:spacing w:after="0"/>
              <w:rPr>
                <w:sz w:val="17"/>
                <w:szCs w:val="17"/>
                <w:color w:val="auto"/>
              </w:rPr>
            </w:pPr>
          </w:p>
        </w:tc>
        <w:tc>
          <w:tcPr>
            <w:tcW w:w="780" w:type="dxa"/>
            <w:vAlign w:val="bottom"/>
          </w:tcPr>
          <w:p>
            <w:pPr>
              <w:jc w:val="center"/>
              <w:ind w:right="132"/>
              <w:spacing w:after="0"/>
              <w:rPr>
                <w:sz w:val="20"/>
                <w:szCs w:val="20"/>
                <w:color w:val="auto"/>
              </w:rPr>
            </w:pPr>
            <w:r>
              <w:rPr>
                <w:rFonts w:ascii="Times New Roman" w:cs="Times New Roman" w:eastAsia="Times New Roman" w:hAnsi="Times New Roman"/>
                <w:sz w:val="14"/>
                <w:szCs w:val="14"/>
                <w:color w:val="auto"/>
              </w:rPr>
              <w:t>49%</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30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300" w:type="dxa"/>
            <w:vAlign w:val="bottom"/>
          </w:tcPr>
          <w:p>
            <w:pPr>
              <w:spacing w:after="0"/>
              <w:rPr>
                <w:sz w:val="17"/>
                <w:szCs w:val="17"/>
                <w:color w:val="auto"/>
              </w:rPr>
            </w:pPr>
          </w:p>
        </w:tc>
        <w:tc>
          <w:tcPr>
            <w:tcW w:w="78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50%</w:t>
            </w:r>
          </w:p>
        </w:tc>
      </w:tr>
      <w:tr>
        <w:trPr>
          <w:trHeight w:val="203"/>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4"/>
                <w:szCs w:val="14"/>
                <w:color w:val="auto"/>
              </w:rPr>
              <w:t>30%</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rPr>
              <w:t>29%</w:t>
            </w:r>
          </w:p>
        </w:tc>
      </w:tr>
      <w:tr>
        <w:trPr>
          <w:trHeight w:val="202"/>
        </w:trPr>
        <w:tc>
          <w:tcPr>
            <w:tcW w:w="25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6"/>
              </w:rPr>
              <w:t>3%</w:t>
            </w:r>
          </w:p>
        </w:tc>
        <w:tc>
          <w:tcPr>
            <w:tcW w:w="36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center"/>
              <w:ind w:right="152"/>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3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3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center"/>
              <w:ind w:right="149"/>
              <w:spacing w:after="0"/>
              <w:rPr>
                <w:sz w:val="20"/>
                <w:szCs w:val="20"/>
                <w:color w:val="auto"/>
              </w:rPr>
            </w:pPr>
            <w:r>
              <w:rPr>
                <w:rFonts w:ascii="Times New Roman" w:cs="Times New Roman" w:eastAsia="Times New Roman" w:hAnsi="Times New Roman"/>
                <w:sz w:val="14"/>
                <w:szCs w:val="14"/>
                <w:color w:val="auto"/>
              </w:rPr>
              <w:t>2%</w:t>
            </w:r>
          </w:p>
        </w:tc>
      </w:tr>
      <w:tr>
        <w:trPr>
          <w:trHeight w:val="197"/>
        </w:trPr>
        <w:tc>
          <w:tcPr>
            <w:tcW w:w="2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3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3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w:t>
            </w:r>
          </w:p>
        </w:tc>
        <w:tc>
          <w:tcPr>
            <w:tcW w:w="3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3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r>
        <w:trPr>
          <w:trHeight w:val="686"/>
        </w:trPr>
        <w:tc>
          <w:tcPr>
            <w:tcW w:w="2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8"/>
        </w:trPr>
        <w:tc>
          <w:tcPr>
            <w:tcW w:w="258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58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52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60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500" w:type="dxa"/>
            <w:vAlign w:val="bottom"/>
            <w:tcBorders>
              <w:bottom w:val="single" w:sz="8" w:color="9A9A9A"/>
            </w:tcBorders>
          </w:tcPr>
          <w:p>
            <w:pPr>
              <w:spacing w:after="0"/>
              <w:rPr>
                <w:sz w:val="23"/>
                <w:szCs w:val="23"/>
                <w:color w:val="auto"/>
              </w:rPr>
            </w:pPr>
          </w:p>
        </w:tc>
        <w:tc>
          <w:tcPr>
            <w:tcW w:w="50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52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520" w:type="dxa"/>
            <w:vAlign w:val="bottom"/>
            <w:tcBorders>
              <w:bottom w:val="single" w:sz="8" w:color="9A9A9A"/>
            </w:tcBorders>
          </w:tcPr>
          <w:p>
            <w:pPr>
              <w:spacing w:after="0"/>
              <w:rPr>
                <w:sz w:val="23"/>
                <w:szCs w:val="23"/>
                <w:color w:val="auto"/>
              </w:rPr>
            </w:pPr>
          </w:p>
        </w:tc>
        <w:tc>
          <w:tcPr>
            <w:tcW w:w="50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i w:val="1"/>
          <w:iCs w:val="1"/>
          <w:color w:val="auto"/>
        </w:rPr>
        <w:t>By Product Line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60" w:type="dxa"/>
            <w:vAlign w:val="bottom"/>
            <w:gridSpan w:val="3"/>
          </w:tcPr>
          <w:p>
            <w:pPr>
              <w:ind w:left="68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gridSpan w:val="4"/>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gridSpan w:val="2"/>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30"/>
        </w:trPr>
        <w:tc>
          <w:tcPr>
            <w:tcW w:w="26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52"/>
        </w:trPr>
        <w:tc>
          <w:tcPr>
            <w:tcW w:w="26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7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900" w:type="dxa"/>
            <w:vAlign w:val="bottom"/>
            <w:tcBorders>
              <w:bottom w:val="single" w:sz="8" w:color="auto"/>
            </w:tcBorders>
          </w:tcPr>
          <w:p>
            <w:pPr>
              <w:spacing w:after="0"/>
              <w:rPr>
                <w:sz w:val="13"/>
                <w:szCs w:val="13"/>
                <w:color w:val="auto"/>
              </w:rPr>
            </w:pPr>
          </w:p>
        </w:tc>
      </w:tr>
      <w:tr>
        <w:trPr>
          <w:trHeight w:val="161"/>
        </w:trPr>
        <w:tc>
          <w:tcPr>
            <w:tcW w:w="2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12"/>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Diesel</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780" w:type="dxa"/>
            <w:vAlign w:val="bottom"/>
            <w:gridSpan w:val="4"/>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231"/>
              <w:spacing w:after="0"/>
              <w:rPr>
                <w:sz w:val="20"/>
                <w:szCs w:val="20"/>
                <w:color w:val="auto"/>
              </w:rPr>
            </w:pPr>
            <w:r>
              <w:rPr>
                <w:rFonts w:ascii="Times New Roman" w:cs="Times New Roman" w:eastAsia="Times New Roman" w:hAnsi="Times New Roman"/>
                <w:sz w:val="14"/>
                <w:szCs w:val="14"/>
                <w:color w:val="auto"/>
              </w:rPr>
              <w:t>25%</w:t>
            </w:r>
          </w:p>
        </w:tc>
        <w:tc>
          <w:tcPr>
            <w:tcW w:w="580" w:type="dxa"/>
            <w:vAlign w:val="bottom"/>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425</w:t>
            </w:r>
          </w:p>
        </w:tc>
        <w:tc>
          <w:tcPr>
            <w:tcW w:w="960" w:type="dxa"/>
            <w:vAlign w:val="bottom"/>
            <w:gridSpan w:val="2"/>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24%</w:t>
            </w:r>
          </w:p>
        </w:tc>
        <w:tc>
          <w:tcPr>
            <w:tcW w:w="74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rPr>
              <w:t>26%</w:t>
            </w:r>
          </w:p>
        </w:tc>
      </w:tr>
      <w:tr>
        <w:trPr>
          <w:trHeight w:val="202"/>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Gas</w:t>
            </w:r>
          </w:p>
        </w:tc>
        <w:tc>
          <w:tcPr>
            <w:tcW w:w="4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3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380" w:type="dxa"/>
            <w:vAlign w:val="bottom"/>
          </w:tcPr>
          <w:p>
            <w:pPr>
              <w:spacing w:after="0"/>
              <w:rPr>
                <w:sz w:val="17"/>
                <w:szCs w:val="17"/>
                <w:color w:val="auto"/>
              </w:rPr>
            </w:pP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14"/>
                <w:szCs w:val="14"/>
                <w:color w:val="auto"/>
              </w:rPr>
              <w:t>42%</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801</w:t>
            </w:r>
          </w:p>
        </w:tc>
        <w:tc>
          <w:tcPr>
            <w:tcW w:w="960" w:type="dxa"/>
            <w:vAlign w:val="bottom"/>
            <w:gridSpan w:val="2"/>
          </w:tcPr>
          <w:p>
            <w:pPr>
              <w:jc w:val="center"/>
              <w:ind w:left="231"/>
              <w:spacing w:after="0"/>
              <w:rPr>
                <w:sz w:val="20"/>
                <w:szCs w:val="20"/>
                <w:color w:val="auto"/>
              </w:rPr>
            </w:pPr>
            <w:r>
              <w:rPr>
                <w:rFonts w:ascii="Times New Roman" w:cs="Times New Roman" w:eastAsia="Times New Roman" w:hAnsi="Times New Roman"/>
                <w:sz w:val="14"/>
                <w:szCs w:val="14"/>
                <w:color w:val="auto"/>
              </w:rPr>
              <w:t>45%</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80" w:type="dxa"/>
            <w:vAlign w:val="bottom"/>
          </w:tcPr>
          <w:p>
            <w:pPr>
              <w:spacing w:after="0"/>
              <w:rPr>
                <w:sz w:val="17"/>
                <w:szCs w:val="17"/>
                <w:color w:val="auto"/>
              </w:rPr>
            </w:pP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42%</w:t>
            </w:r>
          </w:p>
        </w:tc>
      </w:tr>
      <w:tr>
        <w:trPr>
          <w:trHeight w:val="20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Vehicle</w:t>
            </w: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right="231"/>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325</w:t>
            </w:r>
          </w:p>
        </w:tc>
        <w:tc>
          <w:tcPr>
            <w:tcW w:w="960" w:type="dxa"/>
            <w:vAlign w:val="bottom"/>
            <w:gridSpan w:val="2"/>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18%</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rPr>
              <w:t>18%</w:t>
            </w:r>
          </w:p>
        </w:tc>
      </w:tr>
      <w:tr>
        <w:trPr>
          <w:trHeight w:val="202"/>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Aftermarket</w:t>
            </w:r>
          </w:p>
        </w:tc>
        <w:tc>
          <w:tcPr>
            <w:tcW w:w="4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3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380" w:type="dxa"/>
            <w:vAlign w:val="bottom"/>
          </w:tcPr>
          <w:p>
            <w:pPr>
              <w:spacing w:after="0"/>
              <w:rPr>
                <w:sz w:val="17"/>
                <w:szCs w:val="17"/>
                <w:color w:val="auto"/>
              </w:rPr>
            </w:pP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209</w:t>
            </w:r>
          </w:p>
        </w:tc>
        <w:tc>
          <w:tcPr>
            <w:tcW w:w="960" w:type="dxa"/>
            <w:vAlign w:val="bottom"/>
            <w:gridSpan w:val="2"/>
          </w:tcPr>
          <w:p>
            <w:pPr>
              <w:jc w:val="center"/>
              <w:ind w:left="231"/>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80" w:type="dxa"/>
            <w:vAlign w:val="bottom"/>
          </w:tcPr>
          <w:p>
            <w:pPr>
              <w:spacing w:after="0"/>
              <w:rPr>
                <w:sz w:val="17"/>
                <w:szCs w:val="17"/>
                <w:color w:val="auto"/>
              </w:rPr>
            </w:pPr>
          </w:p>
        </w:tc>
        <w:tc>
          <w:tcPr>
            <w:tcW w:w="90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13%</w:t>
            </w:r>
          </w:p>
        </w:tc>
      </w:tr>
      <w:tr>
        <w:trPr>
          <w:trHeight w:val="20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right="231"/>
              <w:spacing w:after="0"/>
              <w:rPr>
                <w:sz w:val="20"/>
                <w:szCs w:val="20"/>
                <w:color w:val="auto"/>
              </w:rPr>
            </w:pPr>
            <w:r>
              <w:rPr>
                <w:rFonts w:ascii="Times New Roman" w:cs="Times New Roman" w:eastAsia="Times New Roman" w:hAnsi="Times New Roman"/>
                <w:sz w:val="14"/>
                <w:szCs w:val="14"/>
                <w:color w:val="auto"/>
                <w:w w:val="96"/>
              </w:rPr>
              <w:t>1%</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w:t>
            </w:r>
          </w:p>
        </w:tc>
        <w:tc>
          <w:tcPr>
            <w:tcW w:w="960" w:type="dxa"/>
            <w:vAlign w:val="bottom"/>
            <w:gridSpan w:val="2"/>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w w:val="96"/>
              </w:rPr>
              <w:t>2%</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1,791</w:t>
            </w:r>
          </w:p>
        </w:tc>
        <w:tc>
          <w:tcPr>
            <w:tcW w:w="40" w:type="dxa"/>
            <w:vAlign w:val="bottom"/>
            <w:tcBorders>
              <w:top w:val="single" w:sz="8" w:color="auto"/>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26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557"/>
        </w:trPr>
        <w:tc>
          <w:tcPr>
            <w:tcW w:w="44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Three and Six Months Ended June 30, 2025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9"/>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2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gridSpan w:val="3"/>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4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900" w:type="dxa"/>
            <w:vAlign w:val="bottom"/>
          </w:tcPr>
          <w:p>
            <w:pPr>
              <w:spacing w:after="0"/>
              <w:rPr>
                <w:sz w:val="15"/>
                <w:szCs w:val="15"/>
                <w:color w:val="auto"/>
              </w:rPr>
            </w:pPr>
          </w:p>
        </w:tc>
      </w:tr>
      <w:tr>
        <w:trPr>
          <w:trHeight w:val="159"/>
        </w:trPr>
        <w:tc>
          <w:tcPr>
            <w:tcW w:w="2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900" w:type="dxa"/>
            <w:vAlign w:val="bottom"/>
            <w:tcBorders>
              <w:bottom w:val="single" w:sz="8" w:color="auto"/>
            </w:tcBorders>
          </w:tcPr>
          <w:p>
            <w:pPr>
              <w:spacing w:after="0"/>
              <w:rPr>
                <w:sz w:val="13"/>
                <w:szCs w:val="13"/>
                <w:color w:val="auto"/>
              </w:rPr>
            </w:pPr>
          </w:p>
        </w:tc>
      </w:tr>
      <w:tr>
        <w:trPr>
          <w:trHeight w:val="161"/>
        </w:trPr>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61"/>
        </w:trPr>
        <w:tc>
          <w:tcPr>
            <w:tcW w:w="2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00" w:type="dxa"/>
            <w:vAlign w:val="bottom"/>
            <w:gridSpan w:val="4"/>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12"/>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913</w:t>
            </w:r>
          </w:p>
        </w:tc>
        <w:tc>
          <w:tcPr>
            <w:tcW w:w="720" w:type="dxa"/>
            <w:vAlign w:val="bottom"/>
            <w:shd w:val="clear" w:color="auto" w:fill="CFF0FC"/>
          </w:tcPr>
          <w:p>
            <w:pPr>
              <w:jc w:val="right"/>
              <w:ind w:right="37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23"/>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4"/>
                <w:szCs w:val="14"/>
                <w:color w:val="auto"/>
              </w:rPr>
              <w:t>1,791</w:t>
            </w:r>
          </w:p>
        </w:tc>
        <w:tc>
          <w:tcPr>
            <w:tcW w:w="52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1,805</w:t>
            </w:r>
          </w:p>
        </w:tc>
      </w:tr>
      <w:tr>
        <w:trPr>
          <w:trHeight w:val="191"/>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change compared with prior period</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gridSpan w:val="3"/>
          </w:tcPr>
          <w:p>
            <w:pPr>
              <w:jc w:val="right"/>
              <w:ind w:right="551"/>
              <w:spacing w:after="0"/>
              <w:rPr>
                <w:sz w:val="20"/>
                <w:szCs w:val="20"/>
                <w:color w:val="auto"/>
              </w:rPr>
            </w:pPr>
            <w:r>
              <w:rPr>
                <w:rFonts w:ascii="Times New Roman" w:cs="Times New Roman" w:eastAsia="Times New Roman" w:hAnsi="Times New Roman"/>
                <w:sz w:val="14"/>
                <w:szCs w:val="14"/>
                <w:color w:val="auto"/>
              </w:rPr>
              <w:t>2.6 %</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4463415" cy="8928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463415" cy="892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three months ended June 30, 2025, net sales compared to the prior period increased by $23 million or 3% (including a favorable impact of $23 million or 3% due to foreign currency translation primarily driven by higher Euro-to-U.S. dollar exchange rates). This increase was driven by foreign currency impacts and recoveries on newly enacted import tariffs. Strong demand for gasoline and commercial vehicle applications was more than offset by weaker demand for replacement parts on aftermarket sales and diesel products.</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Gasoline product sales increased by $23 million or 6% (including a favorable impact of $9 million or 2% due to foreign currency translation), primarily driven by new application launches and program ramp-ups in Europe, North America and India.</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Diesel product sales decreased by $3 million or 1% (including a favorable impact of $8 million or 4% due to foreign currency translation), primarily driven by passenger vehicles in Europe transitioning to gasoline hybrids, partially offset by sustained demand for pickup trucks in North and South America.</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Commercial vehicle sales increased by $9 million or 6% (including a favorable impact of $3 million or 2% due to foreign currency translation), primarily driven by recovering demand in off-highway across Europe, North America and China as well as the launch of a new on-highway program in Europe.</w:t>
      </w:r>
    </w:p>
    <w:p>
      <w:pPr>
        <w:spacing w:after="0" w:line="10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Aftermarket sales decreased by $10 million or 8% (including a favorable impact of $2 million or 2% due to foreign currency translation), primarily due to softer demand for off-highway replacement parts in North America. The decrease was partially offset by stronger demand for replacement parts through the independent aftermarket channels in Europe, China, South America and India.</w:t>
      </w:r>
    </w:p>
    <w:p>
      <w:pPr>
        <w:spacing w:after="0" w:line="2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582295</wp:posOffset>
            </wp:positionV>
            <wp:extent cx="4463415" cy="8858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4463415" cy="885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For the six months ended June 30, 2025, net sales compared to the prior period decreased by $14 million or 1% (including a favorable impact of $2 million or 0% due to foreign currency translation, primarily driven by fluctuations in global exchange rates). This decrease was mainly driven by soft demand in diesel and replacement parts on aftermarket sales, partially offset by higher demand for gasoline and commercial vehicle applications, recoveries on newly enacted import tariffs, and favorable foreign exchange impacts. Net sales further decreased due to price, net of inflation pass-through driven by commodity deflation.</w:t>
      </w:r>
    </w:p>
    <w:p>
      <w:pPr>
        <w:spacing w:after="0" w:line="12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Gasoline product sales increased by $38 million or 5% (including an unfavorable impact of $1 million or 0% due to foreign currency translation) driven by new application launches and program ramp-ups in Europe, North America and India.</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Diesel product sales decreased by $36 million or 8% (including a favorable impact of $2 million or 0% due to foreign currency translation), primarily driven by passenger vehicles in Europe pursuing transition to gasoline hybrids, partially offset by sustained demand for pickup trucks in North and South America.</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Commercial vehicle sales increased by $3 million or 1% (including a favorable impact of $1 million or 0% due to foreign currency translation), primarily driven by recovering demand in off-highway across Europe, North America and China as well as the launch of a new on-highway program in Europe.</w:t>
      </w:r>
    </w:p>
    <w:p>
      <w:pPr>
        <w:spacing w:after="0" w:line="102" w:lineRule="exact"/>
        <w:rPr>
          <w:sz w:val="20"/>
          <w:szCs w:val="20"/>
          <w:color w:val="auto"/>
        </w:rPr>
      </w:pPr>
    </w:p>
    <w:p>
      <w:pPr>
        <w:ind w:right="260" w:firstLine="307"/>
        <w:spacing w:after="0" w:line="393" w:lineRule="auto"/>
        <w:rPr>
          <w:sz w:val="20"/>
          <w:szCs w:val="20"/>
          <w:color w:val="auto"/>
        </w:rPr>
      </w:pPr>
      <w:r>
        <w:rPr>
          <w:rFonts w:ascii="Times New Roman" w:cs="Times New Roman" w:eastAsia="Times New Roman" w:hAnsi="Times New Roman"/>
          <w:sz w:val="14"/>
          <w:szCs w:val="14"/>
          <w:color w:val="auto"/>
        </w:rPr>
        <w:t xml:space="preserve">Aftermarket sales decreased by $24 million or 10% (with no impact from foreign currency translation), primarily due to softer demand for off-highway replacement parts in North America. </w:t>
      </w:r>
      <w:r>
        <w:rPr>
          <w:rFonts w:ascii="Times New Roman" w:cs="Times New Roman" w:eastAsia="Times New Roman" w:hAnsi="Times New Roman"/>
          <w:sz w:val="14"/>
          <w:szCs w:val="14"/>
          <w:b w:val="1"/>
          <w:bCs w:val="1"/>
          <w:i w:val="1"/>
          <w:iCs w:val="1"/>
          <w:color w:val="auto"/>
        </w:rPr>
        <w:t>Cost of Goods Sold and Gross Profit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gridSpan w:val="3"/>
          </w:tcPr>
          <w:p>
            <w:pPr>
              <w:ind w:left="92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2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3"/>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5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4500" w:type="dxa"/>
            <w:vAlign w:val="bottom"/>
          </w:tcPr>
          <w:p>
            <w:pPr>
              <w:spacing w:after="0"/>
              <w:rPr>
                <w:sz w:val="13"/>
                <w:szCs w:val="13"/>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320" w:type="dxa"/>
            <w:vAlign w:val="bottom"/>
            <w:gridSpan w:val="5"/>
          </w:tcPr>
          <w:p>
            <w:pPr>
              <w:jc w:val="right"/>
              <w:ind w:right="113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04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4"/>
                <w:szCs w:val="14"/>
                <w:color w:val="auto"/>
              </w:rPr>
              <w:t>732</w:t>
            </w: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705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4"/>
                <w:szCs w:val="14"/>
                <w:color w:val="auto"/>
              </w:rPr>
              <w:t>1,431</w:t>
            </w:r>
          </w:p>
        </w:tc>
        <w:tc>
          <w:tcPr>
            <w:tcW w:w="560" w:type="dxa"/>
            <w:vAlign w:val="bottom"/>
            <w:gridSpan w:val="2"/>
            <w:shd w:val="clear" w:color="auto" w:fill="CFF0FC"/>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4"/>
                <w:szCs w:val="14"/>
                <w:color w:val="auto"/>
              </w:rPr>
              <w:t>1,448</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change compared with prior period</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 percentage</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19.8 %</w:t>
            </w: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20.8 %</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20.1 %</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19.8 %</w:t>
            </w:r>
          </w:p>
        </w:tc>
        <w:tc>
          <w:tcPr>
            <w:tcW w:w="0" w:type="dxa"/>
            <w:vAlign w:val="bottom"/>
          </w:tcPr>
          <w:p>
            <w:pPr>
              <w:spacing w:after="0"/>
              <w:rPr>
                <w:sz w:val="1"/>
                <w:szCs w:val="1"/>
                <w:color w:val="auto"/>
              </w:rPr>
            </w:pPr>
          </w:p>
        </w:tc>
      </w:tr>
      <w:tr>
        <w:trPr>
          <w:trHeight w:val="395"/>
        </w:trPr>
        <w:tc>
          <w:tcPr>
            <w:tcW w:w="4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Cost of Goods Sold</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Gross Profit</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3"/>
          </w:tcPr>
          <w:p>
            <w:pPr>
              <w:ind w:left="9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the three months ended June 30, 2024</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shd w:val="clear" w:color="auto" w:fill="CFF0FC"/>
          </w:tcPr>
          <w:p>
            <w:pPr>
              <w:spacing w:after="0"/>
              <w:rPr>
                <w:sz w:val="18"/>
                <w:szCs w:val="18"/>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Increase/(decrease) due to:</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Volume</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mix</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 net of inflation pass-through</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Commodity, transportation &amp; energy inflation</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Productivity, net</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Enacted import tariffs</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&amp; development</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Foreign exchange rate impacts</w:t>
            </w:r>
          </w:p>
        </w:tc>
        <w:tc>
          <w:tcPr>
            <w:tcW w:w="104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the three months ended June 30, 2025</w:t>
            </w:r>
          </w:p>
        </w:tc>
        <w:tc>
          <w:tcPr>
            <w:tcW w:w="10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CCEEFF"/>
            </w:tcBorders>
            <w:vMerge w:val="restart"/>
          </w:tcPr>
          <w:p>
            <w:pPr>
              <w:jc w:val="right"/>
              <w:ind w:right="254"/>
              <w:spacing w:after="0"/>
              <w:rPr>
                <w:sz w:val="20"/>
                <w:szCs w:val="20"/>
                <w:color w:val="auto"/>
              </w:rPr>
            </w:pPr>
            <w:r>
              <w:rPr>
                <w:rFonts w:ascii="Times New Roman" w:cs="Times New Roman" w:eastAsia="Times New Roman" w:hAnsi="Times New Roman"/>
                <w:sz w:val="14"/>
                <w:szCs w:val="14"/>
                <w:color w:val="auto"/>
              </w:rPr>
              <w:t>27</w:t>
            </w:r>
          </w:p>
        </w:tc>
        <w:tc>
          <w:tcPr>
            <w:tcW w:w="10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5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8" w:name="page29"/>
    <w:bookmarkEnd w:id="28"/>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three months ended June 30, 2025, cost of goods sold increased by $27 million, primarily driven by $16 million from foreign currency impacts, $15 million from the impact of newly enacted import tariffs, $6 million due to unfavorable product mix and $3 million of higher sales volumes. These increases were partially offset by $8 million of productivity net of labor inflation, $4 million of commodity, transportation and energy deflation, and $1 million of lower R&amp;D costs.</w:t>
      </w:r>
    </w:p>
    <w:p>
      <w:pPr>
        <w:spacing w:after="0" w:line="11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 xml:space="preserve">For the three months ended June 30, 2025, gross profit decreased by $4 million, primarily driven by $25 million of unfavorable product mix, and $2 million of pricing, net of inflation pass-through. These decreases were partially offset by $9 million from foreign currency impacts, $9 million of productivity, net of labor inflation, $4 million of commodity, transportation and energy deflation, $1 million from higher sales volumes, and $1 million of lower R&amp;D costs. We also saw a $1 million </w:t>
      </w:r>
      <w:r>
        <w:rPr>
          <w:rFonts w:ascii="Times New Roman" w:cs="Times New Roman" w:eastAsia="Times New Roman" w:hAnsi="Times New Roman"/>
          <w:sz w:val="14"/>
          <w:szCs w:val="14"/>
          <w:color w:val="231F20"/>
        </w:rPr>
        <w:t>impact to gross profit from newly enacted import tariffs due to the timing of negotiated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recoveries.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Cost of Goods Sold</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1"/>
                <w:szCs w:val="11"/>
                <w:b w:val="1"/>
                <w:bCs w:val="1"/>
                <w:color w:val="auto"/>
              </w:rPr>
              <w:t>Gross Profit</w:t>
            </w:r>
          </w:p>
        </w:tc>
      </w:tr>
      <w:tr>
        <w:trPr>
          <w:trHeight w:val="161"/>
        </w:trPr>
        <w:tc>
          <w:tcPr>
            <w:tcW w:w="8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2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the six months ended June 30, 2024</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100" w:type="dxa"/>
            <w:vAlign w:val="bottom"/>
            <w:shd w:val="clear" w:color="auto" w:fill="CFF0FC"/>
          </w:tcPr>
          <w:p>
            <w:pPr>
              <w:spacing w:after="0"/>
              <w:rPr>
                <w:sz w:val="18"/>
                <w:szCs w:val="18"/>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18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Increase/(decrease) due to:</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Volume</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1"/>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mix</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Price, net of inflation pass-through</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1"/>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Commodity, transportation &amp; energy inflation</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Productivity, net</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1"/>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Enacted import tariffs</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&amp; development</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Foreign exchange rate impacts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7"/>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the six months ended June 30, 2025</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six months ended June 30, 2025, cost of goods sold decreased by $17 million, primarily driven by $24 million of productivity net of labor inflation, $13 million of commodity, transportation and energy deflation, $12 million of lower sales volumes and $1 million of lower R&amp;D costs. These decreases were partially offset by $19 million of higher cost of goods sold due to the impact of newly enacted import tariffs, $12 million from unfavorable product mix and $2 million of foreign currency impact.</w:t>
      </w:r>
    </w:p>
    <w:p>
      <w:pPr>
        <w:spacing w:after="0" w:line="104" w:lineRule="exact"/>
        <w:rPr>
          <w:sz w:val="20"/>
          <w:szCs w:val="20"/>
          <w:color w:val="auto"/>
        </w:rPr>
      </w:pPr>
    </w:p>
    <w:p>
      <w:pPr>
        <w:jc w:val="both"/>
        <w:ind w:firstLine="307"/>
        <w:spacing w:after="0" w:line="268" w:lineRule="auto"/>
        <w:rPr>
          <w:sz w:val="20"/>
          <w:szCs w:val="20"/>
          <w:color w:val="auto"/>
        </w:rPr>
      </w:pPr>
      <w:r>
        <w:rPr>
          <w:rFonts w:ascii="Times New Roman" w:cs="Times New Roman" w:eastAsia="Times New Roman" w:hAnsi="Times New Roman"/>
          <w:sz w:val="14"/>
          <w:szCs w:val="14"/>
          <w:color w:val="auto"/>
        </w:rPr>
        <w:t xml:space="preserve">For the six months ended June 30, 2025, gross profit increased by $3 million, primarily driven by $25 million of productivity, net of labor inflation, $13 million of commodity, transportation and energy deflation, $2 million of pricing, net of inflation pass-through, $1 million of lower R&amp;D costs and $1 million of foreign currency impact. These increases were partially offset by $32 million from unfavorable product mix and $6 million of lower sales volumes. We also saw a $1 million </w:t>
      </w:r>
      <w:r>
        <w:rPr>
          <w:rFonts w:ascii="Times New Roman" w:cs="Times New Roman" w:eastAsia="Times New Roman" w:hAnsi="Times New Roman"/>
          <w:sz w:val="14"/>
          <w:szCs w:val="14"/>
          <w:color w:val="231F20"/>
        </w:rPr>
        <w:t>impact to gross profit from newly enacted import tariffs due to the timing of negotiated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recoveries.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20" w:type="dxa"/>
            <w:vAlign w:val="bottom"/>
            <w:gridSpan w:val="2"/>
          </w:tcPr>
          <w:p>
            <w:pPr>
              <w:jc w:val="right"/>
              <w:ind w:right="51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80" w:type="dxa"/>
            <w:vAlign w:val="bottom"/>
          </w:tcPr>
          <w:p>
            <w:pPr>
              <w:spacing w:after="0"/>
              <w:rPr>
                <w:sz w:val="11"/>
                <w:szCs w:val="11"/>
                <w:color w:val="auto"/>
              </w:rPr>
            </w:pPr>
          </w:p>
        </w:tc>
      </w:tr>
      <w:tr>
        <w:trPr>
          <w:trHeight w:val="149"/>
        </w:trPr>
        <w:tc>
          <w:tcPr>
            <w:tcW w:w="4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jc w:val="right"/>
              <w:ind w:right="839"/>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1080" w:type="dxa"/>
            <w:vAlign w:val="bottom"/>
          </w:tcPr>
          <w:p>
            <w:pPr>
              <w:spacing w:after="0"/>
              <w:rPr>
                <w:sz w:val="12"/>
                <w:szCs w:val="12"/>
                <w:color w:val="auto"/>
              </w:rPr>
            </w:pPr>
          </w:p>
        </w:tc>
      </w:tr>
      <w:tr>
        <w:trPr>
          <w:trHeight w:val="30"/>
        </w:trPr>
        <w:tc>
          <w:tcPr>
            <w:tcW w:w="44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52"/>
        </w:trPr>
        <w:tc>
          <w:tcPr>
            <w:tcW w:w="4480" w:type="dxa"/>
            <w:vAlign w:val="bottom"/>
          </w:tcPr>
          <w:p>
            <w:pPr>
              <w:spacing w:after="0"/>
              <w:rPr>
                <w:sz w:val="13"/>
                <w:szCs w:val="13"/>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740" w:type="dxa"/>
            <w:vAlign w:val="bottom"/>
            <w:gridSpan w:val="3"/>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12"/>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106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3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125</w:t>
            </w:r>
          </w:p>
        </w:tc>
      </w:tr>
      <w:tr>
        <w:trPr>
          <w:trHeight w:val="191"/>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of sales</w:t>
            </w:r>
          </w:p>
        </w:tc>
        <w:tc>
          <w:tcPr>
            <w:tcW w:w="1060" w:type="dxa"/>
            <w:vAlign w:val="bottom"/>
          </w:tcPr>
          <w:p>
            <w:pPr>
              <w:spacing w:after="0"/>
              <w:rPr>
                <w:sz w:val="16"/>
                <w:szCs w:val="16"/>
                <w:color w:val="auto"/>
              </w:rPr>
            </w:pPr>
          </w:p>
        </w:tc>
        <w:tc>
          <w:tcPr>
            <w:tcW w:w="1720" w:type="dxa"/>
            <w:vAlign w:val="bottom"/>
            <w:gridSpan w:val="2"/>
          </w:tcPr>
          <w:p>
            <w:pPr>
              <w:jc w:val="right"/>
              <w:ind w:right="1099"/>
              <w:spacing w:after="0"/>
              <w:rPr>
                <w:sz w:val="20"/>
                <w:szCs w:val="20"/>
                <w:color w:val="auto"/>
              </w:rPr>
            </w:pPr>
            <w:r>
              <w:rPr>
                <w:rFonts w:ascii="Times New Roman" w:cs="Times New Roman" w:eastAsia="Times New Roman" w:hAnsi="Times New Roman"/>
                <w:sz w:val="14"/>
                <w:szCs w:val="14"/>
                <w:color w:val="auto"/>
              </w:rPr>
              <w:t>6.5 %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gridSpan w:val="2"/>
          </w:tcPr>
          <w:p>
            <w:pPr>
              <w:jc w:val="right"/>
              <w:ind w:right="596"/>
              <w:spacing w:after="0"/>
              <w:rPr>
                <w:sz w:val="20"/>
                <w:szCs w:val="20"/>
                <w:color w:val="auto"/>
              </w:rPr>
            </w:pPr>
            <w:r>
              <w:rPr>
                <w:rFonts w:ascii="Times New Roman" w:cs="Times New Roman" w:eastAsia="Times New Roman" w:hAnsi="Times New Roman"/>
                <w:sz w:val="14"/>
                <w:szCs w:val="14"/>
                <w:color w:val="auto"/>
              </w:rPr>
              <w:t>6.6 %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6.9 %</w:t>
            </w:r>
          </w:p>
        </w:tc>
      </w:tr>
    </w:tbl>
    <w:p>
      <w:pPr>
        <w:spacing w:after="0" w:line="21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Selling, general and administrative (“SG&amp;A”) expenses for the three months ended June 30, 2025, decreased by $2 million compared with the prior period, primarily driven by $3 million lower personnel costs partially offset by $2 million of unfavorable foreign currency impact.</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SG&amp;A expenses for the six months ended June 30, 2025, decreased by $7 million compared with the prior period, primarily driven by $4 million lower personnel costs and $2 million of lower legal fees.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Expense, Net</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26"/>
        </w:trPr>
        <w:tc>
          <w:tcPr>
            <w:tcW w:w="4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60" w:type="dxa"/>
            <w:vAlign w:val="bottom"/>
            <w:gridSpan w:val="2"/>
          </w:tcPr>
          <w:p>
            <w:pPr>
              <w:jc w:val="center"/>
              <w:ind w:left="58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20" w:type="dxa"/>
            <w:vAlign w:val="bottom"/>
          </w:tcPr>
          <w:p>
            <w:pPr>
              <w:spacing w:after="0"/>
              <w:rPr>
                <w:sz w:val="11"/>
                <w:szCs w:val="11"/>
                <w:color w:val="auto"/>
              </w:rPr>
            </w:pPr>
          </w:p>
        </w:tc>
      </w:tr>
      <w:tr>
        <w:trPr>
          <w:trHeight w:val="153"/>
        </w:trPr>
        <w:tc>
          <w:tcPr>
            <w:tcW w:w="46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2"/>
          </w:tcPr>
          <w:p>
            <w:pPr>
              <w:jc w:val="center"/>
              <w:ind w:left="60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20" w:type="dxa"/>
            <w:vAlign w:val="bottom"/>
            <w:tcBorders>
              <w:bottom w:val="single" w:sz="8" w:color="auto"/>
            </w:tcBorders>
          </w:tcPr>
          <w:p>
            <w:pPr>
              <w:spacing w:after="0"/>
              <w:rPr>
                <w:sz w:val="13"/>
                <w:szCs w:val="13"/>
                <w:color w:val="auto"/>
              </w:rPr>
            </w:pPr>
          </w:p>
        </w:tc>
      </w:tr>
      <w:tr>
        <w:trPr>
          <w:trHeight w:val="156"/>
        </w:trPr>
        <w:tc>
          <w:tcPr>
            <w:tcW w:w="4680" w:type="dxa"/>
            <w:vAlign w:val="bottom"/>
          </w:tcPr>
          <w:p>
            <w:pPr>
              <w:spacing w:after="0"/>
              <w:rPr>
                <w:sz w:val="13"/>
                <w:szCs w:val="13"/>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4"/>
        </w:trPr>
        <w:tc>
          <w:tcPr>
            <w:tcW w:w="4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2"/>
          </w:tcPr>
          <w:p>
            <w:pPr>
              <w:jc w:val="center"/>
              <w:ind w:left="60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tcPr>
          <w:p>
            <w:pPr>
              <w:spacing w:after="0"/>
              <w:rPr>
                <w:sz w:val="13"/>
                <w:szCs w:val="13"/>
                <w:color w:val="auto"/>
              </w:rPr>
            </w:pPr>
          </w:p>
        </w:tc>
      </w:tr>
      <w:tr>
        <w:trPr>
          <w:trHeight w:val="18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w:t>
            </w:r>
          </w:p>
        </w:tc>
        <w:tc>
          <w:tcPr>
            <w:tcW w:w="62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bl>
    <w:p>
      <w:pPr>
        <w:spacing w:after="0" w:line="19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Other expense, net for the three months ended June 30, 2025 decreased by $2 million compared to the prior period, primarily due to professional fees incurred in the prior year associated with our 2032 Senior Notes.</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Other expense, net for the six months ended June 30, 2025 increased by $4 million compared to the prior period, primarily driven by $6 million in professional fees related to our Restatement Agreement partially offset by $2 million of professional fees associated with our 2032 Senior Notes in the prior year.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2"/>
          </w:tcPr>
          <w:p>
            <w:pPr>
              <w:jc w:val="center"/>
              <w:ind w:right="39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40" w:type="dxa"/>
            <w:vAlign w:val="bottom"/>
          </w:tcPr>
          <w:p>
            <w:pPr>
              <w:spacing w:after="0"/>
              <w:rPr>
                <w:sz w:val="11"/>
                <w:szCs w:val="11"/>
                <w:color w:val="auto"/>
              </w:rPr>
            </w:pPr>
          </w:p>
        </w:tc>
      </w:tr>
      <w:tr>
        <w:trPr>
          <w:trHeight w:val="149"/>
        </w:trPr>
        <w:tc>
          <w:tcPr>
            <w:tcW w:w="4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80" w:type="dxa"/>
            <w:vAlign w:val="bottom"/>
            <w:gridSpan w:val="2"/>
          </w:tcPr>
          <w:p>
            <w:pPr>
              <w:jc w:val="center"/>
              <w:ind w:right="39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40" w:type="dxa"/>
            <w:vAlign w:val="bottom"/>
          </w:tcPr>
          <w:p>
            <w:pPr>
              <w:spacing w:after="0"/>
              <w:rPr>
                <w:sz w:val="12"/>
                <w:szCs w:val="12"/>
                <w:color w:val="auto"/>
              </w:rPr>
            </w:pPr>
          </w:p>
        </w:tc>
      </w:tr>
      <w:tr>
        <w:trPr>
          <w:trHeight w:val="30"/>
        </w:trPr>
        <w:tc>
          <w:tcPr>
            <w:tcW w:w="4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52"/>
        </w:trPr>
        <w:tc>
          <w:tcPr>
            <w:tcW w:w="4680" w:type="dxa"/>
            <w:vAlign w:val="bottom"/>
          </w:tcPr>
          <w:p>
            <w:pPr>
              <w:spacing w:after="0"/>
              <w:rPr>
                <w:sz w:val="13"/>
                <w:szCs w:val="13"/>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80" w:type="dxa"/>
            <w:vAlign w:val="bottom"/>
            <w:gridSpan w:val="3"/>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2"/>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2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10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4"/>
                <w:szCs w:val="14"/>
                <w:color w:val="auto"/>
              </w:rPr>
              <w:t>54</w:t>
            </w:r>
          </w:p>
        </w:tc>
        <w:tc>
          <w:tcPr>
            <w:tcW w:w="600" w:type="dxa"/>
            <w:vAlign w:val="bottom"/>
            <w:shd w:val="clear" w:color="auto" w:fill="CFF0FC"/>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w:t>
            </w:r>
          </w:p>
        </w:tc>
      </w:tr>
    </w:tbl>
    <w:p>
      <w:pPr>
        <w:spacing w:after="0" w:line="241"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14"/>
          <w:szCs w:val="14"/>
          <w:color w:val="auto"/>
        </w:rPr>
        <w:t>For the three months ended June 30, 2025, interest expense decreased by $37 million compared to the prior period. This decrease was primarily due to a $29 million reduction in debt issuance cost amortization, driven by accelerated amortization in the prior year, and $8 million in lower interest expense resulting from a change in the notional amount of debt outstanding during the period. Additionally, we recorded net gains of $4 million on designated and undesignated interest rate derivatives, consistent with the prior year's net gains of $4 million.</w:t>
      </w:r>
    </w:p>
    <w:p>
      <w:pPr>
        <w:spacing w:after="0" w:line="158"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14"/>
          <w:szCs w:val="14"/>
          <w:color w:val="auto"/>
        </w:rPr>
        <w:t>For the six months ended June 30, 2025, interest expense decreased by $39 million compared to the prior period. This decrease was primarily due to a $30 million reduction in debt issuance cost amortization, driven by accelerated amortization in the prior year, and $18 million of lower interest expense resulting from a change in the notional amount of debt outstanding during the period. In addition, we recorded net gains of $4 million on our designated and undesignated interest derivatives in the current year, in comparison to net gains of $14 million in the prior year.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Non-Operating Income, Net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60" w:type="dxa"/>
            <w:vAlign w:val="bottom"/>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40" w:type="dxa"/>
            <w:vAlign w:val="bottom"/>
          </w:tcPr>
          <w:p>
            <w:pPr>
              <w:spacing w:after="0"/>
              <w:rPr>
                <w:sz w:val="12"/>
                <w:szCs w:val="12"/>
                <w:color w:val="auto"/>
              </w:rPr>
            </w:pPr>
          </w:p>
        </w:tc>
      </w:tr>
      <w:tr>
        <w:trPr>
          <w:trHeight w:val="159"/>
        </w:trPr>
        <w:tc>
          <w:tcPr>
            <w:tcW w:w="46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40" w:type="dxa"/>
            <w:vAlign w:val="bottom"/>
            <w:tcBorders>
              <w:bottom w:val="single" w:sz="8" w:color="auto"/>
            </w:tcBorders>
          </w:tcPr>
          <w:p>
            <w:pPr>
              <w:spacing w:after="0"/>
              <w:rPr>
                <w:sz w:val="13"/>
                <w:szCs w:val="13"/>
                <w:color w:val="auto"/>
              </w:rPr>
            </w:pPr>
          </w:p>
        </w:tc>
      </w:tr>
      <w:tr>
        <w:trPr>
          <w:trHeight w:val="161"/>
        </w:trPr>
        <w:tc>
          <w:tcPr>
            <w:tcW w:w="4680" w:type="dxa"/>
            <w:vAlign w:val="bottom"/>
          </w:tcPr>
          <w:p>
            <w:pPr>
              <w:spacing w:after="0"/>
              <w:rPr>
                <w:sz w:val="14"/>
                <w:szCs w:val="14"/>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00" w:type="dxa"/>
            <w:vAlign w:val="bottom"/>
            <w:gridSpan w:val="3"/>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2"/>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Non-operating income, net</w:t>
            </w:r>
          </w:p>
        </w:tc>
        <w:tc>
          <w:tcPr>
            <w:tcW w:w="104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8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0" w:type="dxa"/>
            <w:vAlign w:val="bottom"/>
            <w:shd w:val="clear" w:color="auto" w:fill="CFF0FC"/>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r>
    </w:tbl>
    <w:p>
      <w:pPr>
        <w:spacing w:after="0" w:line="198"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For the three months ended June 30, 2025, we had non-operating income of $6 million versus $1 million in the prior period. The increase in non-operating income was primarily driven by foreign exchange transactional gains.</w:t>
      </w:r>
    </w:p>
    <w:p>
      <w:pPr>
        <w:spacing w:after="0" w:line="102"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14"/>
          <w:szCs w:val="14"/>
          <w:color w:val="auto"/>
        </w:rPr>
        <w:t>For the six months ended June 30, 2025, we had non-operating income of $7 million versus $6 million in the prior period. The increase in non-operating income was primarily driven by $2 million in foreign exchange transactional gains and $1 million of lower other non-operating expense, partially offset by lower equity income of $2 million due to the prior year sale of an equity interest in an unconsolidated joint venture.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Expense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40" w:type="dxa"/>
            <w:vAlign w:val="bottom"/>
            <w:gridSpan w:val="2"/>
          </w:tcPr>
          <w:p>
            <w:pPr>
              <w:jc w:val="right"/>
              <w:ind w:right="53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00" w:type="dxa"/>
            <w:vAlign w:val="bottom"/>
            <w:gridSpan w:val="2"/>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80" w:type="dxa"/>
            <w:vAlign w:val="bottom"/>
          </w:tcPr>
          <w:p>
            <w:pPr>
              <w:spacing w:after="0"/>
              <w:rPr>
                <w:sz w:val="12"/>
                <w:szCs w:val="12"/>
                <w:color w:val="auto"/>
              </w:rPr>
            </w:pPr>
          </w:p>
        </w:tc>
      </w:tr>
      <w:tr>
        <w:trPr>
          <w:trHeight w:val="159"/>
        </w:trPr>
        <w:tc>
          <w:tcPr>
            <w:tcW w:w="44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1080" w:type="dxa"/>
            <w:vAlign w:val="bottom"/>
            <w:tcBorders>
              <w:bottom w:val="single" w:sz="8" w:color="auto"/>
            </w:tcBorders>
          </w:tcPr>
          <w:p>
            <w:pPr>
              <w:spacing w:after="0"/>
              <w:rPr>
                <w:sz w:val="13"/>
                <w:szCs w:val="13"/>
                <w:color w:val="auto"/>
              </w:rPr>
            </w:pPr>
          </w:p>
        </w:tc>
      </w:tr>
      <w:tr>
        <w:trPr>
          <w:trHeight w:val="161"/>
        </w:trPr>
        <w:tc>
          <w:tcPr>
            <w:tcW w:w="4460" w:type="dxa"/>
            <w:vAlign w:val="bottom"/>
          </w:tcPr>
          <w:p>
            <w:pPr>
              <w:spacing w:after="0"/>
              <w:rPr>
                <w:sz w:val="14"/>
                <w:szCs w:val="14"/>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4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12"/>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06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32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38</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060" w:type="dxa"/>
            <w:vAlign w:val="bottom"/>
          </w:tcPr>
          <w:p>
            <w:pPr>
              <w:spacing w:after="0"/>
              <w:rPr>
                <w:sz w:val="16"/>
                <w:szCs w:val="16"/>
                <w:color w:val="auto"/>
              </w:rPr>
            </w:pPr>
          </w:p>
        </w:tc>
        <w:tc>
          <w:tcPr>
            <w:tcW w:w="1740" w:type="dxa"/>
            <w:vAlign w:val="bottom"/>
            <w:gridSpan w:val="2"/>
          </w:tcPr>
          <w:p>
            <w:pPr>
              <w:jc w:val="right"/>
              <w:ind w:right="1099"/>
              <w:spacing w:after="0"/>
              <w:rPr>
                <w:sz w:val="20"/>
                <w:szCs w:val="20"/>
                <w:color w:val="auto"/>
              </w:rPr>
            </w:pPr>
            <w:r>
              <w:rPr>
                <w:rFonts w:ascii="Times New Roman" w:cs="Times New Roman" w:eastAsia="Times New Roman" w:hAnsi="Times New Roman"/>
                <w:sz w:val="14"/>
                <w:szCs w:val="14"/>
                <w:color w:val="auto"/>
              </w:rPr>
              <w:t>14.7 %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26.4 %</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gridSpan w:val="2"/>
          </w:tcPr>
          <w:p>
            <w:pPr>
              <w:jc w:val="right"/>
              <w:ind w:right="596"/>
              <w:spacing w:after="0"/>
              <w:rPr>
                <w:sz w:val="20"/>
                <w:szCs w:val="20"/>
                <w:color w:val="auto"/>
              </w:rPr>
            </w:pPr>
            <w:r>
              <w:rPr>
                <w:rFonts w:ascii="Times New Roman" w:cs="Times New Roman" w:eastAsia="Times New Roman" w:hAnsi="Times New Roman"/>
                <w:sz w:val="14"/>
                <w:szCs w:val="14"/>
                <w:color w:val="auto"/>
              </w:rPr>
              <w:t>20.3 %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22.6 %</w:t>
            </w:r>
          </w:p>
        </w:tc>
      </w:tr>
    </w:tbl>
    <w:p>
      <w:pPr>
        <w:spacing w:after="0" w:line="3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82" w:right="319" w:bottom="1440" w:gutter="0" w:footer="0" w:header="0"/>
        </w:sectPr>
      </w:pPr>
    </w:p>
    <w:bookmarkStart w:id="30" w:name="page31"/>
    <w:bookmarkEnd w:id="30"/>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The effective tax rates for the three months ended June 30, 2025 and 2024 were 14.7% and 26.4%, respectively. The effective tax rates for the six months ended June 30, 2025 and 2024 were 20.3% and 22.6%, respectively.</w:t>
      </w:r>
    </w:p>
    <w:p>
      <w:pPr>
        <w:spacing w:after="0" w:line="102"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 xml:space="preserve">The change in the effective tax rate for the three months ended June 30, 2025, compared to the prior period is primarily related </w:t>
      </w:r>
      <w:r>
        <w:rPr>
          <w:rFonts w:ascii="Times New Roman" w:cs="Times New Roman" w:eastAsia="Times New Roman" w:hAnsi="Times New Roman"/>
          <w:sz w:val="14"/>
          <w:szCs w:val="14"/>
          <w:color w:val="231F20"/>
        </w:rPr>
        <w:t>to a one-time sale of an equity interest in an unconsolidated joint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venture in the prior year and a one-time benefit attributable to the revaluation of deferred tax assets in China, partially offset by an increase in U.S. taxes on international operations.</w:t>
      </w:r>
    </w:p>
    <w:p>
      <w:pPr>
        <w:spacing w:after="0" w:line="145"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14"/>
          <w:szCs w:val="14"/>
          <w:color w:val="231F20"/>
        </w:rPr>
        <w:t>The change in the effective tax rate for the six months ended June 30, 2025, compared to the prior period is primarily related to a one-time sale of an equity interest in an unconsolidated joint venture in the prior year and a one-time benefit attributable to the revaluation of deferred tax assets in China, partially offset by an increase in U.S. taxes on international operations and additional tax reserve positions in the current year.</w:t>
      </w:r>
    </w:p>
    <w:p>
      <w:pPr>
        <w:spacing w:after="0" w:line="158"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4"/>
          <w:szCs w:val="14"/>
          <w:color w:val="231F20"/>
        </w:rPr>
        <w:t>The Organization for Economic Cooperation and Development reached agreement among over 140 countries to implement a minimum 15% tax rate on certain multinational enterprises, commonly referred to as Pillar Two. Many countries we operate in continue to announce changes in their tax laws and regulations based on the Pillar Two framework. While we continue to evaluate the impact of these legislative changes as additional guidance becomes available, uncertainty remains regarding the timing and interpretation by tax authorities in affected jurisdictions. For 2025, Pillar Two is not expected to have a material impact to our effective tax rate.</w:t>
      </w:r>
    </w:p>
    <w:p>
      <w:pPr>
        <w:spacing w:after="0" w:line="162"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14"/>
          <w:szCs w:val="14"/>
          <w:color w:val="auto"/>
        </w:rPr>
        <w:t>On July 4, 2025, the United States enacted H.R. 1, comprehensive legislation that introduced changes to federal tax law, among other things. We are currently evaluating the implications of the new tax law and its impact on our Consolidated Interim Financial Statements. F</w:t>
      </w:r>
      <w:r>
        <w:rPr>
          <w:rFonts w:ascii="Times New Roman" w:cs="Times New Roman" w:eastAsia="Times New Roman" w:hAnsi="Times New Roman"/>
          <w:sz w:val="14"/>
          <w:szCs w:val="14"/>
          <w:color w:val="231F20"/>
        </w:rPr>
        <w:t>urther enactment of legislation by jurisdictions in which we do business could also have an impact on our future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effective tax rate, tax liabilities, and cash tax.</w:t>
      </w:r>
    </w:p>
    <w:p>
      <w:pPr>
        <w:spacing w:after="0" w:line="158"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231F20"/>
        </w:rPr>
        <w:t>The effective tax rate can vary from quarter to quarter due to changes in the Company’s global mix of earnings, the resolution of income tax audits, changes in tax laws (including updated guidance on U.S. tax reform), deductions related to employee share-based payments, internal restructurings, and pension mark-to-market adjustments.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gridSpan w:val="2"/>
          </w:tcPr>
          <w:p>
            <w:pPr>
              <w:jc w:val="right"/>
              <w:ind w:right="53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80" w:type="dxa"/>
            <w:vAlign w:val="bottom"/>
          </w:tcPr>
          <w:p>
            <w:pPr>
              <w:spacing w:after="0"/>
              <w:rPr>
                <w:sz w:val="11"/>
                <w:szCs w:val="11"/>
                <w:color w:val="auto"/>
              </w:rPr>
            </w:pPr>
          </w:p>
        </w:tc>
      </w:tr>
      <w:tr>
        <w:trPr>
          <w:trHeight w:val="149"/>
        </w:trPr>
        <w:tc>
          <w:tcPr>
            <w:tcW w:w="4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jc w:val="right"/>
              <w:ind w:right="83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1080" w:type="dxa"/>
            <w:vAlign w:val="bottom"/>
          </w:tcPr>
          <w:p>
            <w:pPr>
              <w:spacing w:after="0"/>
              <w:rPr>
                <w:sz w:val="12"/>
                <w:szCs w:val="12"/>
                <w:color w:val="auto"/>
              </w:rPr>
            </w:pPr>
          </w:p>
        </w:tc>
      </w:tr>
      <w:tr>
        <w:trPr>
          <w:trHeight w:val="30"/>
        </w:trPr>
        <w:tc>
          <w:tcPr>
            <w:tcW w:w="44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52"/>
        </w:trPr>
        <w:tc>
          <w:tcPr>
            <w:tcW w:w="4460" w:type="dxa"/>
            <w:vAlign w:val="bottom"/>
          </w:tcPr>
          <w:p>
            <w:pPr>
              <w:spacing w:after="0"/>
              <w:rPr>
                <w:sz w:val="13"/>
                <w:szCs w:val="13"/>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4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40" w:type="dxa"/>
            <w:vAlign w:val="bottom"/>
            <w:gridSpan w:val="3"/>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12"/>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32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130</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margin</w:t>
            </w:r>
          </w:p>
        </w:tc>
        <w:tc>
          <w:tcPr>
            <w:tcW w:w="1060" w:type="dxa"/>
            <w:vAlign w:val="bottom"/>
          </w:tcPr>
          <w:p>
            <w:pPr>
              <w:spacing w:after="0"/>
              <w:rPr>
                <w:sz w:val="16"/>
                <w:szCs w:val="16"/>
                <w:color w:val="auto"/>
              </w:rPr>
            </w:pPr>
          </w:p>
        </w:tc>
        <w:tc>
          <w:tcPr>
            <w:tcW w:w="1740" w:type="dxa"/>
            <w:vAlign w:val="bottom"/>
            <w:gridSpan w:val="2"/>
          </w:tcPr>
          <w:p>
            <w:pPr>
              <w:jc w:val="right"/>
              <w:ind w:right="1099"/>
              <w:spacing w:after="0"/>
              <w:rPr>
                <w:sz w:val="20"/>
                <w:szCs w:val="20"/>
                <w:color w:val="auto"/>
              </w:rPr>
            </w:pPr>
            <w:r>
              <w:rPr>
                <w:rFonts w:ascii="Times New Roman" w:cs="Times New Roman" w:eastAsia="Times New Roman" w:hAnsi="Times New Roman"/>
                <w:sz w:val="14"/>
                <w:szCs w:val="14"/>
                <w:color w:val="auto"/>
              </w:rPr>
              <w:t>9.5 %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gridSpan w:val="2"/>
          </w:tcPr>
          <w:p>
            <w:pPr>
              <w:jc w:val="right"/>
              <w:ind w:right="596"/>
              <w:spacing w:after="0"/>
              <w:rPr>
                <w:sz w:val="20"/>
                <w:szCs w:val="20"/>
                <w:color w:val="auto"/>
              </w:rPr>
            </w:pPr>
            <w:r>
              <w:rPr>
                <w:rFonts w:ascii="Times New Roman" w:cs="Times New Roman" w:eastAsia="Times New Roman" w:hAnsi="Times New Roman"/>
                <w:sz w:val="14"/>
                <w:szCs w:val="14"/>
                <w:color w:val="auto"/>
              </w:rPr>
              <w:t>8.3 %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7.2 %</w:t>
            </w:r>
          </w:p>
        </w:tc>
      </w:tr>
    </w:tbl>
    <w:p>
      <w:pPr>
        <w:spacing w:after="0" w:line="210"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14"/>
          <w:szCs w:val="14"/>
          <w:color w:val="auto"/>
        </w:rPr>
        <w:t>Net income for the three months ended June 30, 2025, increased by $23 million compared with the prior period, primarily due to $37 million of lower interest expense, $8 million of lower tax expense, $2 million of lower SG&amp;A expense, $2 million of lower other expense, net, and a $5 million increase in non-operating income. These were partially offset by $4 million of decreased gross profit and the prior year gain of $27 million on the sale of an equity interest in an unconsolidated joint venture.</w:t>
      </w:r>
    </w:p>
    <w:p>
      <w:pPr>
        <w:spacing w:after="0" w:line="104"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14"/>
          <w:szCs w:val="14"/>
          <w:color w:val="auto"/>
        </w:rPr>
        <w:t>Net income for the six months ended June 30, 2025, increased by $19 million compared with the prior period, primarily due to $39 million of lower interest expense, $7 million of lower SG&amp;A expense, $3 million of higher gross margin and a $1 million increase in non-operating income. These were partially offset by $4 million of higher other expense, net and the prior year gain of $27 million on the sale of an equity interest in an unconsolidated joint venture.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Measures</w:t>
      </w:r>
    </w:p>
    <w:p>
      <w:pPr>
        <w:spacing w:after="0" w:line="16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It is management’s intent to provide non-GAAP financial information to supplement the understanding of our business operations and performance, and it should be considered by the reader in addition to, but not instead of, the financial statements prepared in accordance with GAAP. Each non-GAAP financial measure is presented along with the most directly comparable GAAP measure so as not to imply that more emphasis should be placed on the non-GAAP measure. The non-GAAP financial information presented may be determined or calculated differently by other companies and may not be comparable to other similarly titled measures used by other companies. Additionally, the non-GAAP financial measures have limitations as analytical tools and should not be considered in isolation from, or as a substitute for, an analysis of the Company’s operating results as reported under GAAP.</w:t>
      </w:r>
    </w:p>
    <w:p>
      <w:pPr>
        <w:spacing w:after="0" w:line="2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i w:val="1"/>
          <w:iCs w:val="1"/>
          <w:color w:val="auto"/>
        </w:rPr>
        <w:t>EBIT and Adjusted EBIT</w:t>
      </w:r>
    </w:p>
    <w:p>
      <w:pPr>
        <w:spacing w:after="0" w:line="162" w:lineRule="exact"/>
        <w:rPr>
          <w:sz w:val="20"/>
          <w:szCs w:val="20"/>
          <w:color w:val="auto"/>
        </w:rPr>
      </w:pPr>
    </w:p>
    <w:p>
      <w:pPr>
        <w:ind w:firstLine="319"/>
        <w:spacing w:after="0" w:line="289" w:lineRule="auto"/>
        <w:rPr>
          <w:sz w:val="20"/>
          <w:szCs w:val="20"/>
          <w:color w:val="auto"/>
        </w:rPr>
      </w:pPr>
      <w:r>
        <w:rPr>
          <w:rFonts w:ascii="Times New Roman" w:cs="Times New Roman" w:eastAsia="Times New Roman" w:hAnsi="Times New Roman"/>
          <w:sz w:val="14"/>
          <w:szCs w:val="14"/>
          <w:color w:val="auto"/>
        </w:rPr>
        <w:t>In 2025, we revised our non-GAAP reporting metric, transitioning from Adjusted EBITDA to Adjusted EBIT. This change is intended to better reflect our core operating performance and align with industry practices. We believe this change will provide investors with a clearer understanding of our ongoing operational performance.</w:t>
      </w:r>
    </w:p>
    <w:p>
      <w:pPr>
        <w:spacing w:after="0" w:line="92" w:lineRule="exact"/>
        <w:rPr>
          <w:sz w:val="20"/>
          <w:szCs w:val="20"/>
          <w:color w:val="auto"/>
        </w:rPr>
      </w:pPr>
    </w:p>
    <w:p>
      <w:pPr>
        <w:jc w:val="both"/>
        <w:ind w:firstLine="319"/>
        <w:spacing w:after="0" w:line="264" w:lineRule="auto"/>
        <w:rPr>
          <w:sz w:val="20"/>
          <w:szCs w:val="20"/>
          <w:color w:val="auto"/>
        </w:rPr>
      </w:pPr>
      <w:r>
        <w:rPr>
          <w:rFonts w:ascii="Times New Roman" w:cs="Times New Roman" w:eastAsia="Times New Roman" w:hAnsi="Times New Roman"/>
          <w:sz w:val="14"/>
          <w:szCs w:val="14"/>
          <w:color w:val="auto"/>
        </w:rPr>
        <w:t>We define “EBIT” as our net income calculated in accordance with U.S. GAAP, plus the sum of (i) interest expense net of interest income and (ii) tax expense. We define “Adjusted EBIT” as EBIT, plus the sum of (i) repositioning costs, (ii) foreign exchange (gain) loss on debt net of related hedging (gains) losses, (iii) discounting costs on factoring, (iv) gain on sale of equity investment,</w:t>
      </w:r>
    </w:p>
    <w:p>
      <w:pPr>
        <w:spacing w:after="0" w:line="1" w:lineRule="exact"/>
        <w:rPr>
          <w:sz w:val="20"/>
          <w:szCs w:val="20"/>
          <w:color w:val="auto"/>
        </w:rPr>
      </w:pPr>
    </w:p>
    <w:p>
      <w:pPr>
        <w:ind w:firstLine="5"/>
        <w:spacing w:after="0" w:line="268" w:lineRule="auto"/>
        <w:tabs>
          <w:tab w:leader="none" w:pos="203"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and divestiture expenses, (vi) other non-operating income, (vii) capital structure transformation expenses, (viii) debt refinancing and redemption costs, and (ix) loss on extinguishment of debt, if any. We believe that EBIT and Adjusted EBIT are important indicators of operating performance and provide useful information for investors because:</w:t>
      </w:r>
    </w:p>
    <w:p>
      <w:pPr>
        <w:spacing w:after="0" w:line="105" w:lineRule="exact"/>
        <w:rPr>
          <w:rFonts w:ascii="Times New Roman" w:cs="Times New Roman" w:eastAsia="Times New Roman" w:hAnsi="Times New Roman"/>
          <w:sz w:val="14"/>
          <w:szCs w:val="14"/>
          <w:color w:val="auto"/>
        </w:rPr>
      </w:pPr>
    </w:p>
    <w:p>
      <w:pPr>
        <w:ind w:left="520" w:hanging="259"/>
        <w:spacing w:after="0" w:line="289" w:lineRule="auto"/>
        <w:tabs>
          <w:tab w:leader="none" w:pos="516"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 and Adjusted EBIT exclude the effects of income taxes, as well as the effects of financing activities by eliminating the effects of interest and therefore more closely measure our operational performance; and</w:t>
      </w:r>
    </w:p>
    <w:p>
      <w:pPr>
        <w:spacing w:after="0" w:line="102" w:lineRule="exact"/>
        <w:rPr>
          <w:rFonts w:ascii="Times New Roman" w:cs="Times New Roman" w:eastAsia="Times New Roman" w:hAnsi="Times New Roman"/>
          <w:sz w:val="14"/>
          <w:szCs w:val="14"/>
          <w:color w:val="auto"/>
        </w:rPr>
      </w:pPr>
    </w:p>
    <w:p>
      <w:pPr>
        <w:ind w:left="520" w:hanging="259"/>
        <w:spacing w:after="0" w:line="289" w:lineRule="auto"/>
        <w:tabs>
          <w:tab w:leader="none" w:pos="516"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adjustment items, while periodically affecting our results, may vary significantly from period to period and could therefore have a disproportionate effect in a given period, affecting the comparability of our results.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reconciles Net income under GAAP to Adjusted EBIT: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3"/>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800" w:type="dxa"/>
            <w:vAlign w:val="bottom"/>
          </w:tcPr>
          <w:p>
            <w:pPr>
              <w:spacing w:after="0"/>
              <w:rPr>
                <w:sz w:val="12"/>
                <w:szCs w:val="12"/>
                <w:color w:val="auto"/>
              </w:rPr>
            </w:pPr>
          </w:p>
        </w:tc>
      </w:tr>
      <w:tr>
        <w:trPr>
          <w:trHeight w:val="159"/>
        </w:trPr>
        <w:tc>
          <w:tcPr>
            <w:tcW w:w="59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00" w:type="dxa"/>
            <w:vAlign w:val="bottom"/>
            <w:tcBorders>
              <w:bottom w:val="single" w:sz="8" w:color="auto"/>
            </w:tcBorders>
          </w:tcPr>
          <w:p>
            <w:pPr>
              <w:spacing w:after="0"/>
              <w:rPr>
                <w:sz w:val="13"/>
                <w:szCs w:val="13"/>
                <w:color w:val="auto"/>
              </w:rPr>
            </w:pPr>
          </w:p>
        </w:tc>
      </w:tr>
      <w:tr>
        <w:trPr>
          <w:trHeight w:val="161"/>
        </w:trPr>
        <w:tc>
          <w:tcPr>
            <w:tcW w:w="59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5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60" w:type="dxa"/>
            <w:vAlign w:val="bottom"/>
            <w:gridSpan w:val="3"/>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1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202"/>
        </w:trPr>
        <w:tc>
          <w:tcPr>
            <w:tcW w:w="596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 xml:space="preserve">Interest expense, net of interest income </w:t>
            </w:r>
            <w:r>
              <w:rPr>
                <w:rFonts w:ascii="Times New Roman" w:cs="Times New Roman" w:eastAsia="Times New Roman" w:hAnsi="Times New Roman"/>
                <w:sz w:val="18"/>
                <w:szCs w:val="18"/>
                <w:color w:val="auto"/>
                <w:vertAlign w:val="superscript"/>
              </w:rPr>
              <w:t>(1)</w:t>
            </w:r>
          </w:p>
        </w:tc>
        <w:tc>
          <w:tcPr>
            <w:tcW w:w="7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202"/>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 expense</w:t>
            </w:r>
          </w:p>
        </w:tc>
        <w:tc>
          <w:tcPr>
            <w:tcW w:w="7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7"/>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w:t>
            </w:r>
          </w:p>
        </w:tc>
        <w:tc>
          <w:tcPr>
            <w:tcW w:w="7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219"/>
        </w:trPr>
        <w:tc>
          <w:tcPr>
            <w:tcW w:w="596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4"/>
                <w:szCs w:val="14"/>
                <w:color w:val="auto"/>
              </w:rPr>
              <w:t xml:space="preserve">Repositioning costs </w:t>
            </w:r>
            <w:r>
              <w:rPr>
                <w:rFonts w:ascii="Times New Roman" w:cs="Times New Roman" w:eastAsia="Times New Roman" w:hAnsi="Times New Roman"/>
                <w:sz w:val="22"/>
                <w:szCs w:val="22"/>
                <w:color w:val="auto"/>
                <w:vertAlign w:val="superscript"/>
              </w:rPr>
              <w:t>(2)</w:t>
            </w: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7"/>
        </w:trPr>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exchange gain on debt, net of related hedging loss</w:t>
            </w:r>
          </w:p>
        </w:tc>
        <w:tc>
          <w:tcPr>
            <w:tcW w:w="7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9"/>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Factoring and notes receivables discount fees</w:t>
            </w: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7"/>
        </w:trPr>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sale of equity investment</w:t>
            </w:r>
          </w:p>
        </w:tc>
        <w:tc>
          <w:tcPr>
            <w:tcW w:w="7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19"/>
        </w:trPr>
        <w:tc>
          <w:tcPr>
            <w:tcW w:w="596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4"/>
                <w:szCs w:val="14"/>
                <w:color w:val="auto"/>
              </w:rPr>
              <w:t xml:space="preserve">Other non-operating income </w:t>
            </w:r>
            <w:r>
              <w:rPr>
                <w:rFonts w:ascii="Times New Roman" w:cs="Times New Roman" w:eastAsia="Times New Roman" w:hAnsi="Times New Roman"/>
                <w:sz w:val="22"/>
                <w:szCs w:val="22"/>
                <w:color w:val="auto"/>
                <w:vertAlign w:val="superscript"/>
              </w:rPr>
              <w:t>(3)</w:t>
            </w: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13"/>
        </w:trPr>
        <w:tc>
          <w:tcPr>
            <w:tcW w:w="5960" w:type="dxa"/>
            <w:vAlign w:val="bottom"/>
          </w:tcPr>
          <w:p>
            <w:pPr>
              <w:ind w:left="180"/>
              <w:spacing w:after="0" w:line="213" w:lineRule="exact"/>
              <w:rPr>
                <w:sz w:val="20"/>
                <w:szCs w:val="20"/>
                <w:color w:val="auto"/>
              </w:rPr>
            </w:pPr>
            <w:r>
              <w:rPr>
                <w:rFonts w:ascii="Times New Roman" w:cs="Times New Roman" w:eastAsia="Times New Roman" w:hAnsi="Times New Roman"/>
                <w:sz w:val="14"/>
                <w:szCs w:val="14"/>
                <w:color w:val="auto"/>
              </w:rPr>
              <w:t xml:space="preserve">Debt refinancing and redemption costs </w:t>
            </w:r>
            <w:r>
              <w:rPr>
                <w:rFonts w:ascii="Times New Roman" w:cs="Times New Roman" w:eastAsia="Times New Roman" w:hAnsi="Times New Roman"/>
                <w:sz w:val="22"/>
                <w:szCs w:val="22"/>
                <w:color w:val="auto"/>
                <w:vertAlign w:val="superscript"/>
              </w:rPr>
              <w:t>(4)</w:t>
            </w:r>
          </w:p>
        </w:tc>
        <w:tc>
          <w:tcPr>
            <w:tcW w:w="7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2"/>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 and divestiture expenses</w:t>
            </w:r>
          </w:p>
        </w:tc>
        <w:tc>
          <w:tcPr>
            <w:tcW w:w="7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7"/>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w:t>
            </w:r>
          </w:p>
        </w:tc>
        <w:tc>
          <w:tcPr>
            <w:tcW w:w="7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spacing w:after="0"/>
              <w:rPr>
                <w:sz w:val="16"/>
                <w:szCs w:val="16"/>
                <w:color w:val="auto"/>
              </w:rPr>
            </w:pPr>
          </w:p>
        </w:tc>
        <w:tc>
          <w:tcPr>
            <w:tcW w:w="8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Pr>
          <w:p>
            <w:pPr>
              <w:spacing w:after="0"/>
              <w:rPr>
                <w:sz w:val="16"/>
                <w:szCs w:val="16"/>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r>
      <w:tr>
        <w:trPr>
          <w:trHeight w:val="20"/>
        </w:trPr>
        <w:tc>
          <w:tcPr>
            <w:tcW w:w="59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520" w:hanging="259"/>
        <w:spacing w:after="0" w:line="289" w:lineRule="auto"/>
        <w:tabs>
          <w:tab w:leader="none" w:pos="51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interest income of $2 million and $1 million for the three months ended June 30, 2025 and 2024, respectively, and $2 million and $3 million for the six months ended June 30, 2025 and 2024, respectively.</w:t>
      </w:r>
    </w:p>
    <w:p>
      <w:pPr>
        <w:spacing w:after="0" w:line="102"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Repositioning costs includes severance costs related to restructuring projects to improve future productivity.</w:t>
      </w:r>
    </w:p>
    <w:p>
      <w:pPr>
        <w:spacing w:after="0" w:line="147"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non-service component of net periodic pension income.</w:t>
      </w:r>
    </w:p>
    <w:p>
      <w:pPr>
        <w:spacing w:after="0" w:line="147"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third-party costs directly attributable to the refinancing of our term loan and revolving credit facility.</w:t>
      </w:r>
    </w:p>
    <w:p>
      <w:pPr>
        <w:spacing w:after="0" w:line="200" w:lineRule="exact"/>
        <w:rPr>
          <w:sz w:val="20"/>
          <w:szCs w:val="20"/>
          <w:color w:val="auto"/>
        </w:rPr>
      </w:pPr>
    </w:p>
    <w:p>
      <w:pPr>
        <w:spacing w:after="0" w:line="2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 for the Three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4463415" cy="1163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63415" cy="116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307"/>
        <w:spacing w:after="0" w:line="292" w:lineRule="auto"/>
        <w:rPr>
          <w:sz w:val="20"/>
          <w:szCs w:val="20"/>
          <w:color w:val="auto"/>
        </w:rPr>
      </w:pPr>
      <w:r>
        <w:rPr>
          <w:rFonts w:ascii="Times New Roman" w:cs="Times New Roman" w:eastAsia="Times New Roman" w:hAnsi="Times New Roman"/>
          <w:sz w:val="14"/>
          <w:szCs w:val="14"/>
          <w:color w:val="231F20"/>
        </w:rPr>
        <w:t xml:space="preserve">For the </w:t>
      </w:r>
      <w:r>
        <w:rPr>
          <w:rFonts w:ascii="Times New Roman" w:cs="Times New Roman" w:eastAsia="Times New Roman" w:hAnsi="Times New Roman"/>
          <w:sz w:val="14"/>
          <w:szCs w:val="14"/>
          <w:color w:val="000000"/>
        </w:rPr>
        <w:t>three months ended June 30, 2025</w:t>
      </w:r>
      <w:r>
        <w:rPr>
          <w:rFonts w:ascii="Times New Roman" w:cs="Times New Roman" w:eastAsia="Times New Roman" w:hAnsi="Times New Roman"/>
          <w:sz w:val="14"/>
          <w:szCs w:val="14"/>
          <w:color w:val="231F20"/>
        </w:rPr>
        <w:t xml:space="preserve">, net income increased by </w:t>
      </w:r>
      <w:r>
        <w:rPr>
          <w:rFonts w:ascii="Times New Roman" w:cs="Times New Roman" w:eastAsia="Times New Roman" w:hAnsi="Times New Roman"/>
          <w:sz w:val="14"/>
          <w:szCs w:val="14"/>
          <w:color w:val="000000"/>
        </w:rPr>
        <w:t>$23 million</w:t>
      </w:r>
      <w:r>
        <w:rPr>
          <w:rFonts w:ascii="Times New Roman" w:cs="Times New Roman" w:eastAsia="Times New Roman" w:hAnsi="Times New Roman"/>
          <w:sz w:val="14"/>
          <w:szCs w:val="14"/>
          <w:color w:val="231F20"/>
        </w:rPr>
        <w:t xml:space="preserve"> versus the prior period as discussed above within </w:t>
      </w:r>
      <w:r>
        <w:rPr>
          <w:rFonts w:ascii="Times New Roman" w:cs="Times New Roman" w:eastAsia="Times New Roman" w:hAnsi="Times New Roman"/>
          <w:sz w:val="14"/>
          <w:szCs w:val="14"/>
          <w:i w:val="1"/>
          <w:iCs w:val="1"/>
          <w:color w:val="231F20"/>
        </w:rPr>
        <w:t>Results of Operations for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Three and Six Months Ended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June 30, 2025</w:t>
      </w:r>
      <w:r>
        <w:rPr>
          <w:rFonts w:ascii="Times New Roman" w:cs="Times New Roman" w:eastAsia="Times New Roman" w:hAnsi="Times New Roman"/>
          <w:sz w:val="14"/>
          <w:szCs w:val="14"/>
          <w:color w:val="231F20"/>
        </w:rPr>
        <w:t>.</w:t>
      </w:r>
    </w:p>
    <w:p>
      <w:pPr>
        <w:spacing w:after="0" w:line="10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 xml:space="preserve">Adjusted EBIT increased by </w:t>
      </w:r>
      <w:r>
        <w:rPr>
          <w:rFonts w:ascii="Times New Roman" w:cs="Times New Roman" w:eastAsia="Times New Roman" w:hAnsi="Times New Roman"/>
          <w:sz w:val="14"/>
          <w:szCs w:val="14"/>
          <w:color w:val="000000"/>
        </w:rPr>
        <w:t>$1 million</w:t>
      </w:r>
      <w:r>
        <w:rPr>
          <w:rFonts w:ascii="Times New Roman" w:cs="Times New Roman" w:eastAsia="Times New Roman" w:hAnsi="Times New Roman"/>
          <w:sz w:val="14"/>
          <w:szCs w:val="14"/>
          <w:color w:val="231F20"/>
        </w:rPr>
        <w:t xml:space="preserve"> compared to the prior period, driven by $11 million of foreign currency impacts, $11 million of productivity, $4 million of commodity, transportation and energy deflation, and $1 million of higher volumes. These increases were partially offset by $25 million of unfavorable product mix and $2 million of lower pricing net of inflation pass-through.</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During the three months ended June 30, 2025, diesel volume declined, driven by lower industry production in Europe and Aftermarket softness in off-highway applications in North America.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These volume decreases were partially offset by favorable demand in gasoline due to new application launches and program ramp-ups in Europe, North America, and India.</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increased productivity from our ability to flex our variable cost structure while driving sustained fixed cost productivity was partially offset by year-over-year labor inflation.</w:t>
      </w:r>
    </w:p>
    <w:p>
      <w:pPr>
        <w:spacing w:after="0" w:line="15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Gains in foreign currency from translational, transactional, and hedging effects in the three months ended June 30, 2025, primarily driven by a higher Euro-to-U.S. dollar versus the prior period, accounted for a $11 million increase in Adjusted EBIT.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 for the 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4463415" cy="1163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63415" cy="116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 xml:space="preserve">For the </w:t>
      </w:r>
      <w:r>
        <w:rPr>
          <w:rFonts w:ascii="Times New Roman" w:cs="Times New Roman" w:eastAsia="Times New Roman" w:hAnsi="Times New Roman"/>
          <w:sz w:val="14"/>
          <w:szCs w:val="14"/>
          <w:color w:val="000000"/>
        </w:rPr>
        <w:t>six months ended June 30, 2025</w:t>
      </w:r>
      <w:r>
        <w:rPr>
          <w:rFonts w:ascii="Times New Roman" w:cs="Times New Roman" w:eastAsia="Times New Roman" w:hAnsi="Times New Roman"/>
          <w:sz w:val="14"/>
          <w:szCs w:val="14"/>
          <w:color w:val="231F20"/>
        </w:rPr>
        <w:t xml:space="preserve">, net income increased by </w:t>
      </w:r>
      <w:r>
        <w:rPr>
          <w:rFonts w:ascii="Times New Roman" w:cs="Times New Roman" w:eastAsia="Times New Roman" w:hAnsi="Times New Roman"/>
          <w:sz w:val="14"/>
          <w:szCs w:val="14"/>
          <w:color w:val="000000"/>
        </w:rPr>
        <w:t>$19 million</w:t>
      </w:r>
      <w:r>
        <w:rPr>
          <w:rFonts w:ascii="Times New Roman" w:cs="Times New Roman" w:eastAsia="Times New Roman" w:hAnsi="Times New Roman"/>
          <w:sz w:val="14"/>
          <w:szCs w:val="14"/>
          <w:color w:val="231F20"/>
        </w:rPr>
        <w:t xml:space="preserve"> versus the prior period as discussed above within </w:t>
      </w:r>
      <w:r>
        <w:rPr>
          <w:rFonts w:ascii="Times New Roman" w:cs="Times New Roman" w:eastAsia="Times New Roman" w:hAnsi="Times New Roman"/>
          <w:sz w:val="14"/>
          <w:szCs w:val="14"/>
          <w:i w:val="1"/>
          <w:iCs w:val="1"/>
          <w:color w:val="231F20"/>
        </w:rPr>
        <w:t>Results of Operations for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Three and Six Months Ended June 30,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2025</w:t>
      </w:r>
      <w:r>
        <w:rPr>
          <w:rFonts w:ascii="Times New Roman" w:cs="Times New Roman" w:eastAsia="Times New Roman" w:hAnsi="Times New Roman"/>
          <w:sz w:val="14"/>
          <w:szCs w:val="14"/>
          <w:color w:val="231F20"/>
        </w:rPr>
        <w:t>.</w:t>
      </w:r>
    </w:p>
    <w:p>
      <w:pPr>
        <w:spacing w:after="0" w:line="13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 xml:space="preserve">Adjusted EBIT increased by </w:t>
      </w:r>
      <w:r>
        <w:rPr>
          <w:rFonts w:ascii="Times New Roman" w:cs="Times New Roman" w:eastAsia="Times New Roman" w:hAnsi="Times New Roman"/>
          <w:sz w:val="14"/>
          <w:szCs w:val="14"/>
          <w:color w:val="000000"/>
        </w:rPr>
        <w:t>$11 million</w:t>
      </w:r>
      <w:r>
        <w:rPr>
          <w:rFonts w:ascii="Times New Roman" w:cs="Times New Roman" w:eastAsia="Times New Roman" w:hAnsi="Times New Roman"/>
          <w:sz w:val="14"/>
          <w:szCs w:val="14"/>
          <w:color w:val="231F20"/>
        </w:rPr>
        <w:t xml:space="preserve"> compared to the prior year, mainly from $29 million of operational productivity, net of labor inflation and repositioning costs, $13 million of commodity, transportation, and energy deflation, $4 million of favorable foreign exchange impacts and $2 million price net of inflation pass through. These increases were partially offset by $32 million unfavorable product mix and $6 million of lower sales volume from diesel and aftermarket products.</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 xml:space="preserve">During the </w:t>
      </w:r>
      <w:r>
        <w:rPr>
          <w:rFonts w:ascii="Times New Roman" w:cs="Times New Roman" w:eastAsia="Times New Roman" w:hAnsi="Times New Roman"/>
          <w:sz w:val="14"/>
          <w:szCs w:val="14"/>
          <w:color w:val="000000"/>
        </w:rPr>
        <w:t>six months ended June 30, 2025</w:t>
      </w:r>
      <w:r>
        <w:rPr>
          <w:rFonts w:ascii="Times New Roman" w:cs="Times New Roman" w:eastAsia="Times New Roman" w:hAnsi="Times New Roman"/>
          <w:sz w:val="14"/>
          <w:szCs w:val="14"/>
          <w:color w:val="231F20"/>
        </w:rPr>
        <w:t>, diesel volume declined, driven by impact of lower industry production mainly in Europe and Aftermarket Off-highway applications in North America. These volume decreases were partially</w:t>
      </w: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color w:val="231F20"/>
        </w:rPr>
        <w:t>offset by favorable demand in gasoline driven by new application launches and program ramp-ups in Europe, North America and India.</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increased productivity from our ability to flex our variable cost structure while driving sustained fixed cost productivity was partially offset by year-over-year labor inflation.</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0" w:type="dxa"/>
            <w:vAlign w:val="bottom"/>
          </w:tcPr>
          <w:p>
            <w:pPr>
              <w:spacing w:after="0"/>
              <w:rPr>
                <w:sz w:val="12"/>
                <w:szCs w:val="12"/>
                <w:color w:val="auto"/>
              </w:rPr>
            </w:pPr>
          </w:p>
        </w:tc>
        <w:tc>
          <w:tcPr>
            <w:tcW w:w="1080" w:type="dxa"/>
            <w:vAlign w:val="bottom"/>
          </w:tcPr>
          <w:p>
            <w:pPr>
              <w:jc w:val="center"/>
              <w:ind w:left="45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9"/>
        </w:trPr>
        <w:tc>
          <w:tcPr>
            <w:tcW w:w="8000" w:type="dxa"/>
            <w:vAlign w:val="bottom"/>
          </w:tcPr>
          <w:p>
            <w:pPr>
              <w:spacing w:after="0"/>
              <w:rPr>
                <w:sz w:val="13"/>
                <w:szCs w:val="13"/>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8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14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8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shd w:val="clear" w:color="auto" w:fill="CFF0FC"/>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8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0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Facility - available borrowing capacity</w:t>
            </w: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18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Facility - borrowings or letters of credit outstanding</w:t>
            </w:r>
          </w:p>
        </w:tc>
        <w:tc>
          <w:tcPr>
            <w:tcW w:w="10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Facilities - principal outstanding</w:t>
            </w: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r>
      <w:tr>
        <w:trPr>
          <w:trHeight w:val="18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 principal outstanding</w:t>
            </w:r>
          </w:p>
        </w:tc>
        <w:tc>
          <w:tcPr>
            <w:tcW w:w="10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r>
      <w:tr>
        <w:trPr>
          <w:trHeight w:val="18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Bilateral letter of credit facility - utilized capacity</w:t>
            </w: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bl>
    <w:p>
      <w:pPr>
        <w:spacing w:after="0" w:line="198"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4"/>
          <w:szCs w:val="14"/>
          <w:color w:val="auto"/>
        </w:rPr>
        <w:t>On January 30, 2025, the Company entered into the Restatement Agreement, which amends and restates the Existing Credit Agreement, under which the Company refinanced in full its $692 million 2021 Dollar Term Facility with a new 2025 Dollar Term Facility in an aggregate principal amount of $692 million. The 2025 Dollar Term Facility will mature on January 30, 2032, and bear interest at a spread equal to, at the Company's option, the Adjusted Term SOFR Rate plus 2.25% per annum in the case of Term Benchmark Loans and the Alternate Base Rate plus 1.25% per annum in the case of ABR Loans. The Company also replaced its existing $600 million revolving facility under the Existing Credit Agreement with the New Revolving Facility under the Credit Agreement in an aggregate principal amount of $630 million. The maturity date of the New Revolving Facility is January 30, 2030.</w:t>
      </w:r>
    </w:p>
    <w:p>
      <w:pPr>
        <w:spacing w:after="0" w:line="122"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4"/>
          <w:szCs w:val="14"/>
          <w:color w:val="auto"/>
        </w:rPr>
        <w:t>We employ several means to manage our liquidity, and our sources of financing include cash flows from operations, cash and cash equivalents on hand, the 2032 Senior Notes, and our Credit Agreement, including our 2025 Dollar Term Facility and our New Revolving Facility. We expect to continue investing in our facilities as we expand our manufacturing capacity for new product launches and invest in new technologies and strategic growth opportunities, in particular in connection with our zero-emission technologies. We believe the combination of expected cash flows, the term loan borrowings, the 2032 Senior Notes, and the New Revolving Facility being committed until 2030, will provide us with adequate liquidity to support the Company's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 xml:space="preserve">On December 4, 2024, the Board of Directors authorized a $250 million share repurchase program valid from January 1, 2025, until December 31, 2025. During the six months ended June 30, 2025, the Company repurchased $52 million of Common Stock, with $198 million remaining under the share repurchase program as of that date. The Company may repurchase shares from time to time under the program through various methods, including in open market transactions, block trades, privately negotiated transactions, and otherwise. The timing, as well as the number and value of shares repurchased under the program, will depend on a variety of factors. The Company is not obligated to purchase any shares under the share repurchase program, and the program may be suspended, modified, or discontinued at any time without prior notice. For more information, see Item 2. </w:t>
      </w:r>
      <w:r>
        <w:rPr>
          <w:rFonts w:ascii="Times New Roman" w:cs="Times New Roman" w:eastAsia="Times New Roman" w:hAnsi="Times New Roman"/>
          <w:sz w:val="14"/>
          <w:szCs w:val="14"/>
          <w:i w:val="1"/>
          <w:iCs w:val="1"/>
          <w:color w:val="auto"/>
        </w:rPr>
        <w:t>Unregistered Sales of Equity Securities and Use of Proceeds</w:t>
      </w:r>
      <w:r>
        <w:rPr>
          <w:rFonts w:ascii="Times New Roman" w:cs="Times New Roman" w:eastAsia="Times New Roman" w:hAnsi="Times New Roman"/>
          <w:sz w:val="14"/>
          <w:szCs w:val="14"/>
          <w:color w:val="auto"/>
        </w:rPr>
        <w:t>.</w:t>
      </w:r>
    </w:p>
    <w:p>
      <w:pPr>
        <w:spacing w:after="0" w:line="2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Summary for the Six Months Ended June 30, 2025</w:t>
      </w:r>
    </w:p>
    <w:p>
      <w:pPr>
        <w:spacing w:after="0" w:line="105"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1"/>
          <w:szCs w:val="11"/>
          <w:b w:val="1"/>
          <w:bCs w:val="1"/>
          <w:color w:val="auto"/>
        </w:rPr>
        <w:t>Six Months Ended</w:t>
      </w:r>
    </w:p>
    <w:p>
      <w:pPr>
        <w:spacing w:after="0" w:line="23"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1"/>
          <w:szCs w:val="11"/>
          <w:b w:val="1"/>
          <w:bCs w:val="1"/>
          <w:color w:val="auto"/>
        </w:rPr>
        <w:t>June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8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2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tcPr>
          <w:p>
            <w:pPr>
              <w:spacing w:after="0"/>
              <w:rPr>
                <w:sz w:val="13"/>
                <w:szCs w:val="13"/>
                <w:color w:val="auto"/>
              </w:rPr>
            </w:pPr>
          </w:p>
        </w:tc>
      </w:tr>
      <w:tr>
        <w:trPr>
          <w:trHeight w:val="212"/>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provided by (used for):</w:t>
            </w: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197"/>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activities</w:t>
            </w:r>
          </w:p>
        </w:tc>
        <w:tc>
          <w:tcPr>
            <w:tcW w:w="1020" w:type="dxa"/>
            <w:vAlign w:val="bottom"/>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7"/>
                <w:szCs w:val="17"/>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208"/>
        </w:trPr>
        <w:tc>
          <w:tcPr>
            <w:tcW w:w="8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Investing activities</w:t>
            </w: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7"/>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Financing activities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r>
      <w:tr>
        <w:trPr>
          <w:trHeight w:val="208"/>
        </w:trPr>
        <w:tc>
          <w:tcPr>
            <w:tcW w:w="8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Effect of exchange rate changes on cash and restricted cash</w:t>
            </w:r>
          </w:p>
        </w:tc>
        <w:tc>
          <w:tcPr>
            <w:tcW w:w="10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20"/>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Cash provided by operating activities increased by $4 million for the six months ended June 30, 2025, versus the prior year. The increase was primarily driven by $22 million of favorable impacts from working capital changes and $19 million of higher net income, partially offset by a decrease of $16 million of non-cash charges, as well as $21 million of unfavorable impacts from changes in other assets and liabilities.</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Cash flow used for investing activities decreased by $44 million for the six months ended June 30, 2025, compared to the same period in the prior year. The decrease was primarily driven by $46 million in proceeds from the sale of our unconsolidated joint venture realized in the prior year, along with $6 million in reduced proceeds from the cross currency swap. These impacts were partially offset by $8 million in lower capital expenditures on property, plant and equipment.</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Cash used for financing activities was $89 million for the six months ended June 30, 2025, compared with $384 million in the prior year. During the six months ended June 30, 2025, we made debt repayments of $73 million, payments of $52 million for the repurchase of Common Stock under our share repurchase program and payments of $25 million for dividends on our Common Stock. These payments were partially offset by proceeds of $68 million from the Credit Facilities.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 comparison, cash used for financing activities was $384 million for the six months ended June 30, 2024 primarily driven by aggregate debt repayments of $989 million on our term loan facilities. We also made payments of $173 million for Common Stock repurchases, $7 million for debt issuance costs and $9 million for other financing activities. These payments were partially offset by proceeds of $794 million, net of deferred financing costs, from the issuance of our 2032 Senior Notes.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160" w:lineRule="exact"/>
        <w:rPr>
          <w:sz w:val="20"/>
          <w:szCs w:val="20"/>
          <w:color w:val="auto"/>
        </w:rPr>
      </w:pPr>
    </w:p>
    <w:p>
      <w:pPr>
        <w:jc w:val="both"/>
        <w:ind w:firstLine="307"/>
        <w:spacing w:after="0" w:line="277" w:lineRule="auto"/>
        <w:rPr>
          <w:sz w:val="20"/>
          <w:szCs w:val="20"/>
          <w:color w:val="auto"/>
        </w:rPr>
      </w:pPr>
      <w:r>
        <w:rPr>
          <w:rFonts w:ascii="Times New Roman" w:cs="Times New Roman" w:eastAsia="Times New Roman" w:hAnsi="Times New Roman"/>
          <w:sz w:val="14"/>
          <w:szCs w:val="14"/>
          <w:color w:val="auto"/>
        </w:rPr>
        <w:t>The preparation of our Consolidated Interim Financial Statements in accordance with GAAP is based on the selection and application of accounting policies that require us to make significant estimates and assumptions about the effects of matters that are inherently uncertain. Actual results could differ from our estimates and assumptions, and any such differences could be material to our</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financial statements. Our critical accounting policies are summarized in the “Management’s Discussion and Analysis of Financial Condition and Results of Operations” section of our 2024 Form 10-K.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of the Notes to the Consolidated Interim Financial Statements for further discussion of recent accounting pronouncements.</w:t>
      </w:r>
    </w:p>
    <w:p>
      <w:pPr>
        <w:spacing w:after="0" w:line="2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8"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50" w:lineRule="exact"/>
        <w:rPr>
          <w:sz w:val="20"/>
          <w:szCs w:val="20"/>
          <w:color w:val="auto"/>
        </w:rPr>
      </w:pPr>
    </w:p>
    <w:p>
      <w:pPr>
        <w:jc w:val="both"/>
        <w:ind w:firstLine="307"/>
        <w:spacing w:after="0" w:line="255" w:lineRule="auto"/>
        <w:rPr>
          <w:sz w:val="20"/>
          <w:szCs w:val="20"/>
          <w:color w:val="auto"/>
        </w:rPr>
      </w:pPr>
      <w:r>
        <w:rPr>
          <w:rFonts w:ascii="Times New Roman" w:cs="Times New Roman" w:eastAsia="Times New Roman" w:hAnsi="Times New Roman"/>
          <w:sz w:val="14"/>
          <w:szCs w:val="14"/>
          <w:color w:val="auto"/>
        </w:rPr>
        <w:t>This Quarterly Report on Form 10-Q and the other reports filed by us with the SEC from time to time, as well as statements incorporated by reference herein and related comments by our management, contain forward-looking statements within the meaning of the U.S. federal securities laws. All statements other than statements of historical fact, including without limitation statements regarding our future results of operations and financial position, expectations regarding the growth of the turbocharger and electric vehicle markets and other industry trends, the sufficiency of our cash and cash equivalents, anticipated sources and uses of cash, anticipated investments in our business, our business strategy, pending litigation, anticipated interest expense, and the plans and objectives of management for future operations and capital expenditures are forward-looking statements. In many cases, you can identify forward-looking statements by terms such as “aim,” “anticipate,” “appears,” “approximately,” “believe,” “continue,” “could,” “designed,” “effect,” “estimate,” “evaluate,” “expect,” “forecast,” “goal,” “initiative,” “intend,” “may,” “objective,” “outlook,” “plan,” “potential,” “priorities,” “project,” “pursue,” “seek,” “should,” “target,” “when,” “will,” “would,” or the negative of these terms or other similar expressions. In making these forward-looking statements, we rely on our current expectations and projections about possible future events and financial trends that we believe may affect our business, financial condition and results of operations.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 things, risks related to the following: (1) the ongoing evolution of the automotive industry; (2) the highly competitive markets in which we operate; (3) our reliance on sales to major customers; (4) changing industry and economic conditions; (5) the unique aspects of our aftermarket business; (6) pricing pressures from our original equipment manufacturer customers; (7) the foreign markets in which we operate; (8) climate change and increased scrutiny from customers, investors, regulators and other stakeholders; (9) recruitment, development, and retention of qualified personnel; (10) program launch difficulties; (11) volatility in the cost of raw materials, components, energy, transportation, and other inputs; (12) supply shortages or supplier distress leading to a disruption of our operations;</w:t>
      </w:r>
    </w:p>
    <w:p>
      <w:pPr>
        <w:spacing w:after="0" w:line="5" w:lineRule="exact"/>
        <w:rPr>
          <w:sz w:val="20"/>
          <w:szCs w:val="20"/>
          <w:color w:val="auto"/>
        </w:rPr>
      </w:pPr>
    </w:p>
    <w:p>
      <w:pPr>
        <w:jc w:val="both"/>
        <w:ind w:firstLine="5"/>
        <w:spacing w:after="0" w:line="254" w:lineRule="auto"/>
        <w:tabs>
          <w:tab w:leader="none" w:pos="27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realization of sales from awarded business; (14) economic, political, regulatory, foreign exchange and other risks of our international operations; (15) geopolitical conditions, catastrophic events and pandemics; (16) joint venture partnerships, joint development projects and other strategic opportunities; (17) intellectual property rights; (18) work stoppages or other disruptions at our facilities;</w:t>
      </w:r>
    </w:p>
    <w:p>
      <w:pPr>
        <w:jc w:val="both"/>
        <w:ind w:firstLine="5"/>
        <w:spacing w:after="0" w:line="257" w:lineRule="auto"/>
        <w:tabs>
          <w:tab w:leader="none" w:pos="28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realization of productivity and efficiency improvements and repositioning projects; (20) warranty claims, product recalls, field actions or product liability actions; (21) litigation, government proceedings and other contingencies and uncertainties; (22) environmental matters and liabilities; (23) third-party licensing arrangements; (24) information technology and data privacy considerations, including cybersecurity and other security concerns; (25) our substantial indebtedness and restrictive covenants related to such indebtedness; (26) tax considerations; (27) our ability to raise capital; (28) our pension funding obligations; (29) concentration of ownership of our equity securities; or (30) payment of dividends and share repurchases. For a further discussion of these and other risks, refer to Part I, Item 1A. "Risk Factors" of our 2024 Form 10-K.</w:t>
      </w:r>
    </w:p>
    <w:p>
      <w:pPr>
        <w:spacing w:after="0" w:line="12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You should read this Quarterly Report and the documents that we reference herein completely and with the understanding that our actual future results may be materially different from those envisioned by these forward-looking statements.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herein, whether as a result of any new information, future events, changed circumstances, or otherwise.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50" w:lineRule="exact"/>
        <w:rPr>
          <w:sz w:val="20"/>
          <w:szCs w:val="20"/>
          <w:color w:val="auto"/>
        </w:rPr>
      </w:pPr>
    </w:p>
    <w:p>
      <w:pPr>
        <w:jc w:val="both"/>
        <w:ind w:firstLine="511"/>
        <w:spacing w:after="0" w:line="265" w:lineRule="auto"/>
        <w:rPr>
          <w:sz w:val="20"/>
          <w:szCs w:val="20"/>
          <w:color w:val="auto"/>
        </w:rPr>
      </w:pPr>
      <w:r>
        <w:rPr>
          <w:rFonts w:ascii="Times New Roman" w:cs="Times New Roman" w:eastAsia="Times New Roman" w:hAnsi="Times New Roman"/>
          <w:sz w:val="14"/>
          <w:szCs w:val="14"/>
          <w:color w:val="auto"/>
        </w:rPr>
        <w:t>As of June 30, 2025, the net fair value of all financial instruments with exposure to currency risk was $177 million. The potential loss or gain in fair value for such financial instruments from a hypothetical 10% adverse or favorable change in quoted currency exchange rates would be $288 million and $(265) million, respectively, as of June 30, 2025, exchange rates. The model assumes a parallel shift in currency exchange rates; however, currency exchange rates rarely move in the same direction. The assumption that currency exchange rates change in a parallel fashion may overstate the impact of changing currency exchange rates on assets and liabilities denominated in currencies other than the U.S. dollar.</w:t>
      </w:r>
    </w:p>
    <w:p>
      <w:pPr>
        <w:spacing w:after="0" w:line="109" w:lineRule="exact"/>
        <w:rPr>
          <w:sz w:val="20"/>
          <w:szCs w:val="20"/>
          <w:color w:val="auto"/>
        </w:rPr>
      </w:pPr>
    </w:p>
    <w:p>
      <w:pPr>
        <w:jc w:val="both"/>
        <w:ind w:firstLine="511"/>
        <w:spacing w:after="0" w:line="289" w:lineRule="auto"/>
        <w:rPr>
          <w:sz w:val="20"/>
          <w:szCs w:val="20"/>
          <w:color w:val="auto"/>
        </w:rPr>
      </w:pPr>
      <w:r>
        <w:rPr>
          <w:rFonts w:ascii="Times New Roman" w:cs="Times New Roman" w:eastAsia="Times New Roman" w:hAnsi="Times New Roman"/>
          <w:sz w:val="14"/>
          <w:szCs w:val="14"/>
          <w:color w:val="auto"/>
        </w:rPr>
        <w:t xml:space="preserve">There have been no other material changes to the Company’s quantitative and qualitative disclosures about interest rate or commodity price risks as disclosed in Part II, Item 7A, </w:t>
      </w:r>
      <w:r>
        <w:rPr>
          <w:rFonts w:ascii="Times New Roman" w:cs="Times New Roman" w:eastAsia="Times New Roman" w:hAnsi="Times New Roman"/>
          <w:sz w:val="14"/>
          <w:szCs w:val="14"/>
          <w:i w:val="1"/>
          <w:iCs w:val="1"/>
          <w:color w:val="auto"/>
        </w:rPr>
        <w:t>Quantitative and Qualitative Disclosures About Market Risks</w:t>
      </w:r>
      <w:r>
        <w:rPr>
          <w:rFonts w:ascii="Times New Roman" w:cs="Times New Roman" w:eastAsia="Times New Roman" w:hAnsi="Times New Roman"/>
          <w:sz w:val="14"/>
          <w:szCs w:val="14"/>
          <w:color w:val="auto"/>
        </w:rPr>
        <w:t>, in our 2024 Form 10-K.</w:t>
      </w:r>
    </w:p>
    <w:p>
      <w:pPr>
        <w:spacing w:after="0" w:line="200" w:lineRule="exact"/>
        <w:rPr>
          <w:sz w:val="20"/>
          <w:szCs w:val="20"/>
          <w:color w:val="auto"/>
        </w:rPr>
      </w:pPr>
    </w:p>
    <w:p>
      <w:pPr>
        <w:spacing w:after="0" w:line="2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6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conducted an evaluation of our disclosure controls and procedures, as such term is defined under Rule 13a-15(e) promulgated under the Exchange Act. Based on management’s evaluation, our Chief Executive Officer and Chief Financial Officer concluded that our disclosure controls and procedures were effective at the reasonable assurance level as of June 30, 2025.</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Rules 13a-15(f) and 15d-15(f) under the Exchange Act) that occurred during the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37" w:name="page38"/>
    <w:bookmarkEnd w:id="37"/>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are involved in various lawsuits, claims, and proceedings incident to the operation of our businesses, including those pertaining to product liability, product safety, environmental, safety and health, intellectual property, employment, commercial and contractual matters, and various other matters. Although the outcome of any such lawsuit, claim or proceeding cannot be predicted with certainty and some may be disposed of unfavorably to us, we do not currently believe that such lawsuits, claims, or proceedings will have a material adverse effect on our financial position, results of operations or cash flows. We accrue for potential liabilities in a manner consistent with accounting principles generally accepted in the United States. Accordingly, we accrue for a liability when it is probable that a liability has been incurred and the amount of the liability is reasonably estimable.</w:t>
      </w:r>
    </w:p>
    <w:p>
      <w:pPr>
        <w:spacing w:after="0" w:line="110" w:lineRule="exact"/>
        <w:rPr>
          <w:sz w:val="20"/>
          <w:szCs w:val="20"/>
          <w:color w:val="auto"/>
        </w:rPr>
      </w:pPr>
    </w:p>
    <w:p>
      <w:pPr>
        <w:jc w:val="both"/>
        <w:ind w:firstLine="307"/>
        <w:spacing w:after="0" w:line="292" w:lineRule="auto"/>
        <w:rPr>
          <w:sz w:val="20"/>
          <w:szCs w:val="20"/>
          <w:color w:val="auto"/>
        </w:rPr>
      </w:pPr>
      <w:r>
        <w:rPr>
          <w:rFonts w:ascii="Times New Roman" w:cs="Times New Roman" w:eastAsia="Times New Roman" w:hAnsi="Times New Roman"/>
          <w:sz w:val="14"/>
          <w:szCs w:val="14"/>
          <w:color w:val="auto"/>
        </w:rPr>
        <w:t xml:space="preserve">For additional information regarding our legal proceedings, see the discussion under Note 19,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of the Notes to the Consolidated Interim Financial Statements,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which is incorporated by reference into this Part II, Item 1.</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There have been no material changes to the risks described under "Risk Factors” in our 2024 Form 10-K. In addition to the other information set forth in this Quarterly Report on Form 10-Q, you should carefully consider the factors discussed under “Risk Factors” in our 2024 Form 10-K. These factors could materially adversely affect our business, financial condition, or results of operations, and could cause our actual results to differ materially from our historical results or the results contemplated by any forward-looking statements contained in this report.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6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On December 4, 2024, the Board of Directors authorized a $250 million share repurchase program valid from January 1, 2025, until December 31, 2025. The Company may repurchase shares from time to time under the program through various methods, including in open market transactions, block trades, privately negotiated transactions, and otherwise. The timing, as well as the number and value of shares repurchased under the program, will depend on a variety of factors. The Company is not obligated to purchase any shares under the repurchase program, and the program may be suspended, modified, or discontinued at any time without prior notice. The following table summarizes our share repurchase activity for the three months ended June 30, 2025, and additional information regarding our share repurchase program:</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Approximate Dollar</w:t>
            </w:r>
          </w:p>
        </w:tc>
        <w:tc>
          <w:tcPr>
            <w:tcW w:w="0" w:type="dxa"/>
            <w:vAlign w:val="bottom"/>
          </w:tcPr>
          <w:p>
            <w:pPr>
              <w:spacing w:after="0"/>
              <w:rPr>
                <w:sz w:val="1"/>
                <w:szCs w:val="1"/>
                <w:color w:val="auto"/>
              </w:rPr>
            </w:pPr>
          </w:p>
        </w:tc>
      </w:tr>
      <w:tr>
        <w:trPr>
          <w:trHeight w:val="117"/>
        </w:trPr>
        <w:tc>
          <w:tcPr>
            <w:tcW w:w="3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1"/>
                <w:szCs w:val="11"/>
                <w:b w:val="1"/>
                <w:bCs w:val="1"/>
                <w:color w:val="auto"/>
              </w:rPr>
              <w:t>Value of Shares that</w:t>
            </w:r>
          </w:p>
        </w:tc>
        <w:tc>
          <w:tcPr>
            <w:tcW w:w="0" w:type="dxa"/>
            <w:vAlign w:val="bottom"/>
          </w:tcPr>
          <w:p>
            <w:pPr>
              <w:spacing w:after="0"/>
              <w:rPr>
                <w:sz w:val="1"/>
                <w:szCs w:val="1"/>
                <w:color w:val="auto"/>
              </w:rPr>
            </w:pPr>
          </w:p>
        </w:tc>
      </w:tr>
      <w:tr>
        <w:trPr>
          <w:trHeight w:val="108"/>
        </w:trPr>
        <w:tc>
          <w:tcPr>
            <w:tcW w:w="3020" w:type="dxa"/>
            <w:vAlign w:val="bottom"/>
          </w:tcPr>
          <w:p>
            <w:pPr>
              <w:spacing w:after="0"/>
              <w:rPr>
                <w:sz w:val="9"/>
                <w:szCs w:val="9"/>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Shares Purchased</w:t>
            </w:r>
          </w:p>
        </w:tc>
        <w:tc>
          <w:tcPr>
            <w:tcW w:w="160" w:type="dxa"/>
            <w:vAlign w:val="bottom"/>
          </w:tcPr>
          <w:p>
            <w:pPr>
              <w:spacing w:after="0"/>
              <w:rPr>
                <w:sz w:val="9"/>
                <w:szCs w:val="9"/>
                <w:color w:val="auto"/>
              </w:rPr>
            </w:pPr>
          </w:p>
        </w:tc>
        <w:tc>
          <w:tcPr>
            <w:tcW w:w="860" w:type="dxa"/>
            <w:vAlign w:val="bottom"/>
          </w:tcPr>
          <w:p>
            <w:pPr>
              <w:ind w:left="60"/>
              <w:spacing w:after="0" w:line="109" w:lineRule="exact"/>
              <w:rPr>
                <w:sz w:val="20"/>
                <w:szCs w:val="20"/>
                <w:color w:val="auto"/>
              </w:rPr>
            </w:pPr>
            <w:r>
              <w:rPr>
                <w:rFonts w:ascii="Times New Roman" w:cs="Times New Roman" w:eastAsia="Times New Roman" w:hAnsi="Times New Roman"/>
                <w:sz w:val="11"/>
                <w:szCs w:val="11"/>
                <w:b w:val="1"/>
                <w:bCs w:val="1"/>
                <w:color w:val="auto"/>
              </w:rPr>
              <w:t>May Yet Be</w:t>
            </w:r>
          </w:p>
        </w:tc>
        <w:tc>
          <w:tcPr>
            <w:tcW w:w="0" w:type="dxa"/>
            <w:vAlign w:val="bottom"/>
          </w:tcPr>
          <w:p>
            <w:pPr>
              <w:spacing w:after="0"/>
              <w:rPr>
                <w:sz w:val="1"/>
                <w:szCs w:val="1"/>
                <w:color w:val="auto"/>
              </w:rPr>
            </w:pPr>
          </w:p>
        </w:tc>
      </w:tr>
      <w:tr>
        <w:trPr>
          <w:trHeight w:val="115"/>
        </w:trPr>
        <w:tc>
          <w:tcPr>
            <w:tcW w:w="30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Average Price</w:t>
            </w:r>
          </w:p>
        </w:tc>
        <w:tc>
          <w:tcPr>
            <w:tcW w:w="104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as Part of Publicly</w:t>
            </w:r>
          </w:p>
        </w:tc>
        <w:tc>
          <w:tcPr>
            <w:tcW w:w="1020" w:type="dxa"/>
            <w:vAlign w:val="bottom"/>
            <w:gridSpan w:val="2"/>
          </w:tcPr>
          <w:p>
            <w:pPr>
              <w:ind w:left="80"/>
              <w:spacing w:after="0" w:line="115" w:lineRule="exact"/>
              <w:rPr>
                <w:sz w:val="20"/>
                <w:szCs w:val="20"/>
                <w:color w:val="auto"/>
              </w:rPr>
            </w:pPr>
            <w:r>
              <w:rPr>
                <w:rFonts w:ascii="Times New Roman" w:cs="Times New Roman" w:eastAsia="Times New Roman" w:hAnsi="Times New Roman"/>
                <w:sz w:val="11"/>
                <w:szCs w:val="11"/>
                <w:b w:val="1"/>
                <w:bCs w:val="1"/>
                <w:color w:val="auto"/>
              </w:rPr>
              <w:t>Purchased Under</w:t>
            </w:r>
          </w:p>
        </w:tc>
        <w:tc>
          <w:tcPr>
            <w:tcW w:w="0" w:type="dxa"/>
            <w:vAlign w:val="bottom"/>
          </w:tcPr>
          <w:p>
            <w:pPr>
              <w:spacing w:after="0"/>
              <w:rPr>
                <w:sz w:val="1"/>
                <w:szCs w:val="1"/>
                <w:color w:val="auto"/>
              </w:rPr>
            </w:pPr>
          </w:p>
        </w:tc>
      </w:tr>
      <w:tr>
        <w:trPr>
          <w:trHeight w:val="117"/>
        </w:trPr>
        <w:tc>
          <w:tcPr>
            <w:tcW w:w="3020" w:type="dxa"/>
            <w:vAlign w:val="bottom"/>
            <w:vMerge w:val="restart"/>
          </w:tcPr>
          <w:p>
            <w:pPr>
              <w:ind w:left="130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0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1"/>
                <w:szCs w:val="11"/>
                <w:b w:val="1"/>
                <w:bCs w:val="1"/>
                <w:color w:val="auto"/>
              </w:rPr>
              <w:t>Common Shares</w:t>
            </w:r>
          </w:p>
        </w:tc>
        <w:tc>
          <w:tcPr>
            <w:tcW w:w="900" w:type="dxa"/>
            <w:vAlign w:val="bottom"/>
            <w:gridSpan w:val="3"/>
            <w:vMerge w:val="continue"/>
          </w:tcPr>
          <w:p>
            <w:pPr>
              <w:spacing w:after="0"/>
              <w:rPr>
                <w:sz w:val="10"/>
                <w:szCs w:val="10"/>
                <w:color w:val="auto"/>
              </w:rPr>
            </w:pPr>
          </w:p>
        </w:tc>
        <w:tc>
          <w:tcPr>
            <w:tcW w:w="104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1"/>
                <w:szCs w:val="11"/>
                <w:b w:val="1"/>
                <w:bCs w:val="1"/>
                <w:color w:val="auto"/>
              </w:rPr>
              <w:t>Announced Plan</w:t>
            </w:r>
          </w:p>
        </w:tc>
        <w:tc>
          <w:tcPr>
            <w:tcW w:w="160" w:type="dxa"/>
            <w:vAlign w:val="bottom"/>
          </w:tcPr>
          <w:p>
            <w:pPr>
              <w:spacing w:after="0"/>
              <w:rPr>
                <w:sz w:val="10"/>
                <w:szCs w:val="10"/>
                <w:color w:val="auto"/>
              </w:rPr>
            </w:pPr>
          </w:p>
        </w:tc>
        <w:tc>
          <w:tcPr>
            <w:tcW w:w="86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b w:val="1"/>
                <w:bCs w:val="1"/>
                <w:color w:val="auto"/>
              </w:rPr>
              <w:t>the Plan or</w:t>
            </w:r>
          </w:p>
        </w:tc>
        <w:tc>
          <w:tcPr>
            <w:tcW w:w="0" w:type="dxa"/>
            <w:vAlign w:val="bottom"/>
          </w:tcPr>
          <w:p>
            <w:pPr>
              <w:spacing w:after="0"/>
              <w:rPr>
                <w:sz w:val="1"/>
                <w:szCs w:val="1"/>
                <w:color w:val="auto"/>
              </w:rPr>
            </w:pPr>
          </w:p>
        </w:tc>
      </w:tr>
      <w:tr>
        <w:trPr>
          <w:trHeight w:val="160"/>
        </w:trPr>
        <w:tc>
          <w:tcPr>
            <w:tcW w:w="3020" w:type="dxa"/>
            <w:vAlign w:val="bottom"/>
            <w:vMerge w:val="continue"/>
          </w:tcPr>
          <w:p>
            <w:pPr>
              <w:spacing w:after="0"/>
              <w:rPr>
                <w:sz w:val="13"/>
                <w:szCs w:val="13"/>
                <w:color w:val="auto"/>
              </w:rPr>
            </w:pPr>
          </w:p>
        </w:tc>
        <w:tc>
          <w:tcPr>
            <w:tcW w:w="10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1"/>
                <w:szCs w:val="11"/>
                <w:b w:val="1"/>
                <w:bCs w:val="1"/>
                <w:color w:val="auto"/>
                <w:w w:val="98"/>
              </w:rPr>
              <w:t xml:space="preserve">Purchased </w:t>
            </w:r>
            <w:r>
              <w:rPr>
                <w:rFonts w:ascii="Times New Roman" w:cs="Times New Roman" w:eastAsia="Times New Roman" w:hAnsi="Times New Roman"/>
                <w:sz w:val="14"/>
                <w:szCs w:val="14"/>
                <w:b w:val="1"/>
                <w:bCs w:val="1"/>
                <w:color w:val="auto"/>
                <w:w w:val="98"/>
                <w:vertAlign w:val="superscript"/>
              </w:rPr>
              <w:t>(1)</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Paid per Share</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or Program</w:t>
            </w:r>
          </w:p>
        </w:tc>
        <w:tc>
          <w:tcPr>
            <w:tcW w:w="160" w:type="dxa"/>
            <w:vAlign w:val="bottom"/>
          </w:tcPr>
          <w:p>
            <w:pPr>
              <w:spacing w:after="0"/>
              <w:rPr>
                <w:sz w:val="13"/>
                <w:szCs w:val="13"/>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Program</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April 1, 2025 – April 30,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1,465,679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1,465,679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207,749,711</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1, 2025 – May 31, 2025</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207,253,171</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1, 2025 – June 30, 2025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875,714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875,714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198,305,673</w:t>
            </w:r>
          </w:p>
        </w:tc>
        <w:tc>
          <w:tcPr>
            <w:tcW w:w="0" w:type="dxa"/>
            <w:vAlign w:val="bottom"/>
          </w:tcPr>
          <w:p>
            <w:pPr>
              <w:spacing w:after="0"/>
              <w:rPr>
                <w:sz w:val="1"/>
                <w:szCs w:val="1"/>
                <w:color w:val="auto"/>
              </w:rPr>
            </w:pPr>
          </w:p>
        </w:tc>
      </w:tr>
      <w:tr>
        <w:trPr>
          <w:trHeight w:val="172"/>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2,391,300</w:t>
            </w:r>
          </w:p>
        </w:tc>
        <w:tc>
          <w:tcPr>
            <w:tcW w:w="120" w:type="dxa"/>
            <w:vAlign w:val="bottom"/>
          </w:tcPr>
          <w:p>
            <w:pPr>
              <w:spacing w:after="0"/>
              <w:rPr>
                <w:sz w:val="14"/>
                <w:szCs w:val="14"/>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2,391,300</w:t>
            </w:r>
          </w:p>
        </w:tc>
        <w:tc>
          <w:tcPr>
            <w:tcW w:w="100" w:type="dxa"/>
            <w:vAlign w:val="bottom"/>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198,305,673</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Excludes shares withheld to satisfy tax withholding obligations in connection with the vesting of equity awards.</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Other than the repurchases reflected in the table above, there were no purchases of equity securities by the issuer or affiliated purchasers during the quarter ended June 30, 2025.</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Agreements</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During the three months ended June 30, 2025, no director or Section 16 officer of the Company adopted or terminated a "Rule 10b5-1 trading agreement" or "non-Rule 10b5-1 trading agreement," as each term is defined in Item 408(a) of Regulation S-K.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4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4067175</wp:posOffset>
            </wp:positionH>
            <wp:positionV relativeFrom="paragraph">
              <wp:posOffset>26670</wp:posOffset>
            </wp:positionV>
            <wp:extent cx="244094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40940" cy="698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0"/>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20" w:type="dxa"/>
            <w:vAlign w:val="bottom"/>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49"/>
        </w:trPr>
        <w:tc>
          <w:tcPr>
            <w:tcW w:w="1020" w:type="dxa"/>
            <w:vAlign w:val="bottom"/>
            <w:tcBorders>
              <w:top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2"/>
                <w:szCs w:val="12"/>
                <w:color w:val="auto"/>
              </w:rPr>
            </w:pPr>
          </w:p>
        </w:tc>
        <w:tc>
          <w:tcPr>
            <w:tcW w:w="5180" w:type="dxa"/>
            <w:vAlign w:val="bottom"/>
            <w:tcBorders>
              <w:top w:val="single" w:sz="8" w:color="auto"/>
            </w:tcBorders>
            <w:gridSpan w:val="7"/>
          </w:tcPr>
          <w:p>
            <w:pPr>
              <w:spacing w:after="0" w:line="149" w:lineRule="exact"/>
              <w:rPr>
                <w:rFonts w:ascii="Times New Roman" w:cs="Times New Roman" w:eastAsia="Times New Roman" w:hAnsi="Times New Roman"/>
                <w:sz w:val="14"/>
                <w:szCs w:val="14"/>
                <w:color w:val="0000FF"/>
              </w:rPr>
            </w:pPr>
            <w:hyperlink r:id="rId66">
              <w:r>
                <w:rPr>
                  <w:rFonts w:ascii="Times New Roman" w:cs="Times New Roman" w:eastAsia="Times New Roman" w:hAnsi="Times New Roman"/>
                  <w:sz w:val="14"/>
                  <w:szCs w:val="14"/>
                  <w:color w:val="0000FF"/>
                </w:rPr>
                <w:t>Third Amended and Restated Certificate of Incorporation of Garrett Motion Inc., dated</w:t>
              </w:r>
            </w:hyperlink>
          </w:p>
        </w:tc>
      </w:tr>
      <w:tr>
        <w:trPr>
          <w:trHeight w:val="140"/>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0000FF"/>
              <w:bottom w:val="single" w:sz="8" w:color="0000FF"/>
            </w:tcBorders>
          </w:tcPr>
          <w:p>
            <w:pPr>
              <w:spacing w:after="0" w:line="140" w:lineRule="exact"/>
              <w:rPr>
                <w:rFonts w:ascii="Times New Roman" w:cs="Times New Roman" w:eastAsia="Times New Roman" w:hAnsi="Times New Roman"/>
                <w:sz w:val="14"/>
                <w:szCs w:val="14"/>
                <w:color w:val="0000FF"/>
                <w:w w:val="99"/>
              </w:rPr>
            </w:pPr>
            <w:hyperlink r:id="rId66">
              <w:r>
                <w:rPr>
                  <w:rFonts w:ascii="Times New Roman" w:cs="Times New Roman" w:eastAsia="Times New Roman" w:hAnsi="Times New Roman"/>
                  <w:sz w:val="14"/>
                  <w:szCs w:val="14"/>
                  <w:color w:val="0000FF"/>
                  <w:w w:val="99"/>
                </w:rPr>
                <w:t>May 29, 2024</w:t>
              </w:r>
            </w:hyperlink>
          </w:p>
        </w:tc>
        <w:tc>
          <w:tcPr>
            <w:tcW w:w="4160" w:type="dxa"/>
            <w:vAlign w:val="bottom"/>
            <w:tcBorders>
              <w:top w:val="single" w:sz="8" w:color="0000FF"/>
            </w:tcBorders>
            <w:gridSpan w:val="5"/>
          </w:tcPr>
          <w:p>
            <w:pPr>
              <w:spacing w:after="0"/>
              <w:rPr>
                <w:sz w:val="12"/>
                <w:szCs w:val="12"/>
                <w:color w:val="auto"/>
              </w:rPr>
            </w:pPr>
          </w:p>
        </w:tc>
        <w:tc>
          <w:tcPr>
            <w:tcW w:w="220" w:type="dxa"/>
            <w:vAlign w:val="bottom"/>
          </w:tcPr>
          <w:p>
            <w:pPr>
              <w:spacing w:after="0"/>
              <w:rPr>
                <w:sz w:val="12"/>
                <w:szCs w:val="12"/>
                <w:color w:val="auto"/>
              </w:rPr>
            </w:pPr>
          </w:p>
        </w:tc>
      </w:tr>
      <w:tr>
        <w:trPr>
          <w:trHeight w:val="182"/>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470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rPr>
            </w:pPr>
            <w:hyperlink r:id="rId67">
              <w:r>
                <w:rPr>
                  <w:rFonts w:ascii="Times New Roman" w:cs="Times New Roman" w:eastAsia="Times New Roman" w:hAnsi="Times New Roman"/>
                  <w:sz w:val="14"/>
                  <w:szCs w:val="14"/>
                  <w:color w:val="0000FF"/>
                </w:rPr>
                <w:t>Fifth Amended and Restated By-Laws of Garrett Motion Inc., dated May 29, 2024</w:t>
              </w:r>
            </w:hyperlink>
          </w:p>
        </w:tc>
        <w:tc>
          <w:tcPr>
            <w:tcW w:w="480" w:type="dxa"/>
            <w:vAlign w:val="bottom"/>
            <w:gridSpan w:val="4"/>
          </w:tcPr>
          <w:p>
            <w:pPr>
              <w:spacing w:after="0"/>
              <w:rPr>
                <w:sz w:val="15"/>
                <w:szCs w:val="15"/>
                <w:color w:val="auto"/>
              </w:rPr>
            </w:pPr>
          </w:p>
        </w:tc>
      </w:tr>
      <w:tr>
        <w:trPr>
          <w:trHeight w:val="204"/>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7"/>
                <w:szCs w:val="17"/>
                <w:color w:val="auto"/>
              </w:rPr>
            </w:pPr>
          </w:p>
        </w:tc>
        <w:tc>
          <w:tcPr>
            <w:tcW w:w="5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Certification of Principal Executive Officer Pursuant to Rules 13a-14(a) and 15d-14(a)</w:t>
            </w:r>
          </w:p>
        </w:tc>
      </w:tr>
      <w:tr>
        <w:trPr>
          <w:trHeight w:val="140"/>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40" w:type="dxa"/>
            <w:vAlign w:val="bottom"/>
            <w:tcBorders>
              <w:top w:val="single" w:sz="8" w:color="auto"/>
            </w:tcBorders>
            <w:gridSpan w:val="5"/>
          </w:tcPr>
          <w:p>
            <w:pPr>
              <w:spacing w:after="0" w:line="140" w:lineRule="exact"/>
              <w:rPr>
                <w:sz w:val="20"/>
                <w:szCs w:val="20"/>
                <w:color w:val="auto"/>
              </w:rPr>
            </w:pPr>
            <w:r>
              <w:rPr>
                <w:rFonts w:ascii="Times New Roman" w:cs="Times New Roman" w:eastAsia="Times New Roman" w:hAnsi="Times New Roman"/>
                <w:sz w:val="14"/>
                <w:szCs w:val="14"/>
                <w:color w:val="auto"/>
              </w:rPr>
              <w:t>under the Securities Exchange Act of 1934, as Adopted Pursuant to Section 302 of the</w:t>
            </w:r>
          </w:p>
        </w:tc>
        <w:tc>
          <w:tcPr>
            <w:tcW w:w="240" w:type="dxa"/>
            <w:vAlign w:val="bottom"/>
            <w:gridSpan w:val="2"/>
          </w:tcPr>
          <w:p>
            <w:pPr>
              <w:spacing w:after="0"/>
              <w:rPr>
                <w:sz w:val="12"/>
                <w:szCs w:val="12"/>
                <w:color w:val="auto"/>
              </w:rPr>
            </w:pPr>
          </w:p>
        </w:tc>
      </w:tr>
      <w:tr>
        <w:trPr>
          <w:trHeight w:val="140"/>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00" w:type="dxa"/>
            <w:vAlign w:val="bottom"/>
            <w:tcBorders>
              <w:top w:val="single" w:sz="8" w:color="auto"/>
            </w:tcBorders>
            <w:gridSpan w:val="4"/>
          </w:tcPr>
          <w:p>
            <w:pPr>
              <w:spacing w:after="0" w:line="140" w:lineRule="exact"/>
              <w:rPr>
                <w:sz w:val="20"/>
                <w:szCs w:val="20"/>
                <w:color w:val="auto"/>
              </w:rPr>
            </w:pPr>
            <w:r>
              <w:rPr>
                <w:rFonts w:ascii="Times New Roman" w:cs="Times New Roman" w:eastAsia="Times New Roman" w:hAnsi="Times New Roman"/>
                <w:sz w:val="14"/>
                <w:szCs w:val="14"/>
                <w:color w:val="auto"/>
              </w:rPr>
              <w:t>Sarbanes-Oxley Act of 2002.</w:t>
            </w:r>
          </w:p>
        </w:tc>
        <w:tc>
          <w:tcPr>
            <w:tcW w:w="280" w:type="dxa"/>
            <w:vAlign w:val="bottom"/>
            <w:gridSpan w:val="3"/>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8"/>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980" w:type="dxa"/>
            <w:vAlign w:val="bottom"/>
          </w:tcPr>
          <w:p>
            <w:pPr>
              <w:jc w:val="center"/>
              <w:ind w:left="119"/>
              <w:spacing w:after="0"/>
              <w:rPr>
                <w:sz w:val="20"/>
                <w:szCs w:val="20"/>
                <w:color w:val="auto"/>
              </w:rPr>
            </w:pPr>
            <w:r>
              <w:rPr>
                <w:rFonts w:ascii="Times New Roman" w:cs="Times New Roman" w:eastAsia="Times New Roman" w:hAnsi="Times New Roman"/>
                <w:sz w:val="11"/>
                <w:szCs w:val="11"/>
                <w:b w:val="1"/>
                <w:bCs w:val="1"/>
                <w:color w:val="auto"/>
              </w:rPr>
              <w:t>Filed/ Furnished</w:t>
            </w:r>
          </w:p>
        </w:tc>
      </w:tr>
      <w:tr>
        <w:trPr>
          <w:trHeight w:val="170"/>
        </w:trPr>
        <w:tc>
          <w:tcPr>
            <w:tcW w:w="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c>
          <w:tcPr>
            <w:tcW w:w="980" w:type="dxa"/>
            <w:vAlign w:val="bottom"/>
          </w:tcPr>
          <w:p>
            <w:pPr>
              <w:jc w:val="center"/>
              <w:ind w:left="99"/>
              <w:spacing w:after="0"/>
              <w:rPr>
                <w:sz w:val="20"/>
                <w:szCs w:val="20"/>
                <w:color w:val="auto"/>
              </w:rPr>
            </w:pPr>
            <w:r>
              <w:rPr>
                <w:rFonts w:ascii="Times New Roman" w:cs="Times New Roman" w:eastAsia="Times New Roman" w:hAnsi="Times New Roman"/>
                <w:sz w:val="11"/>
                <w:szCs w:val="11"/>
                <w:b w:val="1"/>
                <w:bCs w:val="1"/>
                <w:color w:val="auto"/>
              </w:rPr>
              <w:t>Herewith</w:t>
            </w:r>
          </w:p>
        </w:tc>
      </w:tr>
      <w:tr>
        <w:trPr>
          <w:trHeight w:val="191"/>
        </w:trPr>
        <w:tc>
          <w:tcPr>
            <w:tcW w:w="7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07/25/2024</w:t>
            </w:r>
          </w:p>
        </w:tc>
        <w:tc>
          <w:tcPr>
            <w:tcW w:w="980" w:type="dxa"/>
            <w:vAlign w:val="bottom"/>
          </w:tcPr>
          <w:p>
            <w:pPr>
              <w:spacing w:after="0"/>
              <w:rPr>
                <w:sz w:val="16"/>
                <w:szCs w:val="16"/>
                <w:color w:val="auto"/>
              </w:rPr>
            </w:pPr>
          </w:p>
        </w:tc>
      </w:tr>
      <w:tr>
        <w:trPr>
          <w:trHeight w:val="362"/>
        </w:trPr>
        <w:tc>
          <w:tcPr>
            <w:tcW w:w="7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001-38636</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3.2</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07/25/2024</w:t>
            </w:r>
          </w:p>
        </w:tc>
        <w:tc>
          <w:tcPr>
            <w:tcW w:w="980" w:type="dxa"/>
            <w:vAlign w:val="bottom"/>
          </w:tcPr>
          <w:p>
            <w:pPr>
              <w:spacing w:after="0"/>
              <w:rPr>
                <w:sz w:val="24"/>
                <w:szCs w:val="24"/>
                <w:color w:val="auto"/>
              </w:rPr>
            </w:pPr>
          </w:p>
        </w:tc>
      </w:tr>
      <w:tr>
        <w:trPr>
          <w:trHeight w:val="202"/>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jc w:val="center"/>
              <w:ind w:left="99"/>
              <w:spacing w:after="0"/>
              <w:rPr>
                <w:sz w:val="20"/>
                <w:szCs w:val="20"/>
                <w:color w:val="auto"/>
              </w:rPr>
            </w:pPr>
            <w:r>
              <w:rPr>
                <w:rFonts w:ascii="Times New Roman" w:cs="Times New Roman" w:eastAsia="Times New Roman" w:hAnsi="Times New Roman"/>
                <w:sz w:val="14"/>
                <w:szCs w:val="14"/>
                <w:color w:val="auto"/>
                <w:w w:val="85"/>
              </w:rPr>
              <w:t>*</w:t>
            </w:r>
          </w:p>
        </w:tc>
      </w:tr>
    </w:tbl>
    <w:p>
      <w:pPr>
        <w:spacing w:after="0" w:line="358" w:lineRule="exact"/>
        <w:rPr>
          <w:sz w:val="20"/>
          <w:szCs w:val="20"/>
          <w:color w:val="auto"/>
        </w:rPr>
      </w:pPr>
    </w:p>
    <w:p>
      <w:pPr>
        <w:sectPr>
          <w:pgSz w:w="11900" w:h="16838" w:orient="portrait"/>
          <w:cols w:equalWidth="0" w:num="2">
            <w:col w:w="6300" w:space="100"/>
            <w:col w:w="4880"/>
          </w:cols>
          <w:pgMar w:left="300" w:top="900" w:right="319" w:bottom="1440" w:gutter="0" w:footer="0" w:header="0"/>
          <w:type w:val="continuous"/>
        </w:sectPr>
      </w:pPr>
    </w:p>
    <w:tbl>
      <w:tblPr>
        <w:tblLayout w:type="fixed"/>
        <w:tblInd w:w="20" w:type="dxa"/>
        <w:tblCellMar>
          <w:top w:w="0" w:type="dxa"/>
          <w:left w:w="0" w:type="dxa"/>
          <w:bottom w:w="0" w:type="dxa"/>
          <w:right w:w="0" w:type="dxa"/>
        </w:tblCellMar>
      </w:tblPr>
      <w:tr>
        <w:trPr>
          <w:trHeight w:val="164"/>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74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Certification of Principal Financial Officer Pursuant to Rules 13a-14(a) and 15d-14(a)</w:t>
            </w:r>
          </w:p>
        </w:tc>
        <w:tc>
          <w:tcPr>
            <w:tcW w:w="2360" w:type="dxa"/>
            <w:vAlign w:val="bottom"/>
          </w:tcPr>
          <w:p>
            <w:pPr>
              <w:jc w:val="center"/>
              <w:ind w:left="2149"/>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0"/>
        </w:trPr>
        <w:tc>
          <w:tcPr>
            <w:tcW w:w="1100" w:type="dxa"/>
            <w:vAlign w:val="bottom"/>
          </w:tcPr>
          <w:p>
            <w:pPr>
              <w:spacing w:after="0"/>
              <w:rPr>
                <w:sz w:val="12"/>
                <w:szCs w:val="12"/>
                <w:color w:val="auto"/>
              </w:rPr>
            </w:pPr>
          </w:p>
        </w:tc>
        <w:tc>
          <w:tcPr>
            <w:tcW w:w="4900" w:type="dxa"/>
            <w:vAlign w:val="bottom"/>
            <w:tcBorders>
              <w:top w:val="single" w:sz="8" w:color="auto"/>
              <w:bottom w:val="single" w:sz="8" w:color="auto"/>
            </w:tcBorders>
            <w:gridSpan w:val="5"/>
          </w:tcPr>
          <w:p>
            <w:pPr>
              <w:spacing w:after="0" w:line="140" w:lineRule="exact"/>
              <w:rPr>
                <w:sz w:val="20"/>
                <w:szCs w:val="20"/>
                <w:color w:val="auto"/>
              </w:rPr>
            </w:pPr>
            <w:r>
              <w:rPr>
                <w:rFonts w:ascii="Times New Roman" w:cs="Times New Roman" w:eastAsia="Times New Roman" w:hAnsi="Times New Roman"/>
                <w:sz w:val="14"/>
                <w:szCs w:val="14"/>
                <w:color w:val="auto"/>
              </w:rPr>
              <w:t>under the Securities Exchange Act of 1934, as Adopted Pursuant to Section 302 of the</w:t>
            </w:r>
          </w:p>
        </w:tc>
        <w:tc>
          <w:tcPr>
            <w:tcW w:w="20" w:type="dxa"/>
            <w:vAlign w:val="bottom"/>
            <w:tcBorders>
              <w:bottom w:val="single" w:sz="8" w:color="auto"/>
            </w:tcBorders>
          </w:tcPr>
          <w:p>
            <w:pPr>
              <w:spacing w:after="0"/>
              <w:rPr>
                <w:sz w:val="12"/>
                <w:szCs w:val="12"/>
                <w:color w:val="auto"/>
              </w:rPr>
            </w:pPr>
          </w:p>
        </w:tc>
        <w:tc>
          <w:tcPr>
            <w:tcW w:w="24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00" w:type="dxa"/>
            <w:vAlign w:val="bottom"/>
          </w:tcPr>
          <w:p>
            <w:pPr>
              <w:spacing w:after="0"/>
              <w:rPr>
                <w:sz w:val="12"/>
                <w:szCs w:val="12"/>
                <w:color w:val="auto"/>
              </w:rPr>
            </w:pPr>
          </w:p>
        </w:tc>
        <w:tc>
          <w:tcPr>
            <w:tcW w:w="4920" w:type="dxa"/>
            <w:vAlign w:val="bottom"/>
            <w:gridSpan w:val="6"/>
          </w:tcPr>
          <w:p>
            <w:pPr>
              <w:spacing w:after="0" w:line="140" w:lineRule="exact"/>
              <w:rPr>
                <w:sz w:val="20"/>
                <w:szCs w:val="20"/>
                <w:color w:val="auto"/>
              </w:rPr>
            </w:pPr>
            <w:r>
              <w:rPr>
                <w:rFonts w:ascii="Times New Roman" w:cs="Times New Roman" w:eastAsia="Times New Roman" w:hAnsi="Times New Roman"/>
                <w:sz w:val="14"/>
                <w:szCs w:val="14"/>
                <w:color w:val="auto"/>
              </w:rPr>
              <w:t>Sarbanes-Oxley Act of 2002.</w:t>
            </w:r>
          </w:p>
        </w:tc>
        <w:tc>
          <w:tcPr>
            <w:tcW w:w="24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32.1</w:t>
            </w:r>
          </w:p>
        </w:tc>
        <w:tc>
          <w:tcPr>
            <w:tcW w:w="16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360" w:type="dxa"/>
            <w:vAlign w:val="bottom"/>
            <w:vMerge w:val="restart"/>
          </w:tcPr>
          <w:p>
            <w:pPr>
              <w:jc w:val="center"/>
              <w:ind w:left="214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line="20" w:lineRule="exact"/>
              <w:rPr>
                <w:sz w:val="1"/>
                <w:szCs w:val="1"/>
                <w:color w:val="auto"/>
              </w:rPr>
            </w:pPr>
          </w:p>
        </w:tc>
      </w:tr>
      <w:tr>
        <w:trPr>
          <w:trHeight w:val="204"/>
        </w:trPr>
        <w:tc>
          <w:tcPr>
            <w:tcW w:w="1100" w:type="dxa"/>
            <w:vAlign w:val="bottom"/>
            <w:vMerge w:val="continue"/>
          </w:tcPr>
          <w:p>
            <w:pPr>
              <w:spacing w:after="0"/>
              <w:rPr>
                <w:sz w:val="17"/>
                <w:szCs w:val="17"/>
                <w:color w:val="auto"/>
              </w:rPr>
            </w:pPr>
          </w:p>
        </w:tc>
        <w:tc>
          <w:tcPr>
            <w:tcW w:w="74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Certification of Principal Executive Officer Pursuant to 18 U.S.C. Section 1350, as</w:t>
            </w: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100" w:type="dxa"/>
            <w:vAlign w:val="bottom"/>
          </w:tcPr>
          <w:p>
            <w:pPr>
              <w:spacing w:after="0"/>
              <w:rPr>
                <w:sz w:val="12"/>
                <w:szCs w:val="12"/>
                <w:color w:val="auto"/>
              </w:rPr>
            </w:pPr>
          </w:p>
        </w:tc>
        <w:tc>
          <w:tcPr>
            <w:tcW w:w="3940" w:type="dxa"/>
            <w:vAlign w:val="bottom"/>
            <w:tcBorders>
              <w:top w:val="single" w:sz="8" w:color="auto"/>
              <w:bottom w:val="single" w:sz="8" w:color="auto"/>
            </w:tcBorders>
            <w:gridSpan w:val="2"/>
          </w:tcPr>
          <w:p>
            <w:pPr>
              <w:spacing w:after="0" w:line="140" w:lineRule="exact"/>
              <w:rPr>
                <w:sz w:val="20"/>
                <w:szCs w:val="20"/>
                <w:color w:val="auto"/>
              </w:rPr>
            </w:pPr>
            <w:r>
              <w:rPr>
                <w:rFonts w:ascii="Times New Roman" w:cs="Times New Roman" w:eastAsia="Times New Roman" w:hAnsi="Times New Roman"/>
                <w:sz w:val="14"/>
                <w:szCs w:val="14"/>
                <w:color w:val="auto"/>
              </w:rPr>
              <w:t>Adopted Pursuant to Section 906 of the Sarbanes-Oxley Act of 2002.</w:t>
            </w:r>
          </w:p>
        </w:tc>
        <w:tc>
          <w:tcPr>
            <w:tcW w:w="780" w:type="dxa"/>
            <w:vAlign w:val="bottom"/>
            <w:tcBorders>
              <w:top w:val="single" w:sz="8" w:color="auto"/>
            </w:tcBorders>
            <w:gridSpan w:val="2"/>
          </w:tcPr>
          <w:p>
            <w:pPr>
              <w:spacing w:after="0"/>
              <w:rPr>
                <w:sz w:val="12"/>
                <w:szCs w:val="12"/>
                <w:color w:val="auto"/>
              </w:rPr>
            </w:pPr>
          </w:p>
        </w:tc>
        <w:tc>
          <w:tcPr>
            <w:tcW w:w="2680" w:type="dxa"/>
            <w:vAlign w:val="bottom"/>
            <w:gridSpan w:val="3"/>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74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Certification of Principal Financial Officer Pursuant to 18 U.S.C. Section 1350, as</w:t>
            </w:r>
          </w:p>
        </w:tc>
        <w:tc>
          <w:tcPr>
            <w:tcW w:w="2360" w:type="dxa"/>
            <w:vAlign w:val="bottom"/>
          </w:tcPr>
          <w:p>
            <w:pPr>
              <w:jc w:val="center"/>
              <w:ind w:left="214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0"/>
        </w:trPr>
        <w:tc>
          <w:tcPr>
            <w:tcW w:w="1100" w:type="dxa"/>
            <w:vAlign w:val="bottom"/>
          </w:tcPr>
          <w:p>
            <w:pPr>
              <w:spacing w:after="0"/>
              <w:rPr>
                <w:sz w:val="12"/>
                <w:szCs w:val="12"/>
                <w:color w:val="auto"/>
              </w:rPr>
            </w:pPr>
          </w:p>
        </w:tc>
        <w:tc>
          <w:tcPr>
            <w:tcW w:w="3940" w:type="dxa"/>
            <w:vAlign w:val="bottom"/>
            <w:tcBorders>
              <w:top w:val="single" w:sz="8" w:color="auto"/>
              <w:bottom w:val="single" w:sz="8" w:color="auto"/>
            </w:tcBorders>
            <w:gridSpan w:val="2"/>
          </w:tcPr>
          <w:p>
            <w:pPr>
              <w:spacing w:after="0" w:line="140" w:lineRule="exact"/>
              <w:rPr>
                <w:sz w:val="20"/>
                <w:szCs w:val="20"/>
                <w:color w:val="auto"/>
              </w:rPr>
            </w:pPr>
            <w:r>
              <w:rPr>
                <w:rFonts w:ascii="Times New Roman" w:cs="Times New Roman" w:eastAsia="Times New Roman" w:hAnsi="Times New Roman"/>
                <w:sz w:val="14"/>
                <w:szCs w:val="14"/>
                <w:color w:val="auto"/>
              </w:rPr>
              <w:t>Adopted Pursuant to Section 906 of the Sarbanes-Oxley Act of 2002.</w:t>
            </w:r>
          </w:p>
        </w:tc>
        <w:tc>
          <w:tcPr>
            <w:tcW w:w="740" w:type="dxa"/>
            <w:vAlign w:val="bottom"/>
            <w:tcBorders>
              <w:top w:val="single" w:sz="8" w:color="auto"/>
            </w:tcBorders>
          </w:tcPr>
          <w:p>
            <w:pPr>
              <w:spacing w:after="0"/>
              <w:rPr>
                <w:sz w:val="12"/>
                <w:szCs w:val="12"/>
                <w:color w:val="auto"/>
              </w:rPr>
            </w:pPr>
          </w:p>
        </w:tc>
        <w:tc>
          <w:tcPr>
            <w:tcW w:w="2720" w:type="dxa"/>
            <w:vAlign w:val="bottom"/>
            <w:gridSpan w:val="4"/>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74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following financial information from the Company's Quarterly Report on Form 10-Q</w:t>
            </w:r>
          </w:p>
        </w:tc>
        <w:tc>
          <w:tcPr>
            <w:tcW w:w="2360" w:type="dxa"/>
            <w:vAlign w:val="bottom"/>
          </w:tcPr>
          <w:p>
            <w:pPr>
              <w:jc w:val="center"/>
              <w:ind w:left="2149"/>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0"/>
        </w:trPr>
        <w:tc>
          <w:tcPr>
            <w:tcW w:w="1100" w:type="dxa"/>
            <w:vAlign w:val="bottom"/>
          </w:tcPr>
          <w:p>
            <w:pPr>
              <w:spacing w:after="0"/>
              <w:rPr>
                <w:sz w:val="13"/>
                <w:szCs w:val="13"/>
                <w:color w:val="auto"/>
              </w:rPr>
            </w:pPr>
          </w:p>
        </w:tc>
        <w:tc>
          <w:tcPr>
            <w:tcW w:w="7400" w:type="dxa"/>
            <w:vAlign w:val="bottom"/>
            <w:gridSpan w:val="7"/>
          </w:tcPr>
          <w:p>
            <w:pPr>
              <w:spacing w:after="0" w:line="160" w:lineRule="exact"/>
              <w:rPr>
                <w:sz w:val="20"/>
                <w:szCs w:val="20"/>
                <w:color w:val="auto"/>
              </w:rPr>
            </w:pPr>
            <w:r>
              <w:rPr>
                <w:rFonts w:ascii="Times New Roman" w:cs="Times New Roman" w:eastAsia="Times New Roman" w:hAnsi="Times New Roman"/>
                <w:sz w:val="14"/>
                <w:szCs w:val="14"/>
                <w:color w:val="auto"/>
              </w:rPr>
              <w:t>for the quarter ended June 30, 2025, formatted in Inline Extensible Business Reporting</w:t>
            </w: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0" w:type="dxa"/>
            <w:vAlign w:val="bottom"/>
          </w:tcPr>
          <w:p>
            <w:pPr>
              <w:spacing w:after="0"/>
              <w:rPr>
                <w:sz w:val="13"/>
                <w:szCs w:val="13"/>
                <w:color w:val="auto"/>
              </w:rPr>
            </w:pPr>
          </w:p>
        </w:tc>
        <w:tc>
          <w:tcPr>
            <w:tcW w:w="7400" w:type="dxa"/>
            <w:vAlign w:val="bottom"/>
            <w:gridSpan w:val="7"/>
          </w:tcPr>
          <w:p>
            <w:pPr>
              <w:spacing w:after="0" w:line="160" w:lineRule="exact"/>
              <w:rPr>
                <w:sz w:val="20"/>
                <w:szCs w:val="20"/>
                <w:color w:val="auto"/>
              </w:rPr>
            </w:pPr>
            <w:r>
              <w:rPr>
                <w:rFonts w:ascii="Times New Roman" w:cs="Times New Roman" w:eastAsia="Times New Roman" w:hAnsi="Times New Roman"/>
                <w:sz w:val="14"/>
                <w:szCs w:val="14"/>
                <w:color w:val="auto"/>
              </w:rPr>
              <w:t>Language (iXBRL) includes: (i) the Consolidated Interim Statements of Operations, (ii)</w:t>
            </w: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0" w:type="dxa"/>
            <w:vAlign w:val="bottom"/>
          </w:tcPr>
          <w:p>
            <w:pPr>
              <w:spacing w:after="0"/>
              <w:rPr>
                <w:sz w:val="13"/>
                <w:szCs w:val="13"/>
                <w:color w:val="auto"/>
              </w:rPr>
            </w:pPr>
          </w:p>
        </w:tc>
        <w:tc>
          <w:tcPr>
            <w:tcW w:w="7400" w:type="dxa"/>
            <w:vAlign w:val="bottom"/>
            <w:gridSpan w:val="7"/>
          </w:tcPr>
          <w:p>
            <w:pPr>
              <w:spacing w:after="0" w:line="160" w:lineRule="exact"/>
              <w:rPr>
                <w:sz w:val="20"/>
                <w:szCs w:val="20"/>
                <w:color w:val="auto"/>
              </w:rPr>
            </w:pPr>
            <w:r>
              <w:rPr>
                <w:rFonts w:ascii="Times New Roman" w:cs="Times New Roman" w:eastAsia="Times New Roman" w:hAnsi="Times New Roman"/>
                <w:sz w:val="14"/>
                <w:szCs w:val="14"/>
                <w:color w:val="auto"/>
              </w:rPr>
              <w:t>the Consolidated Interim Statements of Comprehensive Income, (iii) the Consolidated</w:t>
            </w: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00" w:type="dxa"/>
            <w:vAlign w:val="bottom"/>
          </w:tcPr>
          <w:p>
            <w:pPr>
              <w:spacing w:after="0"/>
              <w:rPr>
                <w:sz w:val="14"/>
                <w:szCs w:val="14"/>
                <w:color w:val="auto"/>
              </w:rPr>
            </w:pPr>
          </w:p>
        </w:tc>
        <w:tc>
          <w:tcPr>
            <w:tcW w:w="74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Interim Balance Sheets, (iv) the Consolidated Interim Statements of Cash Flows, (v) the</w:t>
            </w: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00" w:type="dxa"/>
            <w:vAlign w:val="bottom"/>
          </w:tcPr>
          <w:p>
            <w:pPr>
              <w:spacing w:after="0"/>
              <w:rPr>
                <w:sz w:val="13"/>
                <w:szCs w:val="13"/>
                <w:color w:val="auto"/>
              </w:rPr>
            </w:pPr>
          </w:p>
        </w:tc>
        <w:tc>
          <w:tcPr>
            <w:tcW w:w="7400" w:type="dxa"/>
            <w:vAlign w:val="bottom"/>
            <w:gridSpan w:val="7"/>
          </w:tcPr>
          <w:p>
            <w:pPr>
              <w:spacing w:after="0" w:line="160" w:lineRule="exact"/>
              <w:rPr>
                <w:sz w:val="20"/>
                <w:szCs w:val="20"/>
                <w:color w:val="auto"/>
              </w:rPr>
            </w:pPr>
            <w:r>
              <w:rPr>
                <w:rFonts w:ascii="Times New Roman" w:cs="Times New Roman" w:eastAsia="Times New Roman" w:hAnsi="Times New Roman"/>
                <w:sz w:val="14"/>
                <w:szCs w:val="14"/>
                <w:color w:val="auto"/>
              </w:rPr>
              <w:t>Consolidated Interim Statements of Equity (Deficit) and (vi) Notes to the Consolidated</w:t>
            </w: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00" w:type="dxa"/>
            <w:vAlign w:val="bottom"/>
          </w:tcPr>
          <w:p>
            <w:pPr>
              <w:spacing w:after="0"/>
              <w:rPr>
                <w:sz w:val="16"/>
                <w:szCs w:val="16"/>
                <w:color w:val="auto"/>
              </w:rPr>
            </w:pPr>
          </w:p>
        </w:tc>
        <w:tc>
          <w:tcPr>
            <w:tcW w:w="74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Interim Financial Statements</w:t>
            </w: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74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c>
          <w:tcPr>
            <w:tcW w:w="2360" w:type="dxa"/>
            <w:vAlign w:val="bottom"/>
          </w:tcPr>
          <w:p>
            <w:pPr>
              <w:jc w:val="center"/>
              <w:ind w:left="2149"/>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95250</wp:posOffset>
            </wp:positionV>
            <wp:extent cx="85217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852170" cy="6985"/>
                    </a:xfrm>
                    <a:prstGeom prst="rect">
                      <a:avLst/>
                    </a:prstGeom>
                    <a:noFill/>
                  </pic:spPr>
                </pic:pic>
              </a:graphicData>
            </a:graphic>
          </wp:anchor>
        </w:drawing>
      </w:r>
    </w:p>
    <w:p>
      <w:pPr>
        <w:spacing w:after="0" w:line="253" w:lineRule="exact"/>
        <w:rPr>
          <w:sz w:val="20"/>
          <w:szCs w:val="20"/>
          <w:color w:val="auto"/>
        </w:rPr>
      </w:pPr>
    </w:p>
    <w:p>
      <w:pPr>
        <w:ind w:left="820" w:hanging="494"/>
        <w:spacing w:after="0"/>
        <w:tabs>
          <w:tab w:leader="none" w:pos="8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37" w:lineRule="exact"/>
        <w:rPr>
          <w:sz w:val="20"/>
          <w:szCs w:val="20"/>
          <w:color w:val="auto"/>
        </w:rPr>
      </w:pPr>
    </w:p>
    <w:p>
      <w:pPr>
        <w:ind w:left="820" w:hanging="494"/>
        <w:spacing w:after="0"/>
        <w:tabs>
          <w:tab w:leader="none" w:pos="8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37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178435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type w:val="continuous"/>
        </w:sectPr>
      </w:pPr>
    </w:p>
    <w:bookmarkStart w:id="39" w:name="page40"/>
    <w:bookmarkEnd w:id="39"/>
    <w:p>
      <w:pPr>
        <w:ind w:left="50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Garrett Motion Inc.</w:t>
      </w:r>
    </w:p>
    <w:p>
      <w:pPr>
        <w:spacing w:after="0" w:line="254" w:lineRule="exact"/>
        <w:rPr>
          <w:sz w:val="20"/>
          <w:szCs w:val="20"/>
          <w:color w:val="auto"/>
        </w:rPr>
      </w:pPr>
    </w:p>
    <w:p>
      <w:pPr>
        <w:spacing w:after="0"/>
        <w:tabs>
          <w:tab w:leader="none" w:pos="5020" w:val="left"/>
          <w:tab w:leader="none" w:pos="7880" w:val="left"/>
        </w:tabs>
        <w:rPr>
          <w:sz w:val="20"/>
          <w:szCs w:val="20"/>
          <w:color w:val="auto"/>
        </w:rPr>
      </w:pPr>
      <w:r>
        <w:rPr>
          <w:rFonts w:ascii="Times New Roman" w:cs="Times New Roman" w:eastAsia="Times New Roman" w:hAnsi="Times New Roman"/>
          <w:sz w:val="14"/>
          <w:szCs w:val="14"/>
          <w:color w:val="auto"/>
        </w:rPr>
        <w:t>Date: July 24,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Olivier Rabiller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22225</wp:posOffset>
            </wp:positionV>
            <wp:extent cx="346392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463925" cy="6985"/>
                    </a:xfrm>
                    <a:prstGeom prst="rect">
                      <a:avLst/>
                    </a:prstGeom>
                    <a:noFill/>
                  </pic:spPr>
                </pic:pic>
              </a:graphicData>
            </a:graphic>
          </wp:anchor>
        </w:drawing>
      </w:r>
    </w:p>
    <w:p>
      <w:pPr>
        <w:spacing w:after="0" w:line="30"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Olivier Rabiller</w:t>
      </w:r>
    </w:p>
    <w:p>
      <w:pPr>
        <w:spacing w:after="0" w:line="41"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56" w:lineRule="exact"/>
        <w:rPr>
          <w:sz w:val="20"/>
          <w:szCs w:val="20"/>
          <w:color w:val="auto"/>
        </w:rPr>
      </w:pPr>
    </w:p>
    <w:p>
      <w:pPr>
        <w:spacing w:after="0"/>
        <w:tabs>
          <w:tab w:leader="none" w:pos="5020" w:val="left"/>
          <w:tab w:leader="none" w:pos="7960" w:val="left"/>
        </w:tabs>
        <w:rPr>
          <w:sz w:val="20"/>
          <w:szCs w:val="20"/>
          <w:color w:val="auto"/>
        </w:rPr>
      </w:pPr>
      <w:r>
        <w:rPr>
          <w:rFonts w:ascii="Times New Roman" w:cs="Times New Roman" w:eastAsia="Times New Roman" w:hAnsi="Times New Roman"/>
          <w:sz w:val="14"/>
          <w:szCs w:val="14"/>
          <w:color w:val="auto"/>
        </w:rPr>
        <w:t>Date: July 24,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22225</wp:posOffset>
            </wp:positionV>
            <wp:extent cx="346392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463925" cy="6985"/>
                    </a:xfrm>
                    <a:prstGeom prst="rect">
                      <a:avLst/>
                    </a:prstGeom>
                    <a:noFill/>
                  </pic:spPr>
                </pic:pic>
              </a:graphicData>
            </a:graphic>
          </wp:anchor>
        </w:drawing>
      </w:r>
    </w:p>
    <w:p>
      <w:pPr>
        <w:spacing w:after="0" w:line="30"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Sean Deason</w:t>
      </w:r>
    </w:p>
    <w:p>
      <w:pPr>
        <w:spacing w:after="0" w:line="41"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Senior Vice President and Chief Financial Officer</w:t>
      </w:r>
    </w:p>
    <w:p>
      <w:pPr>
        <w:spacing w:after="0" w:line="200" w:lineRule="exact"/>
        <w:rPr>
          <w:sz w:val="20"/>
          <w:szCs w:val="20"/>
          <w:color w:val="auto"/>
        </w:rPr>
      </w:pPr>
    </w:p>
    <w:p>
      <w:pPr>
        <w:spacing w:after="0" w:line="37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360"/>
          </w:cols>
          <w:pgMar w:left="620" w:top="1241" w:right="9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Olivier Rabiller, certify that:</w:t>
      </w:r>
    </w:p>
    <w:p>
      <w:pPr>
        <w:spacing w:after="0" w:line="180" w:lineRule="exact"/>
        <w:rPr>
          <w:sz w:val="20"/>
          <w:szCs w:val="20"/>
          <w:color w:val="auto"/>
        </w:rPr>
      </w:pPr>
    </w:p>
    <w:p>
      <w:pPr>
        <w:ind w:left="260" w:hanging="255"/>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Garrett Motion Inc.;</w:t>
      </w:r>
    </w:p>
    <w:p>
      <w:pPr>
        <w:spacing w:after="0" w:line="179"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61"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360" w:right="180" w:hanging="355"/>
        <w:spacing w:after="0" w:line="289" w:lineRule="auto"/>
        <w:tabs>
          <w:tab w:leader="none" w:pos="261"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360" w:right="20" w:hanging="355"/>
        <w:spacing w:after="0" w:line="289" w:lineRule="auto"/>
        <w:tabs>
          <w:tab w:leader="none" w:pos="25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ind w:left="700" w:right="100" w:hanging="347"/>
        <w:spacing w:after="0" w:line="289" w:lineRule="auto"/>
        <w:tabs>
          <w:tab w:leader="none" w:pos="652"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4"/>
          <w:szCs w:val="14"/>
          <w:color w:val="auto"/>
        </w:rPr>
      </w:pPr>
    </w:p>
    <w:p>
      <w:pPr>
        <w:ind w:left="700" w:right="300" w:hanging="347"/>
        <w:spacing w:after="0" w:line="289" w:lineRule="auto"/>
        <w:tabs>
          <w:tab w:leader="none" w:pos="6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4"/>
          <w:szCs w:val="14"/>
          <w:color w:val="auto"/>
        </w:rPr>
      </w:pPr>
    </w:p>
    <w:p>
      <w:pPr>
        <w:ind w:left="700" w:right="500" w:hanging="347"/>
        <w:spacing w:after="0" w:line="289" w:lineRule="auto"/>
        <w:tabs>
          <w:tab w:leader="none" w:pos="652"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00" w:right="140" w:hanging="347"/>
        <w:spacing w:after="0" w:line="289" w:lineRule="auto"/>
        <w:tabs>
          <w:tab w:leader="none" w:pos="6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5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00" w:right="180" w:hanging="347"/>
        <w:spacing w:after="0" w:line="289" w:lineRule="auto"/>
        <w:tabs>
          <w:tab w:leader="none" w:pos="644"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660" w:hanging="307"/>
        <w:spacing w:after="0"/>
        <w:tabs>
          <w:tab w:leader="none" w:pos="6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Date: July 24, 2025</w:t>
            </w:r>
          </w:p>
        </w:tc>
        <w:tc>
          <w:tcPr>
            <w:tcW w:w="2520" w:type="dxa"/>
            <w:vAlign w:val="bottom"/>
          </w:tcPr>
          <w:p>
            <w:pPr>
              <w:ind w:left="2300"/>
              <w:spacing w:after="0"/>
              <w:rPr>
                <w:sz w:val="20"/>
                <w:szCs w:val="20"/>
                <w:color w:val="auto"/>
              </w:rPr>
            </w:pPr>
            <w:r>
              <w:rPr>
                <w:rFonts w:ascii="Times New Roman" w:cs="Times New Roman" w:eastAsia="Times New Roman" w:hAnsi="Times New Roman"/>
                <w:sz w:val="14"/>
                <w:szCs w:val="14"/>
                <w:color w:val="auto"/>
                <w:w w:val="98"/>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Olivier Rabiller</w:t>
            </w:r>
          </w:p>
        </w:tc>
      </w:tr>
      <w:tr>
        <w:trPr>
          <w:trHeight w:val="168"/>
        </w:trPr>
        <w:tc>
          <w:tcPr>
            <w:tcW w:w="34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Olivier Rabiller</w:t>
            </w:r>
          </w:p>
        </w:tc>
      </w:tr>
      <w:tr>
        <w:trPr>
          <w:trHeight w:val="179"/>
        </w:trPr>
        <w:tc>
          <w:tcPr>
            <w:tcW w:w="34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34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ectPr>
          <w:pgSz w:w="11900" w:h="16838" w:orient="portrait"/>
          <w:cols w:equalWidth="0" w:num="1">
            <w:col w:w="11280"/>
          </w:cols>
          <w:pgMar w:left="300" w:top="634" w:right="3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Sean Deason, certify that:</w:t>
      </w:r>
    </w:p>
    <w:p>
      <w:pPr>
        <w:spacing w:after="0" w:line="180" w:lineRule="exact"/>
        <w:rPr>
          <w:sz w:val="20"/>
          <w:szCs w:val="20"/>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Garrett Motion Inc.;</w:t>
      </w:r>
    </w:p>
    <w:p>
      <w:pPr>
        <w:spacing w:after="0" w:line="179"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6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360" w:right="180" w:hanging="355"/>
        <w:spacing w:after="0" w:line="289" w:lineRule="auto"/>
        <w:tabs>
          <w:tab w:leader="none" w:pos="26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360" w:right="20" w:hanging="355"/>
        <w:spacing w:after="0" w:line="289" w:lineRule="auto"/>
        <w:tabs>
          <w:tab w:leader="none" w:pos="25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ind w:left="700" w:right="100" w:hanging="347"/>
        <w:spacing w:after="0" w:line="289" w:lineRule="auto"/>
        <w:tabs>
          <w:tab w:leader="none" w:pos="652"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4"/>
          <w:szCs w:val="14"/>
          <w:color w:val="auto"/>
        </w:rPr>
      </w:pPr>
    </w:p>
    <w:p>
      <w:pPr>
        <w:ind w:left="700" w:right="300" w:hanging="347"/>
        <w:spacing w:after="0" w:line="289" w:lineRule="auto"/>
        <w:tabs>
          <w:tab w:leader="none" w:pos="66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4"/>
          <w:szCs w:val="14"/>
          <w:color w:val="auto"/>
        </w:rPr>
      </w:pPr>
    </w:p>
    <w:p>
      <w:pPr>
        <w:ind w:left="700" w:right="500" w:hanging="347"/>
        <w:spacing w:after="0" w:line="289" w:lineRule="auto"/>
        <w:tabs>
          <w:tab w:leader="none" w:pos="652"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00" w:right="140" w:hanging="347"/>
        <w:spacing w:after="0" w:line="289" w:lineRule="auto"/>
        <w:tabs>
          <w:tab w:leader="none" w:pos="66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5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00" w:right="180" w:hanging="347"/>
        <w:spacing w:after="0" w:line="289" w:lineRule="auto"/>
        <w:tabs>
          <w:tab w:leader="none" w:pos="644"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660" w:hanging="307"/>
        <w:spacing w:after="0"/>
        <w:tabs>
          <w:tab w:leader="none" w:pos="66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p>
      <w:pPr>
        <w:ind w:left="20"/>
        <w:spacing w:after="0"/>
        <w:tabs>
          <w:tab w:leader="none" w:pos="5720" w:val="left"/>
          <w:tab w:leader="none" w:pos="8160" w:val="left"/>
        </w:tabs>
        <w:rPr>
          <w:sz w:val="20"/>
          <w:szCs w:val="20"/>
          <w:color w:val="auto"/>
        </w:rPr>
      </w:pPr>
      <w:r>
        <w:rPr>
          <w:rFonts w:ascii="Times New Roman" w:cs="Times New Roman" w:eastAsia="Times New Roman" w:hAnsi="Times New Roman"/>
          <w:sz w:val="14"/>
          <w:szCs w:val="14"/>
          <w:color w:val="auto"/>
        </w:rPr>
        <w:t>Date: July 24,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35560</wp:posOffset>
            </wp:positionV>
            <wp:extent cx="337439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374390" cy="6985"/>
                    </a:xfrm>
                    <a:prstGeom prst="rect">
                      <a:avLst/>
                    </a:prstGeom>
                    <a:noFill/>
                  </pic:spPr>
                </pic:pic>
              </a:graphicData>
            </a:graphic>
          </wp:anchor>
        </w:drawing>
      </w:r>
    </w:p>
    <w:p>
      <w:pPr>
        <w:spacing w:after="0" w:line="4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color w:val="auto"/>
        </w:rPr>
        <w:t>Sean Deason</w:t>
      </w:r>
    </w:p>
    <w:p>
      <w:pPr>
        <w:spacing w:after="0" w:line="3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pacing w:after="0" w:line="5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634" w:right="3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4"/>
          <w:szCs w:val="14"/>
          <w:color w:val="auto"/>
        </w:rPr>
        <w:t>In connection with the Quarterly Report on Form 10-Q of Garrett Motion Inc. (the “Company”) for the period ended June 30, 2025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60" w:hanging="519"/>
        <w:spacing w:after="0"/>
        <w:tabs>
          <w:tab w:leader="none" w:pos="10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4"/>
          <w:szCs w:val="14"/>
          <w:color w:val="auto"/>
        </w:rPr>
      </w:pPr>
    </w:p>
    <w:p>
      <w:pPr>
        <w:ind w:left="1060" w:hanging="519"/>
        <w:spacing w:after="0"/>
        <w:tabs>
          <w:tab w:leader="none" w:pos="10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5800" w:val="left"/>
          <w:tab w:leader="none" w:pos="8100" w:val="left"/>
        </w:tabs>
        <w:rPr>
          <w:sz w:val="20"/>
          <w:szCs w:val="20"/>
          <w:color w:val="auto"/>
        </w:rPr>
      </w:pPr>
      <w:r>
        <w:rPr>
          <w:rFonts w:ascii="Times New Roman" w:cs="Times New Roman" w:eastAsia="Times New Roman" w:hAnsi="Times New Roman"/>
          <w:sz w:val="14"/>
          <w:szCs w:val="14"/>
          <w:color w:val="auto"/>
        </w:rPr>
        <w:t>Date: July 24,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Olivier Rabiller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35560</wp:posOffset>
            </wp:positionV>
            <wp:extent cx="333375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333750" cy="6985"/>
                    </a:xfrm>
                    <a:prstGeom prst="rect">
                      <a:avLst/>
                    </a:prstGeom>
                    <a:noFill/>
                  </pic:spPr>
                </pic:pic>
              </a:graphicData>
            </a:graphic>
          </wp:anchor>
        </w:drawing>
      </w:r>
    </w:p>
    <w:p>
      <w:pPr>
        <w:spacing w:after="0" w:line="43"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Olivier Rabiller</w:t>
      </w:r>
    </w:p>
    <w:p>
      <w:pPr>
        <w:spacing w:after="0" w:line="3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634" w:right="31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4"/>
          <w:szCs w:val="14"/>
          <w:color w:val="auto"/>
        </w:rPr>
        <w:t>In connection with the Quarterly Report on Form 10-Q of Garrett Motion Inc. (the “Company”) for the period ended June 30, 2025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60" w:hanging="519"/>
        <w:spacing w:after="0"/>
        <w:tabs>
          <w:tab w:leader="none" w:pos="10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4"/>
          <w:szCs w:val="14"/>
          <w:color w:val="auto"/>
        </w:rPr>
      </w:pPr>
    </w:p>
    <w:p>
      <w:pPr>
        <w:ind w:left="1060" w:hanging="519"/>
        <w:spacing w:after="0"/>
        <w:tabs>
          <w:tab w:leader="none" w:pos="10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5800" w:val="left"/>
          <w:tab w:leader="none" w:pos="8180" w:val="left"/>
        </w:tabs>
        <w:rPr>
          <w:sz w:val="20"/>
          <w:szCs w:val="20"/>
          <w:color w:val="auto"/>
        </w:rPr>
      </w:pPr>
      <w:r>
        <w:rPr>
          <w:rFonts w:ascii="Times New Roman" w:cs="Times New Roman" w:eastAsia="Times New Roman" w:hAnsi="Times New Roman"/>
          <w:sz w:val="14"/>
          <w:szCs w:val="14"/>
          <w:color w:val="auto"/>
        </w:rPr>
        <w:t>Date: July 24,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35560</wp:posOffset>
            </wp:positionV>
            <wp:extent cx="333375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333750" cy="6985"/>
                    </a:xfrm>
                    <a:prstGeom prst="rect">
                      <a:avLst/>
                    </a:prstGeom>
                    <a:noFill/>
                  </pic:spPr>
                </pic:pic>
              </a:graphicData>
            </a:graphic>
          </wp:anchor>
        </w:drawing>
      </w:r>
    </w:p>
    <w:p>
      <w:pPr>
        <w:spacing w:after="0" w:line="43"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color w:val="auto"/>
        </w:rPr>
        <w:t>Sean Deason</w:t>
      </w:r>
    </w:p>
    <w:p>
      <w:pPr>
        <w:spacing w:after="0" w:line="3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pacing w:after="0" w:line="2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p>
    <w:sectPr>
      <w:pgSz w:w="11900" w:h="16838" w:orient="portrait"/>
      <w:cols w:equalWidth="0" w:num="1">
        <w:col w:w="11280"/>
      </w:cols>
      <w:pgMar w:left="300" w:top="6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lowerRoman"/>
      <w:start w:val="5"/>
    </w:lvl>
    <w:lvl w:ilvl="1">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3"/>
    </w:lvl>
  </w:abstractNum>
  <w:abstractNum w:abstractNumId="10">
    <w:nsid w:val="DED7263"/>
    <w:multiLevelType w:val="hybridMultilevel"/>
    <w:lvl w:ilvl="0">
      <w:lvlJc w:val="left"/>
      <w:lvlText w:val="(%1)"/>
      <w:numFmt w:val="decimal"/>
      <w:start w:val="19"/>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66" Type="http://schemas.openxmlformats.org/officeDocument/2006/relationships/hyperlink" Target="https://www.sec.gov/Archives/edgar/data/1735707/000173570724000044/exhibit3_1-garrettmotionxt.htm" TargetMode="External"/><Relationship Id="rId67" Type="http://schemas.openxmlformats.org/officeDocument/2006/relationships/hyperlink" Target="https://www.sec.gov/Archives/edgar/data/1735707/000173570724000044/exhibit3_2-garrettmotionx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2025-07-24T06:07:51Z</dcterms:created>
  <dcterms:modified xsi:type="dcterms:W3CDTF">2025-07-24T06:07:51Z</dcterms:modified>
</cp:coreProperties>
</file>